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990011"/>
          <w:sz w:val="56"/>
          <w:szCs w:val="56"/>
        </w:rPr>
        <w:t xml:space="preserve">Heart Disease Prediction</w:t>
      </w:r>
    </w:p>
    <w:p>
      <w:pPr>
        <w:spacing w:after="400"/>
        <w:jc w:val="center"/>
      </w:pPr>
      <w:r>
        <w:rPr>
          <w:i/>
          <w:iCs/>
          <w:color w:val="555555"/>
          <w:sz w:val="28"/>
          <w:szCs w:val="28"/>
        </w:rPr>
        <w:t xml:space="preserve">An AI Mini-Project Report</w:t>
      </w:r>
    </w:p>
    <w:p>
      <w:pPr>
        <w:spacing w:after="100"/>
        <w:jc w:val="center"/>
      </w:pPr>
      <w:r>
        <w:rPr>
          <w:sz w:val="22"/>
          <w:szCs w:val="22"/>
        </w:rPr>
        <w:t xml:space="preserve">Group Project — Artificial Intelligence Mini Project</w:t>
      </w:r>
    </w:p>
    <w:p>
      <w:pPr>
        <w:spacing w:after="600"/>
        <w:jc w:val="center"/>
      </w:pPr>
      <w:r>
        <w:rPr>
          <w:sz w:val="22"/>
          <w:szCs w:val="22"/>
        </w:rPr>
        <w:t xml:space="preserve">Team Members: ______________________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Problem Definition &amp; Objective</w:t>
      </w:r>
    </w:p>
    <w:p>
      <w:pPr>
        <w:spacing w:after="150"/>
      </w:pPr>
      <w:r>
        <w:t xml:space="preserve">Cardiovascular disease is one of the leading causes of death worldwide, and early identification of at-risk patients is critical for timely intervention and improved treatment outcomes. This project addresses the problem of predicting the presence of heart disease in a patient using routinely collected clinical measurements: age, gender, chest pain type, resting blood pressure, cholesterol level, maximum heart rate achieved, ST depression induced by exercise, and exercise-induced angina.</w:t>
      </w:r>
    </w:p>
    <w:p>
      <w:pPr>
        <w:spacing w:after="150"/>
      </w:pPr>
      <w:r>
        <w:t xml:space="preserve">The goal of this project is to build and evaluate a supervised machine learning classification model that can flag patients at higher risk of heart disease from these clinical attributes, and to package that model as a simple, usable prediction tool. This is a binary classification task, where the target variable (Heart_Disease) indicates the presence (1) or absence (0) of heart disease.</w:t>
      </w:r>
    </w:p>
    <w:p>
      <w:pPr>
        <w:spacing w:after="150"/>
      </w:pPr>
      <w:r>
        <w:t xml:space="preserve">Relevance and impact: a lightweight, interpretable screening tool built on easily obtainable clinical measurements could support early-stage triage in resource-constrained healthcare settings, complementing (not replacing) full clinical diagnosis by a physician.</w:t>
      </w:r>
    </w:p>
    <w:p>
      <w:pPr>
        <w:pStyle w:val="Heading1"/>
        <w:spacing w:after="150" w:before="300"/>
      </w:pPr>
      <w:r>
        <w:t xml:space="preserve">2. Data Acquisition</w:t>
      </w:r>
    </w:p>
    <w:p>
      <w:pPr>
        <w:spacing w:after="150"/>
      </w:pPr>
      <w:r>
        <w:t xml:space="preserve">The dataset used for this project was provided as a CSV file (heart_patients_dirty_dataset.csv), structured similarly to well-known public heart disease datasets (e.g. the UCI Heart Disease dataset family commonly hosted on Kaggle).</w:t>
      </w:r>
    </w:p>
    <w:p>
      <w:pPr>
        <w:pStyle w:val="Heading2"/>
        <w:spacing w:after="100" w:before="200"/>
      </w:pPr>
      <w:r>
        <w:t xml:space="preserve">Dataset Description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Size: 1,020 rows × 10 columns (raw, before cleaning)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Format: CSV (comma-separated values)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Features (9): Patient_ID, Age, Gender, Chest_Pain_Type, Resting_BP_mmHg, Cholesterol_mg/dl, Max_Heart_Rate, ST_Depression, Exercise_Induced_Angina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Target (1): Heart_Disease — binary classification label</w:t>
      </w:r>
    </w:p>
    <w:p>
      <w:pPr>
        <w:spacing w:after="150"/>
      </w:pPr>
      <w:r>
        <w:t xml:space="preserve">Justification: this dataset was chosen because it represents a realistic, moderately messy clinical dataset — a good fit for demonstrating the full data science workflow, including non-trivial cleaning, without requiring domain-specific data collection infrastructure.</w:t>
      </w:r>
    </w:p>
    <w:p>
      <w:pPr>
        <w:pStyle w:val="Heading1"/>
        <w:spacing w:after="150" w:before="300"/>
      </w:pPr>
      <w:r>
        <w:t xml:space="preserve">3. Data Cleaning &amp; Preprocessing</w:t>
      </w:r>
    </w:p>
    <w:p>
      <w:pPr>
        <w:spacing w:after="150"/>
      </w:pPr>
      <w:r>
        <w:t xml:space="preserve">The raw dataset contained substantial data quality issues that required systematic cleaning before modeling: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Dropped Patient_ID — a unique identifier with no predictive value.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Age contained the literal string "unknown" mixed with numeric values; these were converted to missing values via numeric coercion.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Gender had inconsistent casing (male, Male, FEMALE, Female) — standardized to Male/Female.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Exercise_Induced_Angina had inconsistent casing (Yes, yes, No, NO) — standardized to Yes/No.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target column Heart_Disease used mixed representations ("zero", "one", "0", "1", and blanks) — mapped to a clean integer 0/1, and rows with a missing target were dropped since a model cannot be trained or validated without a label.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Removed exact duplicate rows.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Remaining missing numeric values were imputed with the column median; missing categorical values were imputed with the column mode.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Outliers in numeric columns were capped using the interquartile range (IQR) method rather than removed outright, since extreme-but-real values can be clinically meaningful.</w:t>
      </w:r>
    </w:p>
    <w:p>
      <w:pPr>
        <w:spacing w:after="150"/>
      </w:pPr>
      <w:r>
        <w:t xml:space="preserve">After cleaning, the dataset was reduced from 1,020 to 769 rows, retaining a clean, consistent set of 9 usable columns (8 features + 1 target).</w:t>
      </w:r>
    </w:p>
    <w:p>
      <w:pPr>
        <w:pStyle w:val="Heading1"/>
        <w:spacing w:after="150" w:before="300"/>
      </w:pPr>
      <w:r>
        <w:t xml:space="preserve">4. Exploratory Data Analysis (EDA)</w:t>
      </w:r>
    </w:p>
    <w:p>
      <w:pPr>
        <w:spacing w:after="150"/>
      </w:pPr>
      <w:r>
        <w:t xml:space="preserve">Exploratory analysis was performed on the cleaned dataset to understand class balance, feature distributions, and relationships with the target.</w:t>
      </w:r>
    </w:p>
    <w:p>
      <w:pPr>
        <w:pStyle w:val="Heading2"/>
        <w:spacing w:after="100" w:before="200"/>
      </w:pPr>
      <w:r>
        <w:t xml:space="preserve">Target Class Balance</w:t>
      </w:r>
    </w:p>
    <w:p>
      <w:pPr>
        <w:spacing w:after="200"/>
        <w:jc w:val="center"/>
      </w:pPr>
      <w:r>
        <w:drawing>
          <wp:inline distT="0" distB="0" distL="0" distR="0">
            <wp:extent cx="30480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00"/>
      </w:pPr>
      <w:r>
        <w:t xml:space="preserve">Age Distribution by Heart Disease Status</w:t>
      </w:r>
    </w:p>
    <w:p>
      <w:pPr>
        <w:spacing w:after="200"/>
        <w:jc w:val="center"/>
      </w:pPr>
      <w:r>
        <w:drawing>
          <wp:inline distT="0" distB="0" distL="0" distR="0">
            <wp:extent cx="3619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00"/>
      </w:pPr>
      <w:r>
        <w:t xml:space="preserve">Correlation Heatmap</w:t>
      </w:r>
    </w:p>
    <w:p>
      <w:pPr>
        <w:spacing w:after="200"/>
        <w:jc w:val="center"/>
      </w:pPr>
      <w:r>
        <w:drawing>
          <wp:inline distT="0" distB="0" distL="0" distR="0">
            <wp:extent cx="38100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00"/>
      </w:pPr>
      <w:r>
        <w:t xml:space="preserve">Boxplots of Key Numeric Features by Target</w:t>
      </w:r>
    </w:p>
    <w:p>
      <w:pPr>
        <w:spacing w:after="200"/>
        <w:jc w:val="center"/>
      </w:pPr>
      <w:r>
        <w:drawing>
          <wp:inline distT="0" distB="0" distL="0" distR="0">
            <wp:extent cx="45720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00"/>
      </w:pPr>
      <w:r>
        <w:t xml:space="preserve">Chest Pain Type vs. Heart Disease</w:t>
      </w:r>
    </w:p>
    <w:p>
      <w:pPr>
        <w:spacing w:after="200"/>
        <w:jc w:val="center"/>
      </w:pPr>
      <w:r>
        <w:drawing>
          <wp:inline distT="0" distB="0" distL="0" distR="0">
            <wp:extent cx="3810000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00"/>
      </w:pPr>
      <w:r>
        <w:t xml:space="preserve">Gender vs. Heart Disease</w:t>
      </w:r>
    </w:p>
    <w:p>
      <w:pPr>
        <w:spacing w:after="200"/>
        <w:jc w:val="center"/>
      </w:pPr>
      <w:r>
        <w:drawing>
          <wp:inline distT="0" distB="0" distL="0" distR="0">
            <wp:extent cx="30480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t xml:space="preserve">Key observations: the target classes are reasonably balanced. No single numeric feature shows a dramatically strong linear correlation with the target, suggesting the relationship between features and heart disease risk in this dataset is non-linear or weak — a point revisited in the Results Interpretation section.</w:t>
      </w:r>
    </w:p>
    <w:p>
      <w:pPr>
        <w:pStyle w:val="Heading1"/>
        <w:spacing w:after="150" w:before="300"/>
      </w:pPr>
      <w:r>
        <w:t xml:space="preserve">5. Feature Engineering</w:t>
      </w:r>
    </w:p>
    <w:p>
      <w:pPr>
        <w:spacing w:after="150"/>
      </w:pPr>
      <w:r>
        <w:t xml:space="preserve">Building on the cleaned dataset, the following transformations were applied to prepare features for modeling: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One-hot encoded categorical variables: Gender, Chest_Pain_Type, and Exercise_Induced_Angina.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Engineered an Age_Group feature by binning Age into clinically meaningful ranges (&lt;40, 40–55, 56–70, 70+), one-hot encoded.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Engineered a High_Cholesterol_Flag binary feature, flagging patients with cholesterol above the clinical threshold of 240 mg/dl.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Standardized numeric features (Age, Resting_BP_mmHg, Cholesterol_mg/dl, Max_Heart_Rate, ST_Depression) using z-score scaling (StandardScaler), fit only on the training split to avoid data leakage.</w:t>
      </w:r>
    </w:p>
    <w:p>
      <w:pPr>
        <w:spacing w:after="150"/>
      </w:pPr>
      <w:r>
        <w:t xml:space="preserve">The final feature set contained 14 columns after encoding and engineering.</w:t>
      </w:r>
    </w:p>
    <w:p>
      <w:pPr>
        <w:pStyle w:val="Heading1"/>
        <w:spacing w:after="150" w:before="300"/>
      </w:pPr>
      <w:r>
        <w:t xml:space="preserve">6. Model Building</w:t>
      </w:r>
    </w:p>
    <w:p>
      <w:pPr>
        <w:spacing w:after="150"/>
      </w:pPr>
      <w:r>
        <w:t xml:space="preserve">Since this is a binary classification problem, four candidate model families were trained and compared: Logistic Regression, Decision Tree, Random Forest, and Support Vector Machine (SVM). A fifth variant, a hyperparameter-tuned Random Forest, was produced using grid search (5-fold cross-validation, optimizing F1-score) over n_estimators, max_depth, and min_samples_split.</w:t>
      </w:r>
    </w:p>
    <w:p>
      <w:pPr>
        <w:spacing w:after="150"/>
      </w:pPr>
      <w:r>
        <w:t xml:space="preserve">Data was split 80/20 into training and test sets using stratified sampling to preserve class balance, with a fixed random seed (random_state=42) for reproducibility.</w:t>
      </w:r>
    </w:p>
    <w:p>
      <w:pPr>
        <w:pStyle w:val="Heading1"/>
        <w:spacing w:after="150" w:before="300"/>
      </w:pPr>
      <w:r>
        <w:t xml:space="preserve">7. Model Evaluation</w:t>
      </w:r>
    </w:p>
    <w:p>
      <w:pPr>
        <w:spacing w:after="150"/>
      </w:pPr>
      <w:r>
        <w:t xml:space="preserve">All five models were evaluated on the held-out test set using Accuracy, Precision, Recall, F1-Score, and ROC-AUC: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83"/>
        <w:gridCol w:w="1583"/>
        <w:gridCol w:w="1583"/>
        <w:gridCol w:w="1583"/>
        <w:gridCol w:w="1583"/>
        <w:gridCol w:w="1583"/>
      </w:tblGrid>
      <w:tr>
        <w:tc>
          <w:tcPr>
            <w:tcW w:type="dxa" w:w="1583"/>
            <w:shd w:fill="990011" w:val="clear"/>
          </w:tcPr>
          <w:p>
            <w:r>
              <w:rPr>
                <w:b/>
                <w:bCs/>
                <w:color w:val="FFFFFF"/>
              </w:rPr>
              <w:t xml:space="preserve">Model</w:t>
            </w:r>
          </w:p>
        </w:tc>
        <w:tc>
          <w:tcPr>
            <w:tcW w:type="dxa" w:w="1583"/>
            <w:shd w:fill="990011" w:val="clear"/>
          </w:tcPr>
          <w:p>
            <w:r>
              <w:rPr>
                <w:b/>
                <w:bCs/>
                <w:color w:val="FFFFFF"/>
              </w:rPr>
              <w:t xml:space="preserve">Accuracy</w:t>
            </w:r>
          </w:p>
        </w:tc>
        <w:tc>
          <w:tcPr>
            <w:tcW w:type="dxa" w:w="1583"/>
            <w:shd w:fill="990011" w:val="clear"/>
          </w:tcPr>
          <w:p>
            <w:r>
              <w:rPr>
                <w:b/>
                <w:bCs/>
                <w:color w:val="FFFFFF"/>
              </w:rPr>
              <w:t xml:space="preserve">Precision</w:t>
            </w:r>
          </w:p>
        </w:tc>
        <w:tc>
          <w:tcPr>
            <w:tcW w:type="dxa" w:w="1583"/>
            <w:shd w:fill="990011" w:val="clear"/>
          </w:tcPr>
          <w:p>
            <w:r>
              <w:rPr>
                <w:b/>
                <w:bCs/>
                <w:color w:val="FFFFFF"/>
              </w:rPr>
              <w:t xml:space="preserve">Recall</w:t>
            </w:r>
          </w:p>
        </w:tc>
        <w:tc>
          <w:tcPr>
            <w:tcW w:type="dxa" w:w="1583"/>
            <w:shd w:fill="990011" w:val="clear"/>
          </w:tcPr>
          <w:p>
            <w:r>
              <w:rPr>
                <w:b/>
                <w:bCs/>
                <w:color w:val="FFFFFF"/>
              </w:rPr>
              <w:t xml:space="preserve">F1-Score</w:t>
            </w:r>
          </w:p>
        </w:tc>
        <w:tc>
          <w:tcPr>
            <w:tcW w:type="dxa" w:w="1583"/>
            <w:shd w:fill="990011" w:val="clear"/>
          </w:tcPr>
          <w:p>
            <w:r>
              <w:rPr>
                <w:b/>
                <w:bCs/>
                <w:color w:val="FFFFFF"/>
              </w:rPr>
              <w:t xml:space="preserve">ROC-AUC</w:t>
            </w:r>
          </w:p>
        </w:tc>
      </w:tr>
      <w:tr>
        <w:tc>
          <w:tcPr>
            <w:tcW w:type="dxa" w:w="1583"/>
          </w:tcPr>
          <w:p>
            <w:r>
              <w:t xml:space="preserve">Decision Tree</w:t>
            </w:r>
          </w:p>
        </w:tc>
        <w:tc>
          <w:tcPr>
            <w:tcW w:type="dxa" w:w="1583"/>
          </w:tcPr>
          <w:p>
            <w:r>
              <w:t xml:space="preserve">0.571</w:t>
            </w:r>
          </w:p>
        </w:tc>
        <w:tc>
          <w:tcPr>
            <w:tcW w:type="dxa" w:w="1583"/>
          </w:tcPr>
          <w:p>
            <w:r>
              <w:t xml:space="preserve">0.576</w:t>
            </w:r>
          </w:p>
        </w:tc>
        <w:tc>
          <w:tcPr>
            <w:tcW w:type="dxa" w:w="1583"/>
          </w:tcPr>
          <w:p>
            <w:r>
              <w:t xml:space="preserve">0.620</w:t>
            </w:r>
          </w:p>
        </w:tc>
        <w:tc>
          <w:tcPr>
            <w:tcW w:type="dxa" w:w="1583"/>
          </w:tcPr>
          <w:p>
            <w:r>
              <w:t xml:space="preserve">0.598</w:t>
            </w:r>
          </w:p>
        </w:tc>
        <w:tc>
          <w:tcPr>
            <w:tcW w:type="dxa" w:w="1583"/>
          </w:tcPr>
          <w:p>
            <w:r>
              <w:t xml:space="preserve">0.570</w:t>
            </w:r>
          </w:p>
        </w:tc>
      </w:tr>
      <w:tr>
        <w:tc>
          <w:tcPr>
            <w:tcW w:type="dxa" w:w="1583"/>
          </w:tcPr>
          <w:p>
            <w:r>
              <w:t xml:space="preserve">Random Forest (Tuned)</w:t>
            </w:r>
          </w:p>
        </w:tc>
        <w:tc>
          <w:tcPr>
            <w:tcW w:type="dxa" w:w="1583"/>
          </w:tcPr>
          <w:p>
            <w:r>
              <w:t xml:space="preserve">0.519</w:t>
            </w:r>
          </w:p>
        </w:tc>
        <w:tc>
          <w:tcPr>
            <w:tcW w:type="dxa" w:w="1583"/>
          </w:tcPr>
          <w:p>
            <w:r>
              <w:t xml:space="preserve">0.527</w:t>
            </w:r>
          </w:p>
        </w:tc>
        <w:tc>
          <w:tcPr>
            <w:tcW w:type="dxa" w:w="1583"/>
          </w:tcPr>
          <w:p>
            <w:r>
              <w:t xml:space="preserve">0.608</w:t>
            </w:r>
          </w:p>
        </w:tc>
        <w:tc>
          <w:tcPr>
            <w:tcW w:type="dxa" w:w="1583"/>
          </w:tcPr>
          <w:p>
            <w:r>
              <w:t xml:space="preserve">0.565</w:t>
            </w:r>
          </w:p>
        </w:tc>
        <w:tc>
          <w:tcPr>
            <w:tcW w:type="dxa" w:w="1583"/>
          </w:tcPr>
          <w:p>
            <w:r>
              <w:t xml:space="preserve">0.501</w:t>
            </w:r>
          </w:p>
        </w:tc>
      </w:tr>
      <w:tr>
        <w:tc>
          <w:tcPr>
            <w:tcW w:type="dxa" w:w="1583"/>
          </w:tcPr>
          <w:p>
            <w:r>
              <w:t xml:space="preserve">Random Forest</w:t>
            </w:r>
          </w:p>
        </w:tc>
        <w:tc>
          <w:tcPr>
            <w:tcW w:type="dxa" w:w="1583"/>
          </w:tcPr>
          <w:p>
            <w:r>
              <w:t xml:space="preserve">0.539</w:t>
            </w:r>
          </w:p>
        </w:tc>
        <w:tc>
          <w:tcPr>
            <w:tcW w:type="dxa" w:w="1583"/>
          </w:tcPr>
          <w:p>
            <w:r>
              <w:t xml:space="preserve">0.551</w:t>
            </w:r>
          </w:p>
        </w:tc>
        <w:tc>
          <w:tcPr>
            <w:tcW w:type="dxa" w:w="1583"/>
          </w:tcPr>
          <w:p>
            <w:r>
              <w:t xml:space="preserve">0.544</w:t>
            </w:r>
          </w:p>
        </w:tc>
        <w:tc>
          <w:tcPr>
            <w:tcW w:type="dxa" w:w="1583"/>
          </w:tcPr>
          <w:p>
            <w:r>
              <w:t xml:space="preserve">0.548</w:t>
            </w:r>
          </w:p>
        </w:tc>
        <w:tc>
          <w:tcPr>
            <w:tcW w:type="dxa" w:w="1583"/>
          </w:tcPr>
          <w:p>
            <w:r>
              <w:t xml:space="preserve">0.490</w:t>
            </w:r>
          </w:p>
        </w:tc>
      </w:tr>
      <w:tr>
        <w:tc>
          <w:tcPr>
            <w:tcW w:type="dxa" w:w="1583"/>
          </w:tcPr>
          <w:p>
            <w:r>
              <w:t xml:space="preserve">Logistic Regression</w:t>
            </w:r>
          </w:p>
        </w:tc>
        <w:tc>
          <w:tcPr>
            <w:tcW w:type="dxa" w:w="1583"/>
          </w:tcPr>
          <w:p>
            <w:r>
              <w:t xml:space="preserve">0.448</w:t>
            </w:r>
          </w:p>
        </w:tc>
        <w:tc>
          <w:tcPr>
            <w:tcW w:type="dxa" w:w="1583"/>
          </w:tcPr>
          <w:p>
            <w:r>
              <w:t xml:space="preserve">0.468</w:t>
            </w:r>
          </w:p>
        </w:tc>
        <w:tc>
          <w:tcPr>
            <w:tcW w:type="dxa" w:w="1583"/>
          </w:tcPr>
          <w:p>
            <w:r>
              <w:t xml:space="preserve">0.557</w:t>
            </w:r>
          </w:p>
        </w:tc>
        <w:tc>
          <w:tcPr>
            <w:tcW w:type="dxa" w:w="1583"/>
          </w:tcPr>
          <w:p>
            <w:r>
              <w:t xml:space="preserve">0.509</w:t>
            </w:r>
          </w:p>
        </w:tc>
        <w:tc>
          <w:tcPr>
            <w:tcW w:type="dxa" w:w="1583"/>
          </w:tcPr>
          <w:p>
            <w:r>
              <w:t xml:space="preserve">0.448</w:t>
            </w:r>
          </w:p>
        </w:tc>
      </w:tr>
      <w:tr>
        <w:tc>
          <w:tcPr>
            <w:tcW w:type="dxa" w:w="1583"/>
          </w:tcPr>
          <w:p>
            <w:r>
              <w:t xml:space="preserve">SVM</w:t>
            </w:r>
          </w:p>
        </w:tc>
        <w:tc>
          <w:tcPr>
            <w:tcW w:type="dxa" w:w="1583"/>
          </w:tcPr>
          <w:p>
            <w:r>
              <w:t xml:space="preserve">0.442</w:t>
            </w:r>
          </w:p>
        </w:tc>
        <w:tc>
          <w:tcPr>
            <w:tcW w:type="dxa" w:w="1583"/>
          </w:tcPr>
          <w:p>
            <w:r>
              <w:t xml:space="preserve">0.457</w:t>
            </w:r>
          </w:p>
        </w:tc>
        <w:tc>
          <w:tcPr>
            <w:tcW w:type="dxa" w:w="1583"/>
          </w:tcPr>
          <w:p>
            <w:r>
              <w:t xml:space="preserve">0.468</w:t>
            </w:r>
          </w:p>
        </w:tc>
        <w:tc>
          <w:tcPr>
            <w:tcW w:type="dxa" w:w="1583"/>
          </w:tcPr>
          <w:p>
            <w:r>
              <w:t xml:space="preserve">0.463</w:t>
            </w:r>
          </w:p>
        </w:tc>
        <w:tc>
          <w:tcPr>
            <w:tcW w:type="dxa" w:w="1583"/>
          </w:tcPr>
          <w:p>
            <w:r>
              <w:t xml:space="preserve">0.447</w:t>
            </w:r>
          </w:p>
        </w:tc>
      </w:tr>
    </w:tbl>
    <w:p>
      <w:pPr>
        <w:spacing w:after="200"/>
      </w:pPr>
    </w:p>
    <w:p>
      <w:pPr>
        <w:spacing w:after="150"/>
      </w:pPr>
      <w:r>
        <w:t xml:space="preserve">The Decision Tree achieved the best F1-score (0.598) and was selected as the final model.</w:t>
      </w:r>
    </w:p>
    <w:p>
      <w:pPr>
        <w:pStyle w:val="Heading2"/>
        <w:spacing w:after="100" w:before="200"/>
      </w:pPr>
      <w:r>
        <w:t xml:space="preserve">Confusion Matrix — Decision Tree (Best Model)</w:t>
      </w:r>
    </w:p>
    <w:p>
      <w:pPr>
        <w:spacing w:after="200"/>
        <w:jc w:val="center"/>
      </w:pPr>
      <w:r>
        <w:drawing>
          <wp:inline distT="0" distB="0" distL="0" distR="0">
            <wp:extent cx="30480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00"/>
      </w:pPr>
      <w:r>
        <w:t xml:space="preserve">ROC Curve Comparison</w:t>
      </w:r>
    </w:p>
    <w:p>
      <w:pPr>
        <w:spacing w:after="200"/>
        <w:jc w:val="center"/>
      </w:pPr>
      <w:r>
        <w:drawing>
          <wp:inline distT="0" distB="0" distL="0" distR="0">
            <wp:extent cx="3619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t xml:space="preserve">8. Results Interpretation &amp; Insights</w:t>
      </w:r>
    </w:p>
    <w:p>
      <w:pPr>
        <w:pStyle w:val="Heading2"/>
        <w:spacing w:after="100" w:before="200"/>
      </w:pPr>
      <w:r>
        <w:t xml:space="preserve">Feature Importance</w:t>
      </w:r>
    </w:p>
    <w:p>
      <w:pPr>
        <w:spacing w:after="200"/>
        <w:jc w:val="center"/>
      </w:pPr>
      <w:r>
        <w:drawing>
          <wp:inline distT="0" distB="0" distL="0" distR="0">
            <wp:extent cx="4000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t xml:space="preserve">Max_Heart_Rate, Cholesterol_mg/dl, Resting_BP_mmHg, ST_Depression, and Age emerged as the top five most influential features for the Decision Tree model, broadly consistent with established clinical risk factors for cardiovascular disease.</w:t>
      </w:r>
    </w:p>
    <w:p>
      <w:pPr>
        <w:pStyle w:val="Heading2"/>
        <w:spacing w:after="100" w:before="200"/>
      </w:pPr>
      <w:r>
        <w:t xml:space="preserve">Honest Assessment of Performance</w:t>
      </w:r>
    </w:p>
    <w:p>
      <w:pPr>
        <w:spacing w:after="150"/>
      </w:pPr>
      <w:r>
        <w:t xml:space="preserve">All models achieved modest performance (accuracy and F1-score in the 0.44-0.60 range), only somewhat better than a random baseline (~0.50 for a balanced binary problem). This is an important and honest finding, not a flaw to hide: it suggests that either (a) the relationship between these particular features and heart disease in this dataset is weak or highly non-linear, (b) the dataset — after removing rows with missing/invalid labels — is too small (769 rows) for the models to learn robust patterns, or (c) there is inherent noise in how this dataset was constructed.</w:t>
      </w:r>
    </w:p>
    <w:p>
      <w:pPr>
        <w:spacing w:after="150"/>
      </w:pPr>
      <w:r>
        <w:t xml:space="preserve">Real-world implication: this result is itself a valuable insight — it demonstrates why clinical decision support tools require large, high-quality, well-labeled datasets and rigorous validation before deployment, and why a model like this should be treated as a supplementary screening aid, never a diagnostic replacement for a qualified physician.</w:t>
      </w:r>
    </w:p>
    <w:p>
      <w:pPr>
        <w:spacing w:after="150"/>
      </w:pPr>
      <w:r>
        <w:t xml:space="preserve">Recommendation: with access to a larger and more rigorously collected dataset (e.g. the full UCI Cleveland Heart Disease dataset, ~300+ additional clinical variables, or a larger Kaggle heart disease dataset), model performance would likely improve substantially. This is a natural direction for future extension of the project.</w:t>
      </w:r>
    </w:p>
    <w:p>
      <w:pPr>
        <w:pStyle w:val="Heading1"/>
        <w:spacing w:after="150" w:before="300"/>
      </w:pPr>
      <w:r>
        <w:t xml:space="preserve">9. Deployment</w:t>
      </w:r>
    </w:p>
    <w:p>
      <w:pPr>
        <w:spacing w:after="150"/>
      </w:pPr>
      <w:r>
        <w:t xml:space="preserve">The final trained model was deployed as an interactive web application using Streamlit. The app allows a user to enter a patient's clinical details (age, gender, chest pain type, resting BP, cholesterol, max heart rate, ST depression, and exercise-induced angina) through a simple form, and returns a predicted heart disease risk classification along with an estimated probability.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Framework: Streamlit (Python)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Location: app/app.py in the project repository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 run locally: pip install -r requirements.txt, then streamlit run app/app.py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app loads the serialized model (best_model.joblib), scaler (scaler.joblib), and exact feature column order (feature_columns.joblib) to ensure predictions exactly match the trained pipeline.</w:t>
      </w:r>
    </w:p>
    <w:p>
      <w:pPr>
        <w:pStyle w:val="Heading1"/>
        <w:spacing w:after="150" w:before="300"/>
      </w:pPr>
      <w:r>
        <w:t xml:space="preserve">10. Documentation &amp; Conclusion</w:t>
      </w:r>
    </w:p>
    <w:p>
      <w:pPr>
        <w:spacing w:after="150"/>
      </w:pPr>
      <w:r>
        <w:t xml:space="preserve">This report, together with the accompanying GitHub repository (containing the full cleaning/EDA/modeling script, trained model artifacts, deployment app, and presentation slides), documents the complete AI development lifecycle applied to the heart disease prediction problem: from problem definition through data acquisition, cleaning, EDA, feature engineering, model building, evaluation, honest results interpretation, and deployment.</w:t>
      </w:r>
    </w:p>
    <w:p>
      <w:pPr>
        <w:spacing w:after="150"/>
      </w:pPr>
      <w:r>
        <w:t xml:space="preserve">Key learnings from this project include the practical challenges of real-world messy data (inconsistent formatting, missing values, ambiguous labels), the importance of transparent reporting of model limitations, and the value of packaging a model into a usable, interactive tool.</w:t>
      </w:r>
    </w:p>
    <w:p>
      <w:pPr>
        <w:spacing w:after="150"/>
      </w:pPr>
      <w:r>
        <w:t xml:space="preserve">GitHub Repository: ______________________</w:t>
      </w:r>
    </w:p>
    <w:p>
      <w:pPr>
        <w:spacing w:after="150"/>
      </w:pPr>
      <w:r>
        <w:t xml:space="preserve">Deployed App Link (if hosted): ______________________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97f89a0a5dfae440508b717e647bb1d84777cb9.png"/><Relationship Id="rId8" Type="http://schemas.openxmlformats.org/officeDocument/2006/relationships/image" Target="media/c65f2777d9c91b1fd1621bfcecf51d025ea09831.png"/><Relationship Id="rId9" Type="http://schemas.openxmlformats.org/officeDocument/2006/relationships/image" Target="media/52b62cb415e6d8c500365fdae436f0cb0914ce6c.png"/><Relationship Id="rId10" Type="http://schemas.openxmlformats.org/officeDocument/2006/relationships/image" Target="media/405cc056e521c277bdaec0ada325e137d0e76ec2.png"/><Relationship Id="rId11" Type="http://schemas.openxmlformats.org/officeDocument/2006/relationships/image" Target="media/44ca655c223e45a1e8341108d0d19d50bd679369.png"/><Relationship Id="rId12" Type="http://schemas.openxmlformats.org/officeDocument/2006/relationships/image" Target="media/e419382196700eae75b5553d4dc6cc09916970c7.png"/><Relationship Id="rId13" Type="http://schemas.openxmlformats.org/officeDocument/2006/relationships/image" Target="media/ba24d69fc2fb9eed0f7b810ad05593a8270bfc5a.png"/><Relationship Id="rId14" Type="http://schemas.openxmlformats.org/officeDocument/2006/relationships/image" Target="media/3179f17601d343f0b2cec364b2e939d96d50fbc9.png"/><Relationship Id="rId15" Type="http://schemas.openxmlformats.org/officeDocument/2006/relationships/image" Target="media/89ba03dce0b841e5724276dc589ffbaa7554e449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2026-07-05T12:33:39.874Z</dcterms:created>
  <dcterms:modified xsi:type="dcterms:W3CDTF">2026-07-05T12:33:39.874Z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