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AA42D" w14:textId="77777777" w:rsidR="00113315" w:rsidRPr="00B2069C" w:rsidRDefault="00113315" w:rsidP="008A64E4">
      <w:pPr>
        <w:rPr>
          <w:b/>
          <w:bCs/>
          <w:sz w:val="36"/>
          <w:szCs w:val="36"/>
          <w:u w:val="single"/>
        </w:rPr>
      </w:pPr>
      <w:r w:rsidRPr="00B2069C">
        <w:rPr>
          <w:b/>
          <w:bCs/>
          <w:sz w:val="36"/>
          <w:szCs w:val="36"/>
          <w:u w:val="single"/>
        </w:rPr>
        <w:t>Summarises the analysis (5 points)</w:t>
      </w:r>
    </w:p>
    <w:p w14:paraId="7DD77C6D" w14:textId="77777777" w:rsidR="00B2069C" w:rsidRPr="00392C46" w:rsidRDefault="00B2069C" w:rsidP="00B2069C">
      <w:r w:rsidRPr="00392C46">
        <w:t xml:space="preserve">This summary provides a comprehensive analysis of the academic performance and budget allocation across 15 schools, offering valuable insights into how financial resources and student outcomes are related. </w:t>
      </w:r>
    </w:p>
    <w:p w14:paraId="6ADA0A47" w14:textId="77777777" w:rsidR="00B2069C" w:rsidRPr="00B2069C" w:rsidRDefault="00B2069C" w:rsidP="00B2069C">
      <w:pPr>
        <w:rPr>
          <w:b/>
          <w:bCs/>
        </w:rPr>
      </w:pPr>
      <w:r w:rsidRPr="00B2069C">
        <w:rPr>
          <w:b/>
          <w:bCs/>
        </w:rPr>
        <w:t>Summary Statistics:</w:t>
      </w:r>
    </w:p>
    <w:p w14:paraId="54070176" w14:textId="77777777" w:rsidR="00B2069C" w:rsidRPr="00B2069C" w:rsidRDefault="00B2069C" w:rsidP="00B2069C">
      <w:pPr>
        <w:numPr>
          <w:ilvl w:val="0"/>
          <w:numId w:val="16"/>
        </w:numPr>
      </w:pPr>
      <w:r w:rsidRPr="00B2069C">
        <w:rPr>
          <w:b/>
          <w:bCs/>
        </w:rPr>
        <w:t>School Size and Budget</w:t>
      </w:r>
      <w:r w:rsidRPr="00B2069C">
        <w:t>: The data shows significant variability in school sizes and budgets. The largest school has 4,976 students, while the smallest has 427. Similarly, school budgets vary significantly, with the highest being over $3 million and the lowest just under $250,000.</w:t>
      </w:r>
    </w:p>
    <w:p w14:paraId="3EB4ECC3" w14:textId="77777777" w:rsidR="00B2069C" w:rsidRPr="00B2069C" w:rsidRDefault="00B2069C" w:rsidP="00B2069C">
      <w:pPr>
        <w:numPr>
          <w:ilvl w:val="1"/>
          <w:numId w:val="16"/>
        </w:numPr>
      </w:pPr>
      <w:r w:rsidRPr="00B2069C">
        <w:rPr>
          <w:b/>
          <w:bCs/>
        </w:rPr>
        <w:t>Budget</w:t>
      </w:r>
      <w:r w:rsidRPr="00B2069C">
        <w:t>:</w:t>
      </w:r>
    </w:p>
    <w:p w14:paraId="3DEBCB4F" w14:textId="77777777" w:rsidR="00B2069C" w:rsidRPr="00B2069C" w:rsidRDefault="00B2069C" w:rsidP="00B2069C">
      <w:pPr>
        <w:numPr>
          <w:ilvl w:val="2"/>
          <w:numId w:val="16"/>
        </w:numPr>
      </w:pPr>
      <w:r w:rsidRPr="00B2069C">
        <w:rPr>
          <w:b/>
          <w:bCs/>
        </w:rPr>
        <w:t>Count</w:t>
      </w:r>
      <w:r w:rsidRPr="00B2069C">
        <w:t>: 39,170</w:t>
      </w:r>
    </w:p>
    <w:p w14:paraId="19E360B5" w14:textId="77777777" w:rsidR="00B2069C" w:rsidRPr="00B2069C" w:rsidRDefault="00B2069C" w:rsidP="00B2069C">
      <w:pPr>
        <w:numPr>
          <w:ilvl w:val="2"/>
          <w:numId w:val="16"/>
        </w:numPr>
      </w:pPr>
      <w:r w:rsidRPr="00B2069C">
        <w:rPr>
          <w:b/>
          <w:bCs/>
        </w:rPr>
        <w:t>Mean</w:t>
      </w:r>
      <w:r w:rsidRPr="00B2069C">
        <w:t>: $2,117,241.00</w:t>
      </w:r>
    </w:p>
    <w:p w14:paraId="4301AC69" w14:textId="77777777" w:rsidR="00B2069C" w:rsidRPr="00B2069C" w:rsidRDefault="00B2069C" w:rsidP="00B2069C">
      <w:pPr>
        <w:numPr>
          <w:ilvl w:val="2"/>
          <w:numId w:val="16"/>
        </w:numPr>
      </w:pPr>
      <w:r w:rsidRPr="00B2069C">
        <w:rPr>
          <w:b/>
          <w:bCs/>
        </w:rPr>
        <w:t>Standard Deviation</w:t>
      </w:r>
      <w:r w:rsidRPr="00B2069C">
        <w:t>: $874,998.70</w:t>
      </w:r>
    </w:p>
    <w:p w14:paraId="32401BE0" w14:textId="77777777" w:rsidR="00B2069C" w:rsidRPr="00B2069C" w:rsidRDefault="00B2069C" w:rsidP="00B2069C">
      <w:pPr>
        <w:numPr>
          <w:ilvl w:val="2"/>
          <w:numId w:val="16"/>
        </w:numPr>
      </w:pPr>
      <w:r w:rsidRPr="00B2069C">
        <w:rPr>
          <w:b/>
          <w:bCs/>
        </w:rPr>
        <w:t>Min/Max</w:t>
      </w:r>
      <w:r w:rsidRPr="00B2069C">
        <w:t>: $248,087.00 / $3,124,928.00</w:t>
      </w:r>
    </w:p>
    <w:p w14:paraId="16E56366" w14:textId="77777777" w:rsidR="00B2069C" w:rsidRPr="00B2069C" w:rsidRDefault="00B2069C" w:rsidP="00B2069C">
      <w:pPr>
        <w:numPr>
          <w:ilvl w:val="0"/>
          <w:numId w:val="16"/>
        </w:numPr>
      </w:pPr>
      <w:r w:rsidRPr="00B2069C">
        <w:rPr>
          <w:b/>
          <w:bCs/>
        </w:rPr>
        <w:t>Reading and Maths Scores</w:t>
      </w:r>
      <w:r w:rsidRPr="00B2069C">
        <w:t>: Both subjects show a wide range of scores, with the lowest at 39 and the highest at 99. The median scores for both reading and math are 70, indicating a central tendency around this value.</w:t>
      </w:r>
    </w:p>
    <w:p w14:paraId="3A1D8D0F" w14:textId="77777777" w:rsidR="00B2069C" w:rsidRPr="00B2069C" w:rsidRDefault="00B2069C" w:rsidP="00B2069C">
      <w:pPr>
        <w:numPr>
          <w:ilvl w:val="1"/>
          <w:numId w:val="16"/>
        </w:numPr>
      </w:pPr>
      <w:r w:rsidRPr="00B2069C">
        <w:rPr>
          <w:b/>
          <w:bCs/>
        </w:rPr>
        <w:t>Reading Score</w:t>
      </w:r>
      <w:r w:rsidRPr="00B2069C">
        <w:t>:</w:t>
      </w:r>
    </w:p>
    <w:p w14:paraId="1AB93B5D" w14:textId="77777777" w:rsidR="00B2069C" w:rsidRPr="00B2069C" w:rsidRDefault="00B2069C" w:rsidP="00B2069C">
      <w:pPr>
        <w:numPr>
          <w:ilvl w:val="2"/>
          <w:numId w:val="16"/>
        </w:numPr>
      </w:pPr>
      <w:r w:rsidRPr="00B2069C">
        <w:rPr>
          <w:b/>
          <w:bCs/>
        </w:rPr>
        <w:t>Count</w:t>
      </w:r>
      <w:r w:rsidRPr="00B2069C">
        <w:t>: 39,170</w:t>
      </w:r>
    </w:p>
    <w:p w14:paraId="4F271A21" w14:textId="77777777" w:rsidR="00B2069C" w:rsidRPr="00B2069C" w:rsidRDefault="00B2069C" w:rsidP="00B2069C">
      <w:pPr>
        <w:numPr>
          <w:ilvl w:val="2"/>
          <w:numId w:val="16"/>
        </w:numPr>
      </w:pPr>
      <w:r w:rsidRPr="00B2069C">
        <w:rPr>
          <w:b/>
          <w:bCs/>
        </w:rPr>
        <w:t>Mean</w:t>
      </w:r>
      <w:r w:rsidRPr="00B2069C">
        <w:t>: 69.98</w:t>
      </w:r>
    </w:p>
    <w:p w14:paraId="2A22386F" w14:textId="77777777" w:rsidR="00B2069C" w:rsidRPr="00B2069C" w:rsidRDefault="00B2069C" w:rsidP="00B2069C">
      <w:pPr>
        <w:numPr>
          <w:ilvl w:val="2"/>
          <w:numId w:val="16"/>
        </w:numPr>
      </w:pPr>
      <w:r w:rsidRPr="00B2069C">
        <w:rPr>
          <w:b/>
          <w:bCs/>
        </w:rPr>
        <w:t>Standard Deviation</w:t>
      </w:r>
      <w:r w:rsidRPr="00B2069C">
        <w:t>: 17.24</w:t>
      </w:r>
    </w:p>
    <w:p w14:paraId="7DDBC8FF" w14:textId="77777777" w:rsidR="00B2069C" w:rsidRPr="00B2069C" w:rsidRDefault="00B2069C" w:rsidP="00B2069C">
      <w:pPr>
        <w:numPr>
          <w:ilvl w:val="2"/>
          <w:numId w:val="16"/>
        </w:numPr>
      </w:pPr>
      <w:r w:rsidRPr="00B2069C">
        <w:rPr>
          <w:b/>
          <w:bCs/>
        </w:rPr>
        <w:t>Min/Max</w:t>
      </w:r>
      <w:r w:rsidRPr="00B2069C">
        <w:t>: 39 / 99</w:t>
      </w:r>
    </w:p>
    <w:p w14:paraId="73BAD432" w14:textId="77777777" w:rsidR="00B2069C" w:rsidRPr="00B2069C" w:rsidRDefault="00B2069C" w:rsidP="00B2069C">
      <w:pPr>
        <w:numPr>
          <w:ilvl w:val="2"/>
          <w:numId w:val="16"/>
        </w:numPr>
      </w:pPr>
      <w:r w:rsidRPr="00B2069C">
        <w:rPr>
          <w:b/>
          <w:bCs/>
        </w:rPr>
        <w:t>25th/50th/75th Percentile</w:t>
      </w:r>
      <w:r w:rsidRPr="00B2069C">
        <w:t>: 55 / 70 / 85</w:t>
      </w:r>
    </w:p>
    <w:p w14:paraId="47FFB159" w14:textId="77777777" w:rsidR="00B2069C" w:rsidRPr="00B2069C" w:rsidRDefault="00B2069C" w:rsidP="00B2069C">
      <w:pPr>
        <w:numPr>
          <w:ilvl w:val="0"/>
          <w:numId w:val="16"/>
        </w:numPr>
      </w:pPr>
      <w:r w:rsidRPr="00B2069C">
        <w:rPr>
          <w:b/>
          <w:bCs/>
        </w:rPr>
        <w:t>Distribution</w:t>
      </w:r>
      <w:r w:rsidRPr="00B2069C">
        <w:t>: The 25th percentile for both reading and math scores is at 55 and 56, respectively, while the 75th percentile is at 85 for both, indicating that 50% of students score between 55-85 in reading and 56-85 in math. The budget distribution shows a median of $1,910,635, with the 75th percentile being just over $3 million, highlighting some schools with significantly higher funding.</w:t>
      </w:r>
    </w:p>
    <w:p w14:paraId="73068682" w14:textId="77777777" w:rsidR="00B2069C" w:rsidRPr="00B2069C" w:rsidRDefault="00B2069C" w:rsidP="00B2069C">
      <w:pPr>
        <w:rPr>
          <w:b/>
          <w:bCs/>
        </w:rPr>
      </w:pPr>
      <w:r w:rsidRPr="00B2069C">
        <w:rPr>
          <w:b/>
          <w:bCs/>
        </w:rPr>
        <w:t>Key Observations:</w:t>
      </w:r>
    </w:p>
    <w:p w14:paraId="68477E9D" w14:textId="77777777" w:rsidR="00B2069C" w:rsidRPr="00B2069C" w:rsidRDefault="00B2069C" w:rsidP="00B2069C">
      <w:pPr>
        <w:numPr>
          <w:ilvl w:val="0"/>
          <w:numId w:val="18"/>
        </w:numPr>
      </w:pPr>
      <w:r w:rsidRPr="00B2069C">
        <w:rPr>
          <w:b/>
          <w:bCs/>
        </w:rPr>
        <w:t>Resource Allocation</w:t>
      </w:r>
      <w:r w:rsidRPr="00B2069C">
        <w:t>: The large standard deviation in school size and budget suggests unequal distribution of resources, which may contribute to varying student performance across schools. Schools with lower budgets might require additional funding to boost student outcomes.</w:t>
      </w:r>
    </w:p>
    <w:p w14:paraId="19D12993" w14:textId="77777777" w:rsidR="00B2069C" w:rsidRPr="00B2069C" w:rsidRDefault="00B2069C" w:rsidP="00B2069C">
      <w:pPr>
        <w:numPr>
          <w:ilvl w:val="0"/>
          <w:numId w:val="18"/>
        </w:numPr>
      </w:pPr>
      <w:r w:rsidRPr="00B2069C">
        <w:rPr>
          <w:b/>
          <w:bCs/>
        </w:rPr>
        <w:t>Performance Variation</w:t>
      </w:r>
      <w:r w:rsidRPr="00B2069C">
        <w:t>: The spread in scores (from 39 to 99) indicates a broad spectrum of student performance, which might necessitate differentiated teaching approaches or targeted support for students at the lower end of the spectrum.</w:t>
      </w:r>
    </w:p>
    <w:p w14:paraId="67C656D0" w14:textId="47DB1900" w:rsidR="00B2069C" w:rsidRPr="00B2069C" w:rsidRDefault="00B2069C" w:rsidP="00B2069C">
      <w:r w:rsidRPr="00B2069C">
        <w:lastRenderedPageBreak/>
        <w:t>This data provides a foundation for further analysis to explore correlations between budget allocations, school size, and academic performance. Such insights c</w:t>
      </w:r>
      <w:r>
        <w:t xml:space="preserve">an </w:t>
      </w:r>
      <w:r w:rsidRPr="00B2069C">
        <w:t>help in identifying effective strategies for improving student outcomes, particularly in underperforming schools.</w:t>
      </w:r>
    </w:p>
    <w:p w14:paraId="3EFD4546" w14:textId="77777777" w:rsidR="00B2069C" w:rsidRPr="00B2069C" w:rsidRDefault="00B2069C" w:rsidP="00B2069C">
      <w:pPr>
        <w:rPr>
          <w:vanish/>
        </w:rPr>
      </w:pPr>
      <w:r w:rsidRPr="00B2069C">
        <w:rPr>
          <w:vanish/>
        </w:rPr>
        <w:t>Top of Form</w:t>
      </w:r>
    </w:p>
    <w:p w14:paraId="155774DC" w14:textId="77777777" w:rsidR="00B2069C" w:rsidRPr="00B2069C" w:rsidRDefault="00B2069C" w:rsidP="00B2069C">
      <w:pPr>
        <w:rPr>
          <w:vanish/>
        </w:rPr>
      </w:pPr>
      <w:r w:rsidRPr="00B2069C">
        <w:rPr>
          <w:vanish/>
        </w:rPr>
        <w:t>Bottom of Form</w:t>
      </w:r>
    </w:p>
    <w:p w14:paraId="4DD19F6B" w14:textId="77777777" w:rsidR="00113315" w:rsidRPr="00113315" w:rsidRDefault="00113315" w:rsidP="005B2AB7"/>
    <w:p w14:paraId="23B91F9A" w14:textId="77777777" w:rsidR="00113315" w:rsidRPr="00B2069C" w:rsidRDefault="00113315" w:rsidP="005B2AB7">
      <w:pPr>
        <w:rPr>
          <w:b/>
          <w:bCs/>
          <w:sz w:val="36"/>
          <w:szCs w:val="36"/>
          <w:u w:val="single"/>
        </w:rPr>
      </w:pPr>
      <w:r w:rsidRPr="00B2069C">
        <w:rPr>
          <w:b/>
          <w:bCs/>
          <w:sz w:val="36"/>
          <w:szCs w:val="36"/>
          <w:u w:val="single"/>
        </w:rPr>
        <w:t>Draws two correct conclusions or comparisons from the calculations (10 points)</w:t>
      </w:r>
    </w:p>
    <w:p w14:paraId="262A1A7D" w14:textId="77777777" w:rsidR="001A6FC6" w:rsidRPr="001A6FC6" w:rsidRDefault="001A6FC6" w:rsidP="009B7DD3">
      <w:r w:rsidRPr="001A6FC6">
        <w:t>The two key conclusions drawn from the database provided are:</w:t>
      </w:r>
    </w:p>
    <w:p w14:paraId="37292438" w14:textId="68AA2F7E" w:rsidR="001A6FC6" w:rsidRDefault="001A6FC6" w:rsidP="009B7DD3">
      <w:pPr>
        <w:rPr>
          <w:b/>
          <w:bCs/>
        </w:rPr>
      </w:pPr>
      <w:r w:rsidRPr="001A6FC6">
        <w:rPr>
          <w:b/>
          <w:bCs/>
        </w:rPr>
        <w:t>impact</w:t>
      </w:r>
      <w:r w:rsidRPr="001A6FC6">
        <w:rPr>
          <w:b/>
          <w:bCs/>
        </w:rPr>
        <w:t xml:space="preserve"> of Per-Student Budget on School Performance</w:t>
      </w:r>
    </w:p>
    <w:p w14:paraId="7C71C06B" w14:textId="2FA2A431" w:rsidR="001A6FC6" w:rsidRDefault="009B7DD3" w:rsidP="009B7DD3">
      <w:r w:rsidRPr="009B7DD3">
        <w:t>The analysis shows that government schools generally have a higher per-student budget ($643.86) compared to independent schools ($599.56). However, despite this higher budget, independent schools are outperforming government schools in terms of academic performance. The average overall passing percentage in independent schools is 76.69%, which is approximately 6% higher than in government schools (70.41%).</w:t>
      </w:r>
    </w:p>
    <w:p w14:paraId="48E0261C" w14:textId="5A22CC13" w:rsidR="001A6FC6" w:rsidRDefault="001A6FC6" w:rsidP="009B7DD3">
      <w:r w:rsidRPr="008B2DB0">
        <w:drawing>
          <wp:inline distT="0" distB="0" distL="0" distR="0" wp14:anchorId="03FBCED2" wp14:editId="6E3A0090">
            <wp:extent cx="5731510" cy="433705"/>
            <wp:effectExtent l="0" t="0" r="2540" b="4445"/>
            <wp:docPr id="107496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79517" name=""/>
                    <pic:cNvPicPr/>
                  </pic:nvPicPr>
                  <pic:blipFill>
                    <a:blip r:embed="rId7"/>
                    <a:stretch>
                      <a:fillRect/>
                    </a:stretch>
                  </pic:blipFill>
                  <pic:spPr>
                    <a:xfrm>
                      <a:off x="0" y="0"/>
                      <a:ext cx="5731510" cy="433705"/>
                    </a:xfrm>
                    <a:prstGeom prst="rect">
                      <a:avLst/>
                    </a:prstGeom>
                  </pic:spPr>
                </pic:pic>
              </a:graphicData>
            </a:graphic>
          </wp:inline>
        </w:drawing>
      </w:r>
    </w:p>
    <w:p w14:paraId="7E934389" w14:textId="44444F42" w:rsidR="009B7DD3" w:rsidRPr="009B7DD3" w:rsidRDefault="009B7DD3" w:rsidP="009B7DD3">
      <w:r w:rsidRPr="009B7DD3">
        <w:t xml:space="preserve"> This suggests that factors beyond just budget allocation, such as teaching quality, curriculum, and student support services, may play a significant role in determining academic success.</w:t>
      </w:r>
      <w:r w:rsidR="00B15405">
        <w:t xml:space="preserve"> For example,</w:t>
      </w:r>
      <w:r w:rsidR="00B15405" w:rsidRPr="00B15405">
        <w:t xml:space="preserve"> </w:t>
      </w:r>
      <w:r w:rsidR="00B15405" w:rsidRPr="00B15405">
        <w:t>Griffin High School</w:t>
      </w:r>
      <w:r w:rsidR="00B15405">
        <w:t xml:space="preserve"> (Highest Performing School)</w:t>
      </w:r>
      <w:r w:rsidR="00B15405" w:rsidRPr="00B15405">
        <w:t xml:space="preserve"> demonstrates that effective budget management and possibly other qualitative factors can lead to superior academic outcomes, even with a slightly lower per-student budget</w:t>
      </w:r>
      <w:r w:rsidR="00B15405">
        <w:t xml:space="preserve"> when compared to </w:t>
      </w:r>
      <w:r w:rsidR="00B15405" w:rsidRPr="00B15405">
        <w:t>Hernandez High Schoo</w:t>
      </w:r>
      <w:r w:rsidR="00B15405">
        <w:t>l (</w:t>
      </w:r>
      <w:r w:rsidR="00B15405">
        <w:t>the lowest performing school</w:t>
      </w:r>
      <w:r w:rsidR="00B15405">
        <w:t>).</w:t>
      </w:r>
    </w:p>
    <w:p w14:paraId="3E27DE60" w14:textId="77777777" w:rsidR="001A6FC6" w:rsidRDefault="001A6FC6" w:rsidP="009B7DD3">
      <w:pPr>
        <w:rPr>
          <w:b/>
          <w:bCs/>
        </w:rPr>
      </w:pPr>
      <w:r w:rsidRPr="001A6FC6">
        <w:rPr>
          <w:b/>
          <w:bCs/>
        </w:rPr>
        <w:t>Performance Variation Across Different School Years:</w:t>
      </w:r>
    </w:p>
    <w:p w14:paraId="1BE67491" w14:textId="77777777" w:rsidR="001A6FC6" w:rsidRPr="001A6FC6" w:rsidRDefault="001A6FC6" w:rsidP="001A6FC6">
      <w:r w:rsidRPr="001A6FC6">
        <w:t>The performance analysis across different school years reveals that many schools peak in performance during Year 11, with scores often dipping in Year 12. This trend suggests that Year 11 might be a pivotal year where students are particularly focused, possibly due to increased academic challenges or preparation for final exams. The subsequent dip in Year 12 could be attributed to the pressures of final exams or other stressors, indicating a need for targeted support for students in their final year to maintain or improve performance levels.</w:t>
      </w:r>
    </w:p>
    <w:p w14:paraId="4A5A7104" w14:textId="2A766AA8" w:rsidR="001A6FC6" w:rsidRDefault="009B7DD3" w:rsidP="001A6FC6">
      <w:r w:rsidRPr="009B7DD3">
        <w:t>These conclusions emphasize the complexity of educational outcomes, where both financial resources and academic strategies must be carefully balanced to optimize student success.</w:t>
      </w:r>
      <w:r w:rsidR="001A6FC6" w:rsidRPr="001A6FC6">
        <w:t xml:space="preserve"> </w:t>
      </w:r>
    </w:p>
    <w:p w14:paraId="346B4488" w14:textId="0AAE725C" w:rsidR="009B7DD3" w:rsidRPr="009B7DD3" w:rsidRDefault="009B7DD3" w:rsidP="009B7DD3"/>
    <w:p w14:paraId="39DC23CA" w14:textId="77777777" w:rsidR="009C58B2" w:rsidRDefault="009C58B2"/>
    <w:sectPr w:rsidR="009C58B2" w:rsidSect="00B2069C">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5D52F" w14:textId="77777777" w:rsidR="00A302EE" w:rsidRDefault="00A302EE" w:rsidP="00435302">
      <w:pPr>
        <w:spacing w:after="0" w:line="240" w:lineRule="auto"/>
      </w:pPr>
      <w:r>
        <w:separator/>
      </w:r>
    </w:p>
  </w:endnote>
  <w:endnote w:type="continuationSeparator" w:id="0">
    <w:p w14:paraId="0801BF20" w14:textId="77777777" w:rsidR="00A302EE" w:rsidRDefault="00A302EE" w:rsidP="0043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D3A95" w14:textId="77777777" w:rsidR="00A302EE" w:rsidRDefault="00A302EE" w:rsidP="00435302">
      <w:pPr>
        <w:spacing w:after="0" w:line="240" w:lineRule="auto"/>
      </w:pPr>
      <w:r>
        <w:separator/>
      </w:r>
    </w:p>
  </w:footnote>
  <w:footnote w:type="continuationSeparator" w:id="0">
    <w:p w14:paraId="7E33B793" w14:textId="77777777" w:rsidR="00A302EE" w:rsidRDefault="00A302EE" w:rsidP="00435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3D463" w14:textId="4A1B2DBC" w:rsidR="00435302" w:rsidRDefault="00435302">
    <w:pPr>
      <w:pStyle w:val="Header"/>
    </w:pPr>
    <w:r>
      <w:t>Amrit Kaur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E7CAA"/>
    <w:multiLevelType w:val="multilevel"/>
    <w:tmpl w:val="AABA1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55B8D"/>
    <w:multiLevelType w:val="multilevel"/>
    <w:tmpl w:val="CDA6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37D1"/>
    <w:multiLevelType w:val="multilevel"/>
    <w:tmpl w:val="31F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B1094"/>
    <w:multiLevelType w:val="hybridMultilevel"/>
    <w:tmpl w:val="597E99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B636B9"/>
    <w:multiLevelType w:val="multilevel"/>
    <w:tmpl w:val="4B8C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F0766"/>
    <w:multiLevelType w:val="multilevel"/>
    <w:tmpl w:val="F6A80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E4F62"/>
    <w:multiLevelType w:val="multilevel"/>
    <w:tmpl w:val="765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37BBD"/>
    <w:multiLevelType w:val="multilevel"/>
    <w:tmpl w:val="C75C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9424F"/>
    <w:multiLevelType w:val="multilevel"/>
    <w:tmpl w:val="26DAE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0532F"/>
    <w:multiLevelType w:val="multilevel"/>
    <w:tmpl w:val="0A943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53A31"/>
    <w:multiLevelType w:val="multilevel"/>
    <w:tmpl w:val="5F3E3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9B6868"/>
    <w:multiLevelType w:val="multilevel"/>
    <w:tmpl w:val="5248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31F9B"/>
    <w:multiLevelType w:val="multilevel"/>
    <w:tmpl w:val="666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F6D5D"/>
    <w:multiLevelType w:val="multilevel"/>
    <w:tmpl w:val="D2185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1F32D1"/>
    <w:multiLevelType w:val="multilevel"/>
    <w:tmpl w:val="937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003D9"/>
    <w:multiLevelType w:val="multilevel"/>
    <w:tmpl w:val="AA48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80779"/>
    <w:multiLevelType w:val="multilevel"/>
    <w:tmpl w:val="D214D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909A0"/>
    <w:multiLevelType w:val="multilevel"/>
    <w:tmpl w:val="EF5A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12EA3"/>
    <w:multiLevelType w:val="multilevel"/>
    <w:tmpl w:val="CA0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153580">
    <w:abstractNumId w:val="15"/>
  </w:num>
  <w:num w:numId="2" w16cid:durableId="140538991">
    <w:abstractNumId w:val="13"/>
  </w:num>
  <w:num w:numId="3" w16cid:durableId="257980180">
    <w:abstractNumId w:val="6"/>
  </w:num>
  <w:num w:numId="4" w16cid:durableId="1287590026">
    <w:abstractNumId w:val="2"/>
  </w:num>
  <w:num w:numId="5" w16cid:durableId="1693914756">
    <w:abstractNumId w:val="8"/>
  </w:num>
  <w:num w:numId="6" w16cid:durableId="283850932">
    <w:abstractNumId w:val="3"/>
  </w:num>
  <w:num w:numId="7" w16cid:durableId="702899526">
    <w:abstractNumId w:val="5"/>
  </w:num>
  <w:num w:numId="8" w16cid:durableId="760024574">
    <w:abstractNumId w:val="17"/>
  </w:num>
  <w:num w:numId="9" w16cid:durableId="1743940387">
    <w:abstractNumId w:val="7"/>
  </w:num>
  <w:num w:numId="10" w16cid:durableId="1607926713">
    <w:abstractNumId w:val="14"/>
  </w:num>
  <w:num w:numId="11" w16cid:durableId="1312755196">
    <w:abstractNumId w:val="18"/>
  </w:num>
  <w:num w:numId="12" w16cid:durableId="1399087379">
    <w:abstractNumId w:val="11"/>
  </w:num>
  <w:num w:numId="13" w16cid:durableId="929964777">
    <w:abstractNumId w:val="16"/>
  </w:num>
  <w:num w:numId="14" w16cid:durableId="813134846">
    <w:abstractNumId w:val="0"/>
  </w:num>
  <w:num w:numId="15" w16cid:durableId="1939169966">
    <w:abstractNumId w:val="4"/>
  </w:num>
  <w:num w:numId="16" w16cid:durableId="1768886859">
    <w:abstractNumId w:val="9"/>
  </w:num>
  <w:num w:numId="17" w16cid:durableId="756436912">
    <w:abstractNumId w:val="1"/>
  </w:num>
  <w:num w:numId="18" w16cid:durableId="1539466013">
    <w:abstractNumId w:val="12"/>
  </w:num>
  <w:num w:numId="19" w16cid:durableId="1470200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01"/>
    <w:rsid w:val="00072B6F"/>
    <w:rsid w:val="001010BA"/>
    <w:rsid w:val="00113315"/>
    <w:rsid w:val="001541AE"/>
    <w:rsid w:val="001A6FC6"/>
    <w:rsid w:val="001D7F84"/>
    <w:rsid w:val="00370C0B"/>
    <w:rsid w:val="00392C46"/>
    <w:rsid w:val="00435302"/>
    <w:rsid w:val="00476341"/>
    <w:rsid w:val="00551711"/>
    <w:rsid w:val="00557001"/>
    <w:rsid w:val="005B2AB7"/>
    <w:rsid w:val="007E2918"/>
    <w:rsid w:val="00876F8B"/>
    <w:rsid w:val="008A64E4"/>
    <w:rsid w:val="008B2DB0"/>
    <w:rsid w:val="008C584A"/>
    <w:rsid w:val="009B7DD3"/>
    <w:rsid w:val="009C58B2"/>
    <w:rsid w:val="00A302EE"/>
    <w:rsid w:val="00B15405"/>
    <w:rsid w:val="00B2069C"/>
    <w:rsid w:val="00C30628"/>
    <w:rsid w:val="00D02C79"/>
    <w:rsid w:val="00D624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2B32"/>
  <w15:chartTrackingRefBased/>
  <w15:docId w15:val="{3ABE2D40-3538-4FEB-9494-C18CB29D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001"/>
    <w:rPr>
      <w:rFonts w:eastAsiaTheme="majorEastAsia" w:cstheme="majorBidi"/>
      <w:color w:val="272727" w:themeColor="text1" w:themeTint="D8"/>
    </w:rPr>
  </w:style>
  <w:style w:type="paragraph" w:styleId="Title">
    <w:name w:val="Title"/>
    <w:basedOn w:val="Normal"/>
    <w:next w:val="Normal"/>
    <w:link w:val="TitleChar"/>
    <w:uiPriority w:val="10"/>
    <w:qFormat/>
    <w:rsid w:val="0055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7001"/>
    <w:rPr>
      <w:i/>
      <w:iCs/>
      <w:color w:val="404040" w:themeColor="text1" w:themeTint="BF"/>
    </w:rPr>
  </w:style>
  <w:style w:type="paragraph" w:styleId="ListParagraph">
    <w:name w:val="List Paragraph"/>
    <w:basedOn w:val="Normal"/>
    <w:uiPriority w:val="34"/>
    <w:qFormat/>
    <w:rsid w:val="00557001"/>
    <w:pPr>
      <w:ind w:left="720"/>
      <w:contextualSpacing/>
    </w:pPr>
  </w:style>
  <w:style w:type="character" w:styleId="IntenseEmphasis">
    <w:name w:val="Intense Emphasis"/>
    <w:basedOn w:val="DefaultParagraphFont"/>
    <w:uiPriority w:val="21"/>
    <w:qFormat/>
    <w:rsid w:val="00557001"/>
    <w:rPr>
      <w:i/>
      <w:iCs/>
      <w:color w:val="0F4761" w:themeColor="accent1" w:themeShade="BF"/>
    </w:rPr>
  </w:style>
  <w:style w:type="paragraph" w:styleId="IntenseQuote">
    <w:name w:val="Intense Quote"/>
    <w:basedOn w:val="Normal"/>
    <w:next w:val="Normal"/>
    <w:link w:val="IntenseQuoteChar"/>
    <w:uiPriority w:val="30"/>
    <w:qFormat/>
    <w:rsid w:val="00557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001"/>
    <w:rPr>
      <w:i/>
      <w:iCs/>
      <w:color w:val="0F4761" w:themeColor="accent1" w:themeShade="BF"/>
    </w:rPr>
  </w:style>
  <w:style w:type="character" w:styleId="IntenseReference">
    <w:name w:val="Intense Reference"/>
    <w:basedOn w:val="DefaultParagraphFont"/>
    <w:uiPriority w:val="32"/>
    <w:qFormat/>
    <w:rsid w:val="00557001"/>
    <w:rPr>
      <w:b/>
      <w:bCs/>
      <w:smallCaps/>
      <w:color w:val="0F4761" w:themeColor="accent1" w:themeShade="BF"/>
      <w:spacing w:val="5"/>
    </w:rPr>
  </w:style>
  <w:style w:type="paragraph" w:styleId="Header">
    <w:name w:val="header"/>
    <w:basedOn w:val="Normal"/>
    <w:link w:val="HeaderChar"/>
    <w:uiPriority w:val="99"/>
    <w:unhideWhenUsed/>
    <w:rsid w:val="00435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302"/>
  </w:style>
  <w:style w:type="paragraph" w:styleId="Footer">
    <w:name w:val="footer"/>
    <w:basedOn w:val="Normal"/>
    <w:link w:val="FooterChar"/>
    <w:uiPriority w:val="99"/>
    <w:unhideWhenUsed/>
    <w:rsid w:val="00435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9964">
      <w:bodyDiv w:val="1"/>
      <w:marLeft w:val="0"/>
      <w:marRight w:val="0"/>
      <w:marTop w:val="0"/>
      <w:marBottom w:val="0"/>
      <w:divBdr>
        <w:top w:val="none" w:sz="0" w:space="0" w:color="auto"/>
        <w:left w:val="none" w:sz="0" w:space="0" w:color="auto"/>
        <w:bottom w:val="none" w:sz="0" w:space="0" w:color="auto"/>
        <w:right w:val="none" w:sz="0" w:space="0" w:color="auto"/>
      </w:divBdr>
      <w:divsChild>
        <w:div w:id="213781550">
          <w:marLeft w:val="0"/>
          <w:marRight w:val="0"/>
          <w:marTop w:val="0"/>
          <w:marBottom w:val="0"/>
          <w:divBdr>
            <w:top w:val="none" w:sz="0" w:space="0" w:color="auto"/>
            <w:left w:val="none" w:sz="0" w:space="0" w:color="auto"/>
            <w:bottom w:val="none" w:sz="0" w:space="0" w:color="auto"/>
            <w:right w:val="none" w:sz="0" w:space="0" w:color="auto"/>
          </w:divBdr>
          <w:divsChild>
            <w:div w:id="1260143000">
              <w:marLeft w:val="0"/>
              <w:marRight w:val="0"/>
              <w:marTop w:val="0"/>
              <w:marBottom w:val="0"/>
              <w:divBdr>
                <w:top w:val="none" w:sz="0" w:space="0" w:color="auto"/>
                <w:left w:val="none" w:sz="0" w:space="0" w:color="auto"/>
                <w:bottom w:val="none" w:sz="0" w:space="0" w:color="auto"/>
                <w:right w:val="none" w:sz="0" w:space="0" w:color="auto"/>
              </w:divBdr>
              <w:divsChild>
                <w:div w:id="59208891">
                  <w:marLeft w:val="0"/>
                  <w:marRight w:val="0"/>
                  <w:marTop w:val="0"/>
                  <w:marBottom w:val="0"/>
                  <w:divBdr>
                    <w:top w:val="none" w:sz="0" w:space="0" w:color="auto"/>
                    <w:left w:val="none" w:sz="0" w:space="0" w:color="auto"/>
                    <w:bottom w:val="none" w:sz="0" w:space="0" w:color="auto"/>
                    <w:right w:val="none" w:sz="0" w:space="0" w:color="auto"/>
                  </w:divBdr>
                  <w:divsChild>
                    <w:div w:id="8592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06023">
          <w:marLeft w:val="0"/>
          <w:marRight w:val="0"/>
          <w:marTop w:val="0"/>
          <w:marBottom w:val="0"/>
          <w:divBdr>
            <w:top w:val="none" w:sz="0" w:space="0" w:color="auto"/>
            <w:left w:val="none" w:sz="0" w:space="0" w:color="auto"/>
            <w:bottom w:val="none" w:sz="0" w:space="0" w:color="auto"/>
            <w:right w:val="none" w:sz="0" w:space="0" w:color="auto"/>
          </w:divBdr>
          <w:divsChild>
            <w:div w:id="1557618391">
              <w:marLeft w:val="0"/>
              <w:marRight w:val="0"/>
              <w:marTop w:val="0"/>
              <w:marBottom w:val="0"/>
              <w:divBdr>
                <w:top w:val="none" w:sz="0" w:space="0" w:color="auto"/>
                <w:left w:val="none" w:sz="0" w:space="0" w:color="auto"/>
                <w:bottom w:val="none" w:sz="0" w:space="0" w:color="auto"/>
                <w:right w:val="none" w:sz="0" w:space="0" w:color="auto"/>
              </w:divBdr>
              <w:divsChild>
                <w:div w:id="306399840">
                  <w:marLeft w:val="0"/>
                  <w:marRight w:val="0"/>
                  <w:marTop w:val="0"/>
                  <w:marBottom w:val="0"/>
                  <w:divBdr>
                    <w:top w:val="none" w:sz="0" w:space="0" w:color="auto"/>
                    <w:left w:val="none" w:sz="0" w:space="0" w:color="auto"/>
                    <w:bottom w:val="none" w:sz="0" w:space="0" w:color="auto"/>
                    <w:right w:val="none" w:sz="0" w:space="0" w:color="auto"/>
                  </w:divBdr>
                  <w:divsChild>
                    <w:div w:id="15494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5655">
      <w:bodyDiv w:val="1"/>
      <w:marLeft w:val="0"/>
      <w:marRight w:val="0"/>
      <w:marTop w:val="0"/>
      <w:marBottom w:val="0"/>
      <w:divBdr>
        <w:top w:val="none" w:sz="0" w:space="0" w:color="auto"/>
        <w:left w:val="none" w:sz="0" w:space="0" w:color="auto"/>
        <w:bottom w:val="none" w:sz="0" w:space="0" w:color="auto"/>
        <w:right w:val="none" w:sz="0" w:space="0" w:color="auto"/>
      </w:divBdr>
    </w:div>
    <w:div w:id="137041541">
      <w:bodyDiv w:val="1"/>
      <w:marLeft w:val="0"/>
      <w:marRight w:val="0"/>
      <w:marTop w:val="0"/>
      <w:marBottom w:val="0"/>
      <w:divBdr>
        <w:top w:val="none" w:sz="0" w:space="0" w:color="auto"/>
        <w:left w:val="none" w:sz="0" w:space="0" w:color="auto"/>
        <w:bottom w:val="none" w:sz="0" w:space="0" w:color="auto"/>
        <w:right w:val="none" w:sz="0" w:space="0" w:color="auto"/>
      </w:divBdr>
    </w:div>
    <w:div w:id="204635996">
      <w:bodyDiv w:val="1"/>
      <w:marLeft w:val="0"/>
      <w:marRight w:val="0"/>
      <w:marTop w:val="0"/>
      <w:marBottom w:val="0"/>
      <w:divBdr>
        <w:top w:val="none" w:sz="0" w:space="0" w:color="auto"/>
        <w:left w:val="none" w:sz="0" w:space="0" w:color="auto"/>
        <w:bottom w:val="none" w:sz="0" w:space="0" w:color="auto"/>
        <w:right w:val="none" w:sz="0" w:space="0" w:color="auto"/>
      </w:divBdr>
    </w:div>
    <w:div w:id="501438209">
      <w:bodyDiv w:val="1"/>
      <w:marLeft w:val="0"/>
      <w:marRight w:val="0"/>
      <w:marTop w:val="0"/>
      <w:marBottom w:val="0"/>
      <w:divBdr>
        <w:top w:val="none" w:sz="0" w:space="0" w:color="auto"/>
        <w:left w:val="none" w:sz="0" w:space="0" w:color="auto"/>
        <w:bottom w:val="none" w:sz="0" w:space="0" w:color="auto"/>
        <w:right w:val="none" w:sz="0" w:space="0" w:color="auto"/>
      </w:divBdr>
      <w:divsChild>
        <w:div w:id="1678314591">
          <w:marLeft w:val="0"/>
          <w:marRight w:val="0"/>
          <w:marTop w:val="0"/>
          <w:marBottom w:val="0"/>
          <w:divBdr>
            <w:top w:val="none" w:sz="0" w:space="0" w:color="auto"/>
            <w:left w:val="none" w:sz="0" w:space="0" w:color="auto"/>
            <w:bottom w:val="none" w:sz="0" w:space="0" w:color="auto"/>
            <w:right w:val="none" w:sz="0" w:space="0" w:color="auto"/>
          </w:divBdr>
          <w:divsChild>
            <w:div w:id="225410016">
              <w:marLeft w:val="0"/>
              <w:marRight w:val="0"/>
              <w:marTop w:val="0"/>
              <w:marBottom w:val="0"/>
              <w:divBdr>
                <w:top w:val="none" w:sz="0" w:space="0" w:color="auto"/>
                <w:left w:val="none" w:sz="0" w:space="0" w:color="auto"/>
                <w:bottom w:val="none" w:sz="0" w:space="0" w:color="auto"/>
                <w:right w:val="none" w:sz="0" w:space="0" w:color="auto"/>
              </w:divBdr>
              <w:divsChild>
                <w:div w:id="1248882052">
                  <w:marLeft w:val="0"/>
                  <w:marRight w:val="0"/>
                  <w:marTop w:val="0"/>
                  <w:marBottom w:val="0"/>
                  <w:divBdr>
                    <w:top w:val="none" w:sz="0" w:space="0" w:color="auto"/>
                    <w:left w:val="none" w:sz="0" w:space="0" w:color="auto"/>
                    <w:bottom w:val="none" w:sz="0" w:space="0" w:color="auto"/>
                    <w:right w:val="none" w:sz="0" w:space="0" w:color="auto"/>
                  </w:divBdr>
                  <w:divsChild>
                    <w:div w:id="2014337572">
                      <w:marLeft w:val="0"/>
                      <w:marRight w:val="0"/>
                      <w:marTop w:val="0"/>
                      <w:marBottom w:val="0"/>
                      <w:divBdr>
                        <w:top w:val="none" w:sz="0" w:space="0" w:color="auto"/>
                        <w:left w:val="none" w:sz="0" w:space="0" w:color="auto"/>
                        <w:bottom w:val="none" w:sz="0" w:space="0" w:color="auto"/>
                        <w:right w:val="none" w:sz="0" w:space="0" w:color="auto"/>
                      </w:divBdr>
                      <w:divsChild>
                        <w:div w:id="1678002214">
                          <w:marLeft w:val="0"/>
                          <w:marRight w:val="0"/>
                          <w:marTop w:val="0"/>
                          <w:marBottom w:val="0"/>
                          <w:divBdr>
                            <w:top w:val="none" w:sz="0" w:space="0" w:color="auto"/>
                            <w:left w:val="none" w:sz="0" w:space="0" w:color="auto"/>
                            <w:bottom w:val="none" w:sz="0" w:space="0" w:color="auto"/>
                            <w:right w:val="none" w:sz="0" w:space="0" w:color="auto"/>
                          </w:divBdr>
                          <w:divsChild>
                            <w:div w:id="1691568920">
                              <w:marLeft w:val="0"/>
                              <w:marRight w:val="0"/>
                              <w:marTop w:val="0"/>
                              <w:marBottom w:val="0"/>
                              <w:divBdr>
                                <w:top w:val="none" w:sz="0" w:space="0" w:color="auto"/>
                                <w:left w:val="none" w:sz="0" w:space="0" w:color="auto"/>
                                <w:bottom w:val="none" w:sz="0" w:space="0" w:color="auto"/>
                                <w:right w:val="none" w:sz="0" w:space="0" w:color="auto"/>
                              </w:divBdr>
                              <w:divsChild>
                                <w:div w:id="1549142036">
                                  <w:marLeft w:val="0"/>
                                  <w:marRight w:val="0"/>
                                  <w:marTop w:val="0"/>
                                  <w:marBottom w:val="0"/>
                                  <w:divBdr>
                                    <w:top w:val="none" w:sz="0" w:space="0" w:color="auto"/>
                                    <w:left w:val="none" w:sz="0" w:space="0" w:color="auto"/>
                                    <w:bottom w:val="none" w:sz="0" w:space="0" w:color="auto"/>
                                    <w:right w:val="none" w:sz="0" w:space="0" w:color="auto"/>
                                  </w:divBdr>
                                  <w:divsChild>
                                    <w:div w:id="848106716">
                                      <w:marLeft w:val="0"/>
                                      <w:marRight w:val="0"/>
                                      <w:marTop w:val="0"/>
                                      <w:marBottom w:val="0"/>
                                      <w:divBdr>
                                        <w:top w:val="none" w:sz="0" w:space="0" w:color="auto"/>
                                        <w:left w:val="none" w:sz="0" w:space="0" w:color="auto"/>
                                        <w:bottom w:val="none" w:sz="0" w:space="0" w:color="auto"/>
                                        <w:right w:val="none" w:sz="0" w:space="0" w:color="auto"/>
                                      </w:divBdr>
                                      <w:divsChild>
                                        <w:div w:id="2002196493">
                                          <w:marLeft w:val="0"/>
                                          <w:marRight w:val="0"/>
                                          <w:marTop w:val="0"/>
                                          <w:marBottom w:val="0"/>
                                          <w:divBdr>
                                            <w:top w:val="none" w:sz="0" w:space="0" w:color="auto"/>
                                            <w:left w:val="none" w:sz="0" w:space="0" w:color="auto"/>
                                            <w:bottom w:val="none" w:sz="0" w:space="0" w:color="auto"/>
                                            <w:right w:val="none" w:sz="0" w:space="0" w:color="auto"/>
                                          </w:divBdr>
                                          <w:divsChild>
                                            <w:div w:id="1962878476">
                                              <w:marLeft w:val="0"/>
                                              <w:marRight w:val="0"/>
                                              <w:marTop w:val="0"/>
                                              <w:marBottom w:val="0"/>
                                              <w:divBdr>
                                                <w:top w:val="none" w:sz="0" w:space="0" w:color="auto"/>
                                                <w:left w:val="none" w:sz="0" w:space="0" w:color="auto"/>
                                                <w:bottom w:val="none" w:sz="0" w:space="0" w:color="auto"/>
                                                <w:right w:val="none" w:sz="0" w:space="0" w:color="auto"/>
                                              </w:divBdr>
                                              <w:divsChild>
                                                <w:div w:id="1346513105">
                                                  <w:marLeft w:val="0"/>
                                                  <w:marRight w:val="0"/>
                                                  <w:marTop w:val="0"/>
                                                  <w:marBottom w:val="0"/>
                                                  <w:divBdr>
                                                    <w:top w:val="none" w:sz="0" w:space="0" w:color="auto"/>
                                                    <w:left w:val="none" w:sz="0" w:space="0" w:color="auto"/>
                                                    <w:bottom w:val="none" w:sz="0" w:space="0" w:color="auto"/>
                                                    <w:right w:val="none" w:sz="0" w:space="0" w:color="auto"/>
                                                  </w:divBdr>
                                                  <w:divsChild>
                                                    <w:div w:id="1043136898">
                                                      <w:marLeft w:val="0"/>
                                                      <w:marRight w:val="0"/>
                                                      <w:marTop w:val="0"/>
                                                      <w:marBottom w:val="0"/>
                                                      <w:divBdr>
                                                        <w:top w:val="none" w:sz="0" w:space="0" w:color="auto"/>
                                                        <w:left w:val="none" w:sz="0" w:space="0" w:color="auto"/>
                                                        <w:bottom w:val="none" w:sz="0" w:space="0" w:color="auto"/>
                                                        <w:right w:val="none" w:sz="0" w:space="0" w:color="auto"/>
                                                      </w:divBdr>
                                                      <w:divsChild>
                                                        <w:div w:id="4058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57695">
                                              <w:marLeft w:val="0"/>
                                              <w:marRight w:val="0"/>
                                              <w:marTop w:val="0"/>
                                              <w:marBottom w:val="0"/>
                                              <w:divBdr>
                                                <w:top w:val="none" w:sz="0" w:space="0" w:color="auto"/>
                                                <w:left w:val="none" w:sz="0" w:space="0" w:color="auto"/>
                                                <w:bottom w:val="none" w:sz="0" w:space="0" w:color="auto"/>
                                                <w:right w:val="none" w:sz="0" w:space="0" w:color="auto"/>
                                              </w:divBdr>
                                              <w:divsChild>
                                                <w:div w:id="1486628220">
                                                  <w:marLeft w:val="0"/>
                                                  <w:marRight w:val="0"/>
                                                  <w:marTop w:val="0"/>
                                                  <w:marBottom w:val="0"/>
                                                  <w:divBdr>
                                                    <w:top w:val="none" w:sz="0" w:space="0" w:color="auto"/>
                                                    <w:left w:val="none" w:sz="0" w:space="0" w:color="auto"/>
                                                    <w:bottom w:val="none" w:sz="0" w:space="0" w:color="auto"/>
                                                    <w:right w:val="none" w:sz="0" w:space="0" w:color="auto"/>
                                                  </w:divBdr>
                                                  <w:divsChild>
                                                    <w:div w:id="1685131985">
                                                      <w:marLeft w:val="0"/>
                                                      <w:marRight w:val="0"/>
                                                      <w:marTop w:val="0"/>
                                                      <w:marBottom w:val="0"/>
                                                      <w:divBdr>
                                                        <w:top w:val="none" w:sz="0" w:space="0" w:color="auto"/>
                                                        <w:left w:val="none" w:sz="0" w:space="0" w:color="auto"/>
                                                        <w:bottom w:val="none" w:sz="0" w:space="0" w:color="auto"/>
                                                        <w:right w:val="none" w:sz="0" w:space="0" w:color="auto"/>
                                                      </w:divBdr>
                                                      <w:divsChild>
                                                        <w:div w:id="530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2267578">
          <w:marLeft w:val="0"/>
          <w:marRight w:val="0"/>
          <w:marTop w:val="0"/>
          <w:marBottom w:val="0"/>
          <w:divBdr>
            <w:top w:val="none" w:sz="0" w:space="0" w:color="auto"/>
            <w:left w:val="none" w:sz="0" w:space="0" w:color="auto"/>
            <w:bottom w:val="none" w:sz="0" w:space="0" w:color="auto"/>
            <w:right w:val="none" w:sz="0" w:space="0" w:color="auto"/>
          </w:divBdr>
          <w:divsChild>
            <w:div w:id="493111274">
              <w:marLeft w:val="0"/>
              <w:marRight w:val="0"/>
              <w:marTop w:val="0"/>
              <w:marBottom w:val="0"/>
              <w:divBdr>
                <w:top w:val="none" w:sz="0" w:space="0" w:color="auto"/>
                <w:left w:val="none" w:sz="0" w:space="0" w:color="auto"/>
                <w:bottom w:val="none" w:sz="0" w:space="0" w:color="auto"/>
                <w:right w:val="none" w:sz="0" w:space="0" w:color="auto"/>
              </w:divBdr>
              <w:divsChild>
                <w:div w:id="623459640">
                  <w:marLeft w:val="0"/>
                  <w:marRight w:val="0"/>
                  <w:marTop w:val="0"/>
                  <w:marBottom w:val="0"/>
                  <w:divBdr>
                    <w:top w:val="none" w:sz="0" w:space="0" w:color="auto"/>
                    <w:left w:val="none" w:sz="0" w:space="0" w:color="auto"/>
                    <w:bottom w:val="none" w:sz="0" w:space="0" w:color="auto"/>
                    <w:right w:val="none" w:sz="0" w:space="0" w:color="auto"/>
                  </w:divBdr>
                  <w:divsChild>
                    <w:div w:id="7572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21970">
      <w:bodyDiv w:val="1"/>
      <w:marLeft w:val="0"/>
      <w:marRight w:val="0"/>
      <w:marTop w:val="0"/>
      <w:marBottom w:val="0"/>
      <w:divBdr>
        <w:top w:val="none" w:sz="0" w:space="0" w:color="auto"/>
        <w:left w:val="none" w:sz="0" w:space="0" w:color="auto"/>
        <w:bottom w:val="none" w:sz="0" w:space="0" w:color="auto"/>
        <w:right w:val="none" w:sz="0" w:space="0" w:color="auto"/>
      </w:divBdr>
    </w:div>
    <w:div w:id="779451276">
      <w:bodyDiv w:val="1"/>
      <w:marLeft w:val="0"/>
      <w:marRight w:val="0"/>
      <w:marTop w:val="0"/>
      <w:marBottom w:val="0"/>
      <w:divBdr>
        <w:top w:val="none" w:sz="0" w:space="0" w:color="auto"/>
        <w:left w:val="none" w:sz="0" w:space="0" w:color="auto"/>
        <w:bottom w:val="none" w:sz="0" w:space="0" w:color="auto"/>
        <w:right w:val="none" w:sz="0" w:space="0" w:color="auto"/>
      </w:divBdr>
    </w:div>
    <w:div w:id="909579635">
      <w:bodyDiv w:val="1"/>
      <w:marLeft w:val="0"/>
      <w:marRight w:val="0"/>
      <w:marTop w:val="0"/>
      <w:marBottom w:val="0"/>
      <w:divBdr>
        <w:top w:val="none" w:sz="0" w:space="0" w:color="auto"/>
        <w:left w:val="none" w:sz="0" w:space="0" w:color="auto"/>
        <w:bottom w:val="none" w:sz="0" w:space="0" w:color="auto"/>
        <w:right w:val="none" w:sz="0" w:space="0" w:color="auto"/>
      </w:divBdr>
    </w:div>
    <w:div w:id="1114056736">
      <w:bodyDiv w:val="1"/>
      <w:marLeft w:val="0"/>
      <w:marRight w:val="0"/>
      <w:marTop w:val="0"/>
      <w:marBottom w:val="0"/>
      <w:divBdr>
        <w:top w:val="none" w:sz="0" w:space="0" w:color="auto"/>
        <w:left w:val="none" w:sz="0" w:space="0" w:color="auto"/>
        <w:bottom w:val="none" w:sz="0" w:space="0" w:color="auto"/>
        <w:right w:val="none" w:sz="0" w:space="0" w:color="auto"/>
      </w:divBdr>
    </w:div>
    <w:div w:id="1225221508">
      <w:bodyDiv w:val="1"/>
      <w:marLeft w:val="0"/>
      <w:marRight w:val="0"/>
      <w:marTop w:val="0"/>
      <w:marBottom w:val="0"/>
      <w:divBdr>
        <w:top w:val="none" w:sz="0" w:space="0" w:color="auto"/>
        <w:left w:val="none" w:sz="0" w:space="0" w:color="auto"/>
        <w:bottom w:val="none" w:sz="0" w:space="0" w:color="auto"/>
        <w:right w:val="none" w:sz="0" w:space="0" w:color="auto"/>
      </w:divBdr>
    </w:div>
    <w:div w:id="1234051781">
      <w:bodyDiv w:val="1"/>
      <w:marLeft w:val="0"/>
      <w:marRight w:val="0"/>
      <w:marTop w:val="0"/>
      <w:marBottom w:val="0"/>
      <w:divBdr>
        <w:top w:val="none" w:sz="0" w:space="0" w:color="auto"/>
        <w:left w:val="none" w:sz="0" w:space="0" w:color="auto"/>
        <w:bottom w:val="none" w:sz="0" w:space="0" w:color="auto"/>
        <w:right w:val="none" w:sz="0" w:space="0" w:color="auto"/>
      </w:divBdr>
    </w:div>
    <w:div w:id="1338120621">
      <w:bodyDiv w:val="1"/>
      <w:marLeft w:val="0"/>
      <w:marRight w:val="0"/>
      <w:marTop w:val="0"/>
      <w:marBottom w:val="0"/>
      <w:divBdr>
        <w:top w:val="none" w:sz="0" w:space="0" w:color="auto"/>
        <w:left w:val="none" w:sz="0" w:space="0" w:color="auto"/>
        <w:bottom w:val="none" w:sz="0" w:space="0" w:color="auto"/>
        <w:right w:val="none" w:sz="0" w:space="0" w:color="auto"/>
      </w:divBdr>
    </w:div>
    <w:div w:id="1461000877">
      <w:bodyDiv w:val="1"/>
      <w:marLeft w:val="0"/>
      <w:marRight w:val="0"/>
      <w:marTop w:val="0"/>
      <w:marBottom w:val="0"/>
      <w:divBdr>
        <w:top w:val="none" w:sz="0" w:space="0" w:color="auto"/>
        <w:left w:val="none" w:sz="0" w:space="0" w:color="auto"/>
        <w:bottom w:val="none" w:sz="0" w:space="0" w:color="auto"/>
        <w:right w:val="none" w:sz="0" w:space="0" w:color="auto"/>
      </w:divBdr>
    </w:div>
    <w:div w:id="1594977497">
      <w:bodyDiv w:val="1"/>
      <w:marLeft w:val="0"/>
      <w:marRight w:val="0"/>
      <w:marTop w:val="0"/>
      <w:marBottom w:val="0"/>
      <w:divBdr>
        <w:top w:val="none" w:sz="0" w:space="0" w:color="auto"/>
        <w:left w:val="none" w:sz="0" w:space="0" w:color="auto"/>
        <w:bottom w:val="none" w:sz="0" w:space="0" w:color="auto"/>
        <w:right w:val="none" w:sz="0" w:space="0" w:color="auto"/>
      </w:divBdr>
      <w:divsChild>
        <w:div w:id="1652447614">
          <w:marLeft w:val="0"/>
          <w:marRight w:val="0"/>
          <w:marTop w:val="0"/>
          <w:marBottom w:val="0"/>
          <w:divBdr>
            <w:top w:val="none" w:sz="0" w:space="0" w:color="auto"/>
            <w:left w:val="none" w:sz="0" w:space="0" w:color="auto"/>
            <w:bottom w:val="none" w:sz="0" w:space="0" w:color="auto"/>
            <w:right w:val="none" w:sz="0" w:space="0" w:color="auto"/>
          </w:divBdr>
          <w:divsChild>
            <w:div w:id="421724519">
              <w:marLeft w:val="0"/>
              <w:marRight w:val="0"/>
              <w:marTop w:val="0"/>
              <w:marBottom w:val="0"/>
              <w:divBdr>
                <w:top w:val="none" w:sz="0" w:space="0" w:color="auto"/>
                <w:left w:val="none" w:sz="0" w:space="0" w:color="auto"/>
                <w:bottom w:val="none" w:sz="0" w:space="0" w:color="auto"/>
                <w:right w:val="none" w:sz="0" w:space="0" w:color="auto"/>
              </w:divBdr>
              <w:divsChild>
                <w:div w:id="249781695">
                  <w:marLeft w:val="0"/>
                  <w:marRight w:val="0"/>
                  <w:marTop w:val="0"/>
                  <w:marBottom w:val="0"/>
                  <w:divBdr>
                    <w:top w:val="none" w:sz="0" w:space="0" w:color="auto"/>
                    <w:left w:val="none" w:sz="0" w:space="0" w:color="auto"/>
                    <w:bottom w:val="none" w:sz="0" w:space="0" w:color="auto"/>
                    <w:right w:val="none" w:sz="0" w:space="0" w:color="auto"/>
                  </w:divBdr>
                  <w:divsChild>
                    <w:div w:id="17901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15041">
          <w:marLeft w:val="0"/>
          <w:marRight w:val="0"/>
          <w:marTop w:val="0"/>
          <w:marBottom w:val="0"/>
          <w:divBdr>
            <w:top w:val="none" w:sz="0" w:space="0" w:color="auto"/>
            <w:left w:val="none" w:sz="0" w:space="0" w:color="auto"/>
            <w:bottom w:val="none" w:sz="0" w:space="0" w:color="auto"/>
            <w:right w:val="none" w:sz="0" w:space="0" w:color="auto"/>
          </w:divBdr>
          <w:divsChild>
            <w:div w:id="703869527">
              <w:marLeft w:val="0"/>
              <w:marRight w:val="0"/>
              <w:marTop w:val="0"/>
              <w:marBottom w:val="0"/>
              <w:divBdr>
                <w:top w:val="none" w:sz="0" w:space="0" w:color="auto"/>
                <w:left w:val="none" w:sz="0" w:space="0" w:color="auto"/>
                <w:bottom w:val="none" w:sz="0" w:space="0" w:color="auto"/>
                <w:right w:val="none" w:sz="0" w:space="0" w:color="auto"/>
              </w:divBdr>
              <w:divsChild>
                <w:div w:id="845706276">
                  <w:marLeft w:val="0"/>
                  <w:marRight w:val="0"/>
                  <w:marTop w:val="0"/>
                  <w:marBottom w:val="0"/>
                  <w:divBdr>
                    <w:top w:val="none" w:sz="0" w:space="0" w:color="auto"/>
                    <w:left w:val="none" w:sz="0" w:space="0" w:color="auto"/>
                    <w:bottom w:val="none" w:sz="0" w:space="0" w:color="auto"/>
                    <w:right w:val="none" w:sz="0" w:space="0" w:color="auto"/>
                  </w:divBdr>
                  <w:divsChild>
                    <w:div w:id="15538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3650">
      <w:bodyDiv w:val="1"/>
      <w:marLeft w:val="0"/>
      <w:marRight w:val="0"/>
      <w:marTop w:val="0"/>
      <w:marBottom w:val="0"/>
      <w:divBdr>
        <w:top w:val="none" w:sz="0" w:space="0" w:color="auto"/>
        <w:left w:val="none" w:sz="0" w:space="0" w:color="auto"/>
        <w:bottom w:val="none" w:sz="0" w:space="0" w:color="auto"/>
        <w:right w:val="none" w:sz="0" w:space="0" w:color="auto"/>
      </w:divBdr>
      <w:divsChild>
        <w:div w:id="1743868141">
          <w:marLeft w:val="0"/>
          <w:marRight w:val="0"/>
          <w:marTop w:val="0"/>
          <w:marBottom w:val="0"/>
          <w:divBdr>
            <w:top w:val="none" w:sz="0" w:space="0" w:color="auto"/>
            <w:left w:val="none" w:sz="0" w:space="0" w:color="auto"/>
            <w:bottom w:val="none" w:sz="0" w:space="0" w:color="auto"/>
            <w:right w:val="none" w:sz="0" w:space="0" w:color="auto"/>
          </w:divBdr>
          <w:divsChild>
            <w:div w:id="751662741">
              <w:marLeft w:val="0"/>
              <w:marRight w:val="0"/>
              <w:marTop w:val="0"/>
              <w:marBottom w:val="0"/>
              <w:divBdr>
                <w:top w:val="none" w:sz="0" w:space="0" w:color="auto"/>
                <w:left w:val="none" w:sz="0" w:space="0" w:color="auto"/>
                <w:bottom w:val="none" w:sz="0" w:space="0" w:color="auto"/>
                <w:right w:val="none" w:sz="0" w:space="0" w:color="auto"/>
              </w:divBdr>
              <w:divsChild>
                <w:div w:id="1581207365">
                  <w:marLeft w:val="0"/>
                  <w:marRight w:val="0"/>
                  <w:marTop w:val="0"/>
                  <w:marBottom w:val="0"/>
                  <w:divBdr>
                    <w:top w:val="none" w:sz="0" w:space="0" w:color="auto"/>
                    <w:left w:val="none" w:sz="0" w:space="0" w:color="auto"/>
                    <w:bottom w:val="none" w:sz="0" w:space="0" w:color="auto"/>
                    <w:right w:val="none" w:sz="0" w:space="0" w:color="auto"/>
                  </w:divBdr>
                  <w:divsChild>
                    <w:div w:id="991101998">
                      <w:marLeft w:val="0"/>
                      <w:marRight w:val="0"/>
                      <w:marTop w:val="0"/>
                      <w:marBottom w:val="0"/>
                      <w:divBdr>
                        <w:top w:val="none" w:sz="0" w:space="0" w:color="auto"/>
                        <w:left w:val="none" w:sz="0" w:space="0" w:color="auto"/>
                        <w:bottom w:val="none" w:sz="0" w:space="0" w:color="auto"/>
                        <w:right w:val="none" w:sz="0" w:space="0" w:color="auto"/>
                      </w:divBdr>
                      <w:divsChild>
                        <w:div w:id="2079554337">
                          <w:marLeft w:val="0"/>
                          <w:marRight w:val="0"/>
                          <w:marTop w:val="0"/>
                          <w:marBottom w:val="0"/>
                          <w:divBdr>
                            <w:top w:val="none" w:sz="0" w:space="0" w:color="auto"/>
                            <w:left w:val="none" w:sz="0" w:space="0" w:color="auto"/>
                            <w:bottom w:val="none" w:sz="0" w:space="0" w:color="auto"/>
                            <w:right w:val="none" w:sz="0" w:space="0" w:color="auto"/>
                          </w:divBdr>
                          <w:divsChild>
                            <w:div w:id="1233274848">
                              <w:marLeft w:val="0"/>
                              <w:marRight w:val="0"/>
                              <w:marTop w:val="0"/>
                              <w:marBottom w:val="0"/>
                              <w:divBdr>
                                <w:top w:val="none" w:sz="0" w:space="0" w:color="auto"/>
                                <w:left w:val="none" w:sz="0" w:space="0" w:color="auto"/>
                                <w:bottom w:val="none" w:sz="0" w:space="0" w:color="auto"/>
                                <w:right w:val="none" w:sz="0" w:space="0" w:color="auto"/>
                              </w:divBdr>
                              <w:divsChild>
                                <w:div w:id="1522939983">
                                  <w:marLeft w:val="0"/>
                                  <w:marRight w:val="0"/>
                                  <w:marTop w:val="0"/>
                                  <w:marBottom w:val="0"/>
                                  <w:divBdr>
                                    <w:top w:val="none" w:sz="0" w:space="0" w:color="auto"/>
                                    <w:left w:val="none" w:sz="0" w:space="0" w:color="auto"/>
                                    <w:bottom w:val="none" w:sz="0" w:space="0" w:color="auto"/>
                                    <w:right w:val="none" w:sz="0" w:space="0" w:color="auto"/>
                                  </w:divBdr>
                                  <w:divsChild>
                                    <w:div w:id="1665821339">
                                      <w:marLeft w:val="0"/>
                                      <w:marRight w:val="0"/>
                                      <w:marTop w:val="0"/>
                                      <w:marBottom w:val="0"/>
                                      <w:divBdr>
                                        <w:top w:val="none" w:sz="0" w:space="0" w:color="auto"/>
                                        <w:left w:val="none" w:sz="0" w:space="0" w:color="auto"/>
                                        <w:bottom w:val="none" w:sz="0" w:space="0" w:color="auto"/>
                                        <w:right w:val="none" w:sz="0" w:space="0" w:color="auto"/>
                                      </w:divBdr>
                                      <w:divsChild>
                                        <w:div w:id="1733701281">
                                          <w:marLeft w:val="0"/>
                                          <w:marRight w:val="0"/>
                                          <w:marTop w:val="0"/>
                                          <w:marBottom w:val="0"/>
                                          <w:divBdr>
                                            <w:top w:val="none" w:sz="0" w:space="0" w:color="auto"/>
                                            <w:left w:val="none" w:sz="0" w:space="0" w:color="auto"/>
                                            <w:bottom w:val="none" w:sz="0" w:space="0" w:color="auto"/>
                                            <w:right w:val="none" w:sz="0" w:space="0" w:color="auto"/>
                                          </w:divBdr>
                                          <w:divsChild>
                                            <w:div w:id="16515843">
                                              <w:marLeft w:val="0"/>
                                              <w:marRight w:val="0"/>
                                              <w:marTop w:val="0"/>
                                              <w:marBottom w:val="0"/>
                                              <w:divBdr>
                                                <w:top w:val="none" w:sz="0" w:space="0" w:color="auto"/>
                                                <w:left w:val="none" w:sz="0" w:space="0" w:color="auto"/>
                                                <w:bottom w:val="none" w:sz="0" w:space="0" w:color="auto"/>
                                                <w:right w:val="none" w:sz="0" w:space="0" w:color="auto"/>
                                              </w:divBdr>
                                              <w:divsChild>
                                                <w:div w:id="900406991">
                                                  <w:marLeft w:val="0"/>
                                                  <w:marRight w:val="0"/>
                                                  <w:marTop w:val="0"/>
                                                  <w:marBottom w:val="0"/>
                                                  <w:divBdr>
                                                    <w:top w:val="none" w:sz="0" w:space="0" w:color="auto"/>
                                                    <w:left w:val="none" w:sz="0" w:space="0" w:color="auto"/>
                                                    <w:bottom w:val="none" w:sz="0" w:space="0" w:color="auto"/>
                                                    <w:right w:val="none" w:sz="0" w:space="0" w:color="auto"/>
                                                  </w:divBdr>
                                                  <w:divsChild>
                                                    <w:div w:id="795489488">
                                                      <w:marLeft w:val="0"/>
                                                      <w:marRight w:val="0"/>
                                                      <w:marTop w:val="0"/>
                                                      <w:marBottom w:val="0"/>
                                                      <w:divBdr>
                                                        <w:top w:val="none" w:sz="0" w:space="0" w:color="auto"/>
                                                        <w:left w:val="none" w:sz="0" w:space="0" w:color="auto"/>
                                                        <w:bottom w:val="none" w:sz="0" w:space="0" w:color="auto"/>
                                                        <w:right w:val="none" w:sz="0" w:space="0" w:color="auto"/>
                                                      </w:divBdr>
                                                      <w:divsChild>
                                                        <w:div w:id="10092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9746">
                                              <w:marLeft w:val="0"/>
                                              <w:marRight w:val="0"/>
                                              <w:marTop w:val="0"/>
                                              <w:marBottom w:val="0"/>
                                              <w:divBdr>
                                                <w:top w:val="none" w:sz="0" w:space="0" w:color="auto"/>
                                                <w:left w:val="none" w:sz="0" w:space="0" w:color="auto"/>
                                                <w:bottom w:val="none" w:sz="0" w:space="0" w:color="auto"/>
                                                <w:right w:val="none" w:sz="0" w:space="0" w:color="auto"/>
                                              </w:divBdr>
                                              <w:divsChild>
                                                <w:div w:id="2017265771">
                                                  <w:marLeft w:val="0"/>
                                                  <w:marRight w:val="0"/>
                                                  <w:marTop w:val="0"/>
                                                  <w:marBottom w:val="0"/>
                                                  <w:divBdr>
                                                    <w:top w:val="none" w:sz="0" w:space="0" w:color="auto"/>
                                                    <w:left w:val="none" w:sz="0" w:space="0" w:color="auto"/>
                                                    <w:bottom w:val="none" w:sz="0" w:space="0" w:color="auto"/>
                                                    <w:right w:val="none" w:sz="0" w:space="0" w:color="auto"/>
                                                  </w:divBdr>
                                                  <w:divsChild>
                                                    <w:div w:id="1975216038">
                                                      <w:marLeft w:val="0"/>
                                                      <w:marRight w:val="0"/>
                                                      <w:marTop w:val="0"/>
                                                      <w:marBottom w:val="0"/>
                                                      <w:divBdr>
                                                        <w:top w:val="none" w:sz="0" w:space="0" w:color="auto"/>
                                                        <w:left w:val="none" w:sz="0" w:space="0" w:color="auto"/>
                                                        <w:bottom w:val="none" w:sz="0" w:space="0" w:color="auto"/>
                                                        <w:right w:val="none" w:sz="0" w:space="0" w:color="auto"/>
                                                      </w:divBdr>
                                                      <w:divsChild>
                                                        <w:div w:id="4566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5839363">
          <w:marLeft w:val="0"/>
          <w:marRight w:val="0"/>
          <w:marTop w:val="0"/>
          <w:marBottom w:val="0"/>
          <w:divBdr>
            <w:top w:val="none" w:sz="0" w:space="0" w:color="auto"/>
            <w:left w:val="none" w:sz="0" w:space="0" w:color="auto"/>
            <w:bottom w:val="none" w:sz="0" w:space="0" w:color="auto"/>
            <w:right w:val="none" w:sz="0" w:space="0" w:color="auto"/>
          </w:divBdr>
          <w:divsChild>
            <w:div w:id="301538921">
              <w:marLeft w:val="0"/>
              <w:marRight w:val="0"/>
              <w:marTop w:val="0"/>
              <w:marBottom w:val="0"/>
              <w:divBdr>
                <w:top w:val="none" w:sz="0" w:space="0" w:color="auto"/>
                <w:left w:val="none" w:sz="0" w:space="0" w:color="auto"/>
                <w:bottom w:val="none" w:sz="0" w:space="0" w:color="auto"/>
                <w:right w:val="none" w:sz="0" w:space="0" w:color="auto"/>
              </w:divBdr>
              <w:divsChild>
                <w:div w:id="2119597996">
                  <w:marLeft w:val="0"/>
                  <w:marRight w:val="0"/>
                  <w:marTop w:val="0"/>
                  <w:marBottom w:val="0"/>
                  <w:divBdr>
                    <w:top w:val="none" w:sz="0" w:space="0" w:color="auto"/>
                    <w:left w:val="none" w:sz="0" w:space="0" w:color="auto"/>
                    <w:bottom w:val="none" w:sz="0" w:space="0" w:color="auto"/>
                    <w:right w:val="none" w:sz="0" w:space="0" w:color="auto"/>
                  </w:divBdr>
                  <w:divsChild>
                    <w:div w:id="1051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7244">
      <w:bodyDiv w:val="1"/>
      <w:marLeft w:val="0"/>
      <w:marRight w:val="0"/>
      <w:marTop w:val="0"/>
      <w:marBottom w:val="0"/>
      <w:divBdr>
        <w:top w:val="none" w:sz="0" w:space="0" w:color="auto"/>
        <w:left w:val="none" w:sz="0" w:space="0" w:color="auto"/>
        <w:bottom w:val="none" w:sz="0" w:space="0" w:color="auto"/>
        <w:right w:val="none" w:sz="0" w:space="0" w:color="auto"/>
      </w:divBdr>
    </w:div>
    <w:div w:id="1822572707">
      <w:bodyDiv w:val="1"/>
      <w:marLeft w:val="0"/>
      <w:marRight w:val="0"/>
      <w:marTop w:val="0"/>
      <w:marBottom w:val="0"/>
      <w:divBdr>
        <w:top w:val="none" w:sz="0" w:space="0" w:color="auto"/>
        <w:left w:val="none" w:sz="0" w:space="0" w:color="auto"/>
        <w:bottom w:val="none" w:sz="0" w:space="0" w:color="auto"/>
        <w:right w:val="none" w:sz="0" w:space="0" w:color="auto"/>
      </w:divBdr>
    </w:div>
    <w:div w:id="1995181013">
      <w:bodyDiv w:val="1"/>
      <w:marLeft w:val="0"/>
      <w:marRight w:val="0"/>
      <w:marTop w:val="0"/>
      <w:marBottom w:val="0"/>
      <w:divBdr>
        <w:top w:val="none" w:sz="0" w:space="0" w:color="auto"/>
        <w:left w:val="none" w:sz="0" w:space="0" w:color="auto"/>
        <w:bottom w:val="none" w:sz="0" w:space="0" w:color="auto"/>
        <w:right w:val="none" w:sz="0" w:space="0" w:color="auto"/>
      </w:divBdr>
    </w:div>
    <w:div w:id="2000185956">
      <w:bodyDiv w:val="1"/>
      <w:marLeft w:val="0"/>
      <w:marRight w:val="0"/>
      <w:marTop w:val="0"/>
      <w:marBottom w:val="0"/>
      <w:divBdr>
        <w:top w:val="none" w:sz="0" w:space="0" w:color="auto"/>
        <w:left w:val="none" w:sz="0" w:space="0" w:color="auto"/>
        <w:bottom w:val="none" w:sz="0" w:space="0" w:color="auto"/>
        <w:right w:val="none" w:sz="0" w:space="0" w:color="auto"/>
      </w:divBdr>
    </w:div>
    <w:div w:id="2022274323">
      <w:bodyDiv w:val="1"/>
      <w:marLeft w:val="0"/>
      <w:marRight w:val="0"/>
      <w:marTop w:val="0"/>
      <w:marBottom w:val="0"/>
      <w:divBdr>
        <w:top w:val="none" w:sz="0" w:space="0" w:color="auto"/>
        <w:left w:val="none" w:sz="0" w:space="0" w:color="auto"/>
        <w:bottom w:val="none" w:sz="0" w:space="0" w:color="auto"/>
        <w:right w:val="none" w:sz="0" w:space="0" w:color="auto"/>
      </w:divBdr>
    </w:div>
    <w:div w:id="207423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sharma</dc:creator>
  <cp:keywords/>
  <dc:description/>
  <cp:lastModifiedBy>am sharma</cp:lastModifiedBy>
  <cp:revision>5</cp:revision>
  <dcterms:created xsi:type="dcterms:W3CDTF">2024-09-13T09:24:00Z</dcterms:created>
  <dcterms:modified xsi:type="dcterms:W3CDTF">2024-09-16T00:17:00Z</dcterms:modified>
</cp:coreProperties>
</file>