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&lt;title&gt;Mobile Shopping&lt;/title&gt;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#444;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nav a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margin: 0 10px;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section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.product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padding: 15px;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border-radius: 5px;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box-shadow: 0 0 10px rgba(0, 0, 0, 0.1);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padding: 10px;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bottom: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&lt;h1&gt;Mobile Shopping&lt;/h1&gt;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&lt;a href="#"&gt;Home&lt;/a&gt;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&lt;a href="#"&gt;Products&lt;/a&gt;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&lt;a href="#"&gt;Cart&lt;/a&gt;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&lt;a href="#"&gt;Contact&lt;/a&gt;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&lt;h2&gt;Product Name 1&lt;/h2&gt;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&lt;p&gt;Description of Product 1. Lorem ipsum dolor sit amet, consectetur adipiscing elit.&lt;/p&gt;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&lt;p&gt;Price: $50.00&lt;/p&gt;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&lt;button&gt;Add to Cart&lt;/button&gt;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&lt;div class="product"&gt;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&lt;h2&gt;Product Name 2&lt;/h2&gt;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&lt;p&gt;Description of Product 2. Lorem ipsum dolor sit amet, consectetur adipiscing elit.&lt;/p&gt;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&lt;p&gt;Price: $75.00&lt;/p&gt;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&lt;button&gt;Add to Cart&lt;/button&gt;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&lt;!-- Add more products as needed --&gt;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&amp;copy; 2023 Mobile Shopping. All rights reserved.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