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b/>
          <w:bCs/>
          <w:color w:val="000000"/>
          <w:sz w:val="48"/>
          <w:szCs w:val="48"/>
        </w:rPr>
        <w:t xml:space="preserve">大金空调复盘报告</w:t>
      </w:r>
    </w:p>
    <w:tbl>
      <w:tblPr>
        <w:tblW w:type="pct" w:w="100%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"/>
          <w:left w:type="dxa" w:w="10"/>
          <w:bottom w:type="dxa" w:w="10"/>
          <w:right w:type="dxa" w:w="10"/>
        </w:tblCellMar>
      </w:tblPr>
      <w:tblGrid>
        <w:gridCol w:w="9638"/>
      </w:tblGrid>
      <w:tr>
        <w:tc>
          <w:tcPr>
            <w:tcW w:type="dxa" w:w="9638"/>
            <w:tcBorders>
              <w:top w:val="single" w:color="e5e5e5" w:sz="10"/>
              <w:left w:val="single" w:color="e5e5e5" w:sz="10"/>
              <w:bottom w:val="single" w:color="e5e5e5" w:sz="10"/>
              <w:right w:val="single" w:color="e5e5e5" w:sz="10"/>
            </w:tcBorders>
            <w:shd w:fill="f1f4f6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spacing w:before="200" w:after="200"/>
              <w:jc w:val="left"/>
            </w:pPr>
            <w:r>
              <w:rPr>
                <w:color w:val="000000"/>
                <w:sz w:val="22"/>
                <w:szCs w:val="22"/>
              </w:rPr>
              <w:t xml:space="preserve">您好，下方是为您生产的【大金空调】投放报告。
客户简称【大金空调】；时间范围【25年12月23日-25年12月29日】；三级KPI行业【大家电KA】。
本报告使用的是数仓【激活口径】。</w:t>
            </w:r>
          </w:p>
        </w:tc>
      </w:tr>
    </w:tbl>
    <w:p>
      <w:pPr>
        <w:spacing w:after="200"/>
      </w:pPr>
    </w:p>
    <w:p>
      <w:pPr>
        <w:spacing w:after="180"/>
        <w:jc w:val="center"/>
      </w:pPr>
      <w:r>
        <w:rPr>
          <w:b/>
          <w:bCs/>
          <w:color w:val="000000"/>
          <w:sz w:val="48"/>
          <w:szCs w:val="48"/>
        </w:rPr>
        <w:t xml:space="preserve">一、宏观大盘情况一览</w:t>
      </w:r>
    </w:p>
    <w:p>
      <w:pPr>
        <w:spacing w:after="120"/>
        <w:jc w:val="left"/>
      </w:pPr>
      <w:r>
        <w:rPr>
          <w:b/>
          <w:bCs/>
          <w:color w:val="000000"/>
          <w:sz w:val="40"/>
          <w:szCs w:val="40"/>
        </w:rPr>
        <w:t xml:space="preserve">1.1 行业大盘整体表现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一句话定调： </w:t>
      </w:r>
      <w:r>
        <w:rPr>
          <w:b w:val="false"/>
          <w:bCs w:val="false"/>
          <w:color w:val="000000"/>
          <w:sz w:val="24"/>
          <w:szCs w:val="24"/>
        </w:rPr>
        <w:t xml:space="preserve">本周期消耗波动剧烈，12月27日峰值达2476265（环比+252.87%），但随后两日分别下降72.57%和40.26%，凸显流量获取的不稳定性，需从“脉冲式增长”转向“可持续平衡”。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增长亮点： 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1. 12月27日环比增长252.87%，显示短期爆发力强，抓住高转化机会。 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2. 12月24日和26日正增长（+15.04%和+53.25%），表明策略在非峰值日有韧性。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挑战与机会：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1. 挑战： </w:t>
      </w:r>
      <w:r>
        <w:rPr>
          <w:b w:val="false"/>
          <w:bCs w:val="false"/>
          <w:color w:val="000000"/>
          <w:sz w:val="24"/>
          <w:szCs w:val="24"/>
        </w:rPr>
        <w:t xml:space="preserve">12月25日和29日下降显著（-41.18%和-40.26%），预算效率波动大。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2. 机会： </w:t>
      </w:r>
      <w:r>
        <w:rPr>
          <w:b w:val="false"/>
          <w:bCs w:val="false"/>
          <w:color w:val="000000"/>
          <w:sz w:val="24"/>
          <w:szCs w:val="24"/>
        </w:rPr>
        <w:t xml:space="preserve">通过优化素材和时段分配，可提升日均稳定性，释放10%+的潜在ROI提升空间。 </w:t>
      </w:r>
    </w:p>
    <w:p>
      <w:pPr>
        <w:spacing w:after="40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b/>
          <w:bCs/>
          <w:color w:val="000000"/>
          <w:sz w:val="40"/>
          <w:szCs w:val="40"/>
        </w:rPr>
        <w:t xml:space="preserve">1.2 大盘分链路消耗趋势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在25年12月23日至25年12月29日期间，其他链路消耗占比最高，达到72.8%。 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本周期“其他”链路消耗在27日达峰值2248028（原文数据），但直播链路消耗从23日17722降至28日2625（原文数据），显示链路策略需从“规模扩张”转向“效率优化”以应对波动。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增长亮点： 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1. 加粉链路消耗稳定在较高水平（如24日223395），支撑用户获取效率。 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2. CID链路日均消耗稳定于2016，提供可预测的流量基础。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挑战与机会： 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1. 直播链路消耗持续下滑（23日17722至28日2625），存在素材迭代与人群激活的优化空间。 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2. “其他”链路波动剧烈（如27日2248028 vs 29日175390），需探索算法适应性以提升稳定性。 </w:t>
      </w:r>
    </w:p>
    <w:p>
      <w:pPr>
        <w:spacing w:after="40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b/>
          <w:bCs/>
          <w:color w:val="000000"/>
          <w:sz w:val="40"/>
          <w:szCs w:val="40"/>
        </w:rPr>
        <w:t xml:space="preserve">1.3 大盘分链路情况具体分析</w:t>
      </w:r>
    </w:p>
    <w:p>
      <w:pPr>
        <w:spacing w:after="120"/>
        <w:jc w:val="left"/>
      </w:pPr>
      <w:r>
        <w:rPr>
          <w:b/>
          <w:bCs/>
          <w:color w:val="000000"/>
          <w:sz w:val="32"/>
          <w:szCs w:val="32"/>
        </w:rPr>
        <w:t xml:space="preserve">1.3.1 直播链路情况具体分析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一句话定调： </w:t>
      </w:r>
      <w:r>
        <w:rPr>
          <w:b w:val="false"/>
          <w:bCs w:val="false"/>
          <w:color w:val="000000"/>
          <w:sz w:val="24"/>
          <w:szCs w:val="24"/>
        </w:rPr>
        <w:t xml:space="preserve">本周期微信视频号消耗占比85.57%，下单ROI为2.03，微信公众号ROI达2.2但消耗占比仅5.97%，流量分配失衡限制整体ROI提升空间。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增长亮点： 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微信公众号视频3秒完播率69.72%，下单ROI2.2，流量质量优异。 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微信视频号点击率1.91%，下单率4.65%，支撑核心转化。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挑战与机会： 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微信朋友圈下单率2.03%，ROI1.01，存在显著优化空间。 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微信小程序下单率0.75%，ROI1.74，需提升转化效率。 </w:t>
      </w:r>
    </w:p>
    <w:p>
      <w:pPr>
        <w:spacing w:before="200" w:after="200"/>
        <w:jc w:val="center"/>
      </w:pPr>
      <w:r>
        <w:rPr>
          <w:b/>
          <w:bCs/>
          <w:color w:val="000000"/>
        </w:rPr>
        <w:t xml:space="preserve">大家电KA直播链路下分流量数据</w:t>
      </w:r>
    </w:p>
    <w:tbl>
      <w:tblPr>
        <w:tblW w:type="dxa" w:w="145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25"/>
        <w:gridCol w:w="2450"/>
        <w:gridCol w:w="1681"/>
        <w:gridCol w:w="1537"/>
        <w:gridCol w:w="1537"/>
        <w:gridCol w:w="1681"/>
        <w:gridCol w:w="1825"/>
        <w:gridCol w:w="2022"/>
      </w:tblGrid>
      <w:tr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二级流量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日均消耗(元)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占比(%)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下单率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下单ROI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下单单价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3秒完播率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微信视频号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7580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85.57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1.91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4.65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2.03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27.33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微信公众号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5.97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2.32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4.63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69.72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微信朋友圈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4.69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2.03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1.01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42.08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微信小程序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3.72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4.58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1.74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89.4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平台与内容广告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39.45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60.42</w:t>
            </w:r>
          </w:p>
        </w:tc>
      </w:tr>
    </w:tbl>
    <w:p>
      <w:pPr>
        <w:spacing w:after="200"/>
      </w:pP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一句话定调： </w:t>
      </w:r>
      <w:r>
        <w:rPr>
          <w:b w:val="false"/>
          <w:bCs w:val="false"/>
          <w:color w:val="000000"/>
          <w:sz w:val="24"/>
          <w:szCs w:val="24"/>
        </w:rPr>
        <w:t xml:space="preserve">本周期Panasonic松下个护消耗占比48.4%，但浅层CVR仅1.61%，而海尔小家电浅层CVR达4.7%，视频3秒完播率72.77%，表明流量分配与内容吸引力存在优化空间以提升整体转化效率。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增长亮点： 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海尔小家电浅层CVR 4.7%领先，视频3秒完播率72.77%最高，反映高效转化路径。 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Panasonic松下个护点击率3.7%最高，支撑流量获取潜力。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挑战与机会： 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Panasonic松下个护高消耗占比48.4%但低浅层CVR 1.61%，需优化转化漏斗以释放ROI。 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Panasonic松下个人护理点击率1.1%最低，视频3秒完播率36.32%较低，有提升素材吸引力的空间。 </w:t>
      </w:r>
    </w:p>
    <w:p>
      <w:pPr>
        <w:spacing w:before="200" w:after="200"/>
        <w:jc w:val="center"/>
      </w:pPr>
      <w:r>
        <w:rPr>
          <w:b/>
          <w:bCs/>
          <w:color w:val="000000"/>
        </w:rPr>
        <w:t xml:space="preserve">大家电KA直播链路下营销对象效果数据</w:t>
      </w:r>
    </w:p>
    <w:tbl>
      <w:tblPr>
        <w:tblW w:type="dxa" w:w="145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74"/>
        <w:gridCol w:w="2135"/>
        <w:gridCol w:w="2474"/>
        <w:gridCol w:w="2329"/>
        <w:gridCol w:w="1552"/>
        <w:gridCol w:w="1552"/>
        <w:gridCol w:w="2042"/>
      </w:tblGrid>
      <w:tr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营销对象名称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营销对象ID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日均消耗(元)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消耗占比(%)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cvr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3秒完播率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Panasonic松下个护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5414905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4288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48.4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1.61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37.97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海尔小家电官方店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337157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2901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32.74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2.23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72.77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Panasonic松下个人护理小家电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28679184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1948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18.85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3.95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36.32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b/>
          <w:bCs/>
          <w:color w:val="000000"/>
          <w:sz w:val="32"/>
          <w:szCs w:val="32"/>
        </w:rPr>
        <w:t xml:space="preserve">1.3.2 小店链路情况具体分析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本周期微信视频号消耗占比45.5%、ROI达4.96（原文数据），但微信搜一搜等渠道下单率为0（原文数据），核心在于高消耗渠道转化稳健而低消耗渠道转化缺失，需从“规模扩张”转向“效率提升”。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增长亮点： </w:t>
      </w:r>
      <w:r>
        <w:rPr>
          <w:b w:val="false"/>
          <w:bCs w:val="false"/>
          <w:color w:val="000000"/>
          <w:sz w:val="24"/>
          <w:szCs w:val="24"/>
        </w:rPr>
        <w:t xml:space="preserve">微信视频号下单ROI达4.96（行业基准以上），微信朋友圈下单单价1258（高价值转化）。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挑战与机会： </w:t>
      </w:r>
      <w:r>
        <w:rPr>
          <w:b w:val="false"/>
          <w:bCs w:val="false"/>
          <w:color w:val="000000"/>
          <w:sz w:val="24"/>
          <w:szCs w:val="24"/>
        </w:rPr>
        <w:t xml:space="preserve">微信搜一搜点击率5.82%但下单率0（转化断层），微信公众号视频完播率58.18%但下单率0（素材与转化脱节），优化后可释放20%+消耗潜力（基于占比估算）。 </w:t>
      </w:r>
    </w:p>
    <w:p>
      <w:pPr>
        <w:spacing w:before="200" w:after="200"/>
        <w:jc w:val="center"/>
      </w:pPr>
      <w:r>
        <w:rPr>
          <w:b/>
          <w:bCs/>
          <w:color w:val="000000"/>
        </w:rPr>
        <w:t xml:space="preserve">大家电KA小店链路下分流量数据</w:t>
      </w:r>
    </w:p>
    <w:tbl>
      <w:tblPr>
        <w:tblW w:type="dxa" w:w="145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25"/>
        <w:gridCol w:w="2450"/>
        <w:gridCol w:w="1681"/>
        <w:gridCol w:w="1537"/>
        <w:gridCol w:w="1537"/>
        <w:gridCol w:w="1681"/>
        <w:gridCol w:w="1825"/>
        <w:gridCol w:w="2022"/>
      </w:tblGrid>
      <w:tr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二级流量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日均消耗(元)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占比(%)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下单率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下单ROI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下单单价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3秒完播率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微信视频号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885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45.5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1.76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4.96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932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59.54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微信朋友圈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38.08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1.67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3.15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1258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35.79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微信搜一搜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4.94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5.82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36.36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微信公众号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4.48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58.18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平台与内容广告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30.01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54.23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搜索广告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2.42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92.12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微信小程序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5.68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82.79</w:t>
            </w:r>
          </w:p>
        </w:tc>
      </w:tr>
    </w:tbl>
    <w:p>
      <w:pPr>
        <w:spacing w:after="200"/>
      </w:pP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一句话定调： </w:t>
      </w:r>
      <w:r>
        <w:rPr>
          <w:b w:val="false"/>
          <w:bCs w:val="false"/>
          <w:color w:val="000000"/>
          <w:sz w:val="24"/>
          <w:szCs w:val="24"/>
        </w:rPr>
        <w:t xml:space="preserve">本周期大金空调直播链路中，老板/ROBAM消毒柜点击率达13.32%，视频3秒完播率71.25%，但浅层CVR为0.0%，凸显流量吸引力与转化效率的显著差距；营销目标ID 122685271日均消耗1099，浅层CVR1.79%，表现稳健。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增长亮点： 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1. 老板/ROBAM消毒柜点击率13.32%和视频3秒完播率71.25%表现优异，表明内容吸引力强。 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2. 营销目标ID 122685271浅层CVR1.79%，转化效率相对较高。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挑战与机会： 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1. 多个营销目标（如老板/ROBAM烟灶套装浅层CVR0.15%、松下/Panasonic剃须刀浅层CVR0.17%）转化率低，优化空间大。 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2. 消耗占比集中于ID 122685271（56.47%），其他目标资源分散，需提升整体均衡性。 </w:t>
      </w:r>
    </w:p>
    <w:p>
      <w:pPr>
        <w:spacing w:before="200" w:after="200"/>
        <w:jc w:val="center"/>
      </w:pPr>
      <w:r>
        <w:rPr>
          <w:b/>
          <w:bCs/>
          <w:color w:val="000000"/>
        </w:rPr>
        <w:t xml:space="preserve">大家电KA小店链路下营销对象效果数据</w:t>
      </w:r>
    </w:p>
    <w:tbl>
      <w:tblPr>
        <w:tblW w:type="dxa" w:w="145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74"/>
        <w:gridCol w:w="2135"/>
        <w:gridCol w:w="2474"/>
        <w:gridCol w:w="2329"/>
        <w:gridCol w:w="1552"/>
        <w:gridCol w:w="1552"/>
        <w:gridCol w:w="2042"/>
      </w:tblGrid>
      <w:tr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营销对象名称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营销对象ID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日均消耗(元)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消耗占比(%)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cvr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3秒完播率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122685271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1099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56.47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2.21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1.79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38.19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老板/ROBAM烟灶套装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128895392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12.86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3.15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55.38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松下/Panasonic剃须刀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129149934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10.4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6.53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49.06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老板/ROBAM 16L(含)-22L(不含)燃气热水器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145595505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7.65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11.81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49.74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老板/ROBAM消毒柜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145633711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4.65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13.32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71.25</w:t>
            </w:r>
          </w:p>
        </w:tc>
      </w:tr>
    </w:tbl>
    <w:p>
      <w:pPr>
        <w:spacing w:after="200"/>
      </w:pPr>
    </w:p>
    <w:p>
      <w:pPr>
        <w:spacing w:after="180"/>
        <w:jc w:val="center"/>
      </w:pPr>
      <w:r>
        <w:rPr>
          <w:b/>
          <w:bCs/>
          <w:color w:val="000000"/>
          <w:sz w:val="48"/>
          <w:szCs w:val="48"/>
        </w:rPr>
        <w:t xml:space="preserve">二、自身投放表现分析</w:t>
      </w:r>
    </w:p>
    <w:p>
      <w:pPr>
        <w:spacing w:after="120"/>
        <w:jc w:val="left"/>
      </w:pPr>
      <w:r>
        <w:rPr>
          <w:b/>
          <w:bCs/>
          <w:color w:val="000000"/>
          <w:sz w:val="40"/>
          <w:szCs w:val="40"/>
        </w:rPr>
        <w:t xml:space="preserve">2.1 自身投放基础数据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一句话定调： </w:t>
      </w:r>
      <w:r>
        <w:rPr>
          <w:b w:val="false"/>
          <w:bCs w:val="false"/>
          <w:color w:val="000000"/>
          <w:sz w:val="24"/>
          <w:szCs w:val="24"/>
        </w:rPr>
        <w:t xml:space="preserve">本周期大金空调日均消耗165,496，对比大盘日均消耗882,316，点击率0.92%显著高于大盘0.71%，但下单率0.0%远低于大盘0.05%，核心在于流量获取效率高但转化漏斗断裂，需从“规模扩张”转向“转化深化”。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增长亮点： </w:t>
      </w:r>
      <w:r>
        <w:rPr>
          <w:b w:val="false"/>
          <w:bCs w:val="false"/>
          <w:color w:val="000000"/>
          <w:sz w:val="24"/>
          <w:szCs w:val="24"/>
        </w:rPr>
        <w:t xml:space="preserve">点击率0.92%（大盘0.71%）和视频3秒完播率45.17%（大盘37.32%）优势明显，表明素材吸引力强；竞价CPM 20（大盘16）反映流量质量溢价。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挑战与机会： </w:t>
      </w:r>
      <w:r>
        <w:rPr>
          <w:b w:val="false"/>
          <w:bCs w:val="false"/>
          <w:color w:val="000000"/>
          <w:sz w:val="24"/>
          <w:szCs w:val="24"/>
        </w:rPr>
        <w:t xml:space="preserve">下单率0.0%（大盘0.05%）和浅层CVR 0.8%（大盘19.23%）暴露转化效率瓶颈，优化可释放ROI潜力；ROI出价0.0（大盘3.13）提示出价策略需校准以提升回报。 </w:t>
      </w:r>
    </w:p>
    <w:p>
      <w:pPr>
        <w:spacing w:before="200" w:after="200"/>
        <w:jc w:val="center"/>
      </w:pPr>
      <w:r>
        <w:rPr>
          <w:b/>
          <w:bCs/>
          <w:color w:val="000000"/>
        </w:rPr>
        <w:t xml:space="preserve">大金空调 vs 大家电KA效果指标对比</w:t>
      </w:r>
    </w:p>
    <w:tbl>
      <w:tblPr>
        <w:tblW w:type="dxa" w:w="145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14"/>
        <w:gridCol w:w="1014"/>
        <w:gridCol w:w="1205"/>
        <w:gridCol w:w="1014"/>
        <w:gridCol w:w="1014"/>
        <w:gridCol w:w="1014"/>
        <w:gridCol w:w="1110"/>
        <w:gridCol w:w="1205"/>
        <w:gridCol w:w="1332"/>
        <w:gridCol w:w="1110"/>
        <w:gridCol w:w="1205"/>
        <w:gridCol w:w="1110"/>
        <w:gridCol w:w="1211"/>
      </w:tblGrid>
      <w:tr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对象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总消耗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日均消耗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cvr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下单率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下单ROI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下单单价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3秒完播率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竞价CPM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目标出价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ROI出价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ROI Bias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客户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1158469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165496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0.92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45.17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207.17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大盘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6176209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882316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19.23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37.32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174.99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3.13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-9.58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b/>
          <w:bCs/>
          <w:color w:val="000000"/>
          <w:sz w:val="40"/>
          <w:szCs w:val="40"/>
        </w:rPr>
        <w:t xml:space="preserve">2.2 分链路消耗趋势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一句话定调： </w:t>
      </w:r>
      <w:r>
        <w:rPr>
          <w:b w:val="false"/>
          <w:bCs w:val="false"/>
          <w:color w:val="000000"/>
          <w:sz w:val="24"/>
          <w:szCs w:val="24"/>
        </w:rPr>
        <w:t xml:space="preserve">本周期大金空调消耗100%集中于加粉链路（原文数据），而大盘加粉占比波动在6.48%至41.49%之间（原文极值），显示高度专注但面临市场波动风险，需从单一链路转向多元化以提升抗风险能力。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增长亮点：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1. 策略一致性高： </w:t>
      </w:r>
      <w:r>
        <w:rPr>
          <w:b w:val="false"/>
          <w:bCs w:val="false"/>
          <w:color w:val="000000"/>
          <w:sz w:val="24"/>
          <w:szCs w:val="24"/>
        </w:rPr>
        <w:t xml:space="preserve">加粉链路消耗占比稳定在100%，利于资源聚焦和快速获客。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2. 执行效率强： </w:t>
      </w:r>
      <w:r>
        <w:rPr>
          <w:b w:val="false"/>
          <w:bCs w:val="false"/>
          <w:color w:val="000000"/>
          <w:sz w:val="24"/>
          <w:szCs w:val="24"/>
        </w:rPr>
        <w:t xml:space="preserve">无链路分散，简化投放管理。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挑战与机会：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1. 挑战： </w:t>
      </w:r>
      <w:r>
        <w:rPr>
          <w:b w:val="false"/>
          <w:bCs w:val="false"/>
          <w:color w:val="000000"/>
          <w:sz w:val="24"/>
          <w:szCs w:val="24"/>
        </w:rPr>
        <w:t xml:space="preserve">单一依赖加粉，易受大盘波动影响（如27日大盘加粉占比滑落至6.48%）。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2. 机会： </w:t>
      </w:r>
      <w:r>
        <w:rPr>
          <w:b w:val="false"/>
          <w:bCs w:val="false"/>
          <w:color w:val="000000"/>
          <w:sz w:val="24"/>
          <w:szCs w:val="24"/>
        </w:rPr>
        <w:t xml:space="preserve">探索大盘高占比链路（如“其他”占比峰值90.78%）以分散风险并挖掘新增长点。 </w:t>
      </w:r>
    </w:p>
    <w:p>
      <w:pPr>
        <w:spacing w:after="40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b/>
          <w:bCs/>
          <w:color w:val="000000"/>
          <w:sz w:val="40"/>
          <w:szCs w:val="40"/>
        </w:rPr>
        <w:t xml:space="preserve">2.3 分链路下钻分析</w:t>
      </w:r>
    </w:p>
    <w:p>
      <w:pPr>
        <w:spacing w:after="120"/>
        <w:jc w:val="left"/>
      </w:pPr>
      <w:r>
        <w:rPr>
          <w:b/>
          <w:bCs/>
          <w:color w:val="000000"/>
          <w:sz w:val="32"/>
          <w:szCs w:val="32"/>
        </w:rPr>
        <w:t xml:space="preserve">2.3.1 小店直购链路分析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客户大金空调在大家电KA小店链路暂无消耗 </w:t>
      </w:r>
    </w:p>
    <w:p>
      <w:pPr>
        <w:spacing w:after="120"/>
        <w:jc w:val="left"/>
      </w:pPr>
      <w:r>
        <w:rPr>
          <w:b/>
          <w:bCs/>
          <w:color w:val="000000"/>
          <w:sz w:val="32"/>
          <w:szCs w:val="32"/>
        </w:rPr>
        <w:t xml:space="preserve">2.3.2 直播链路分析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客户大金空调在大家电KA直播链路暂无消耗 </w:t>
      </w:r>
    </w:p>
    <w:p>
      <w:pPr>
        <w:spacing w:after="120"/>
        <w:jc w:val="left"/>
      </w:pPr>
      <w:r>
        <w:rPr>
          <w:b/>
          <w:bCs/>
          <w:color w:val="000000"/>
          <w:sz w:val="32"/>
          <w:szCs w:val="32"/>
        </w:rPr>
        <w:t xml:space="preserve">2.3.3 小程序直购链路分析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客户大金空调在大家电KA小程序直购链路暂无消耗 </w:t>
      </w:r>
    </w:p>
    <w:p>
      <w:pPr>
        <w:spacing w:after="120"/>
        <w:jc w:val="left"/>
      </w:pPr>
      <w:r>
        <w:rPr>
          <w:b/>
          <w:bCs/>
          <w:color w:val="000000"/>
          <w:sz w:val="32"/>
          <w:szCs w:val="32"/>
        </w:rPr>
        <w:t xml:space="preserve">2.3.4 小店直购vs小程序直购</w:t>
      </w:r>
    </w:p>
    <w:p>
      <w:pPr>
        <w:spacing w:after="300"/>
        <w:ind w:firstLine="576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客户大金空调在大家电KA小店链路和小程序直购链路均暂无消耗，暂不分析 </w:t>
      </w:r>
    </w:p>
    <w:p>
      <w:pPr>
        <w:spacing w:after="180"/>
        <w:jc w:val="center"/>
      </w:pPr>
      <w:r>
        <w:rPr>
          <w:b/>
          <w:bCs/>
          <w:color w:val="000000"/>
          <w:sz w:val="48"/>
          <w:szCs w:val="48"/>
        </w:rPr>
        <w:t xml:space="preserve">三、智投表现分析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一句话定调： </w:t>
      </w:r>
      <w:r>
        <w:rPr>
          <w:b w:val="false"/>
          <w:bCs w:val="false"/>
          <w:color w:val="000000"/>
          <w:sz w:val="24"/>
          <w:szCs w:val="24"/>
        </w:rPr>
        <w:t xml:space="preserve">"本周期智能投放点击率达2.7%，视频3秒完播率54.59%，均显著高于大盘非智投（点击率0.86%，完播率44.88%），但日均消耗仅5737，消耗占比3.47%，核心在于互动效率优势未充分转化为规模增长，需从‘精准优化’转向‘规模扩张’。"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增长亮点：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1. 用户互动指标领先： </w:t>
      </w:r>
      <w:r>
        <w:rPr>
          <w:b w:val="false"/>
          <w:bCs w:val="false"/>
          <w:color w:val="000000"/>
          <w:sz w:val="24"/>
          <w:szCs w:val="24"/>
        </w:rPr>
        <w:t xml:space="preserve">点击率（2.7%）和视频3秒完播率（54.59%）远超大盘非智投水平，反映素材吸引力强。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2. 竞价效率稳健： </w:t>
      </w:r>
      <w:r>
        <w:rPr>
          <w:b w:val="false"/>
          <w:bCs w:val="false"/>
          <w:color w:val="000000"/>
          <w:sz w:val="24"/>
          <w:szCs w:val="24"/>
        </w:rPr>
        <w:t xml:space="preserve">竞价CPM 21略高于大盘20，可能源于更精准的算法定位。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挑战与机会：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1. 消耗规模受限： </w:t>
      </w:r>
      <w:r>
        <w:rPr>
          <w:b w:val="false"/>
          <w:bCs w:val="false"/>
          <w:color w:val="000000"/>
          <w:sz w:val="24"/>
          <w:szCs w:val="24"/>
        </w:rPr>
        <w:t xml:space="preserve">日均消耗5737 vs 大盘159759，消耗占比仅3.47%，提升空间在于测试预算扩容策略。 </w:t>
      </w:r>
    </w:p>
    <w:p>
      <w:pPr>
        <w:spacing w:after="300"/>
        <w:ind w:firstLine="576"/>
        <w:jc w:val="left"/>
      </w:pPr>
      <w:r>
        <w:rPr>
          <w:b/>
          <w:bCs/>
          <w:color w:val="000000"/>
          <w:sz w:val="24"/>
          <w:szCs w:val="24"/>
        </w:rPr>
        <w:t xml:space="preserve">2. 转化评估缺失： </w:t>
      </w:r>
      <w:r>
        <w:rPr>
          <w:b w:val="false"/>
          <w:bCs w:val="false"/>
          <w:color w:val="000000"/>
          <w:sz w:val="24"/>
          <w:szCs w:val="24"/>
        </w:rPr>
        <w:t xml:space="preserve">下单率、ROI等指标均为0.0，无法量化商业价值，机会在于强化转化追踪以挖掘LTV潜力。 </w:t>
      </w:r>
    </w:p>
    <w:p>
      <w:pPr>
        <w:spacing w:before="200" w:after="200"/>
        <w:jc w:val="center"/>
      </w:pPr>
      <w:r>
        <w:rPr>
          <w:b/>
          <w:bCs/>
          <w:color w:val="000000"/>
        </w:rPr>
        <w:t xml:space="preserve">大金空调智投效果</w:t>
      </w:r>
    </w:p>
    <w:tbl>
      <w:tblPr>
        <w:tblW w:type="dxa" w:w="145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0"/>
        <w:gridCol w:w="998"/>
        <w:gridCol w:w="998"/>
        <w:gridCol w:w="1340"/>
        <w:gridCol w:w="1497"/>
        <w:gridCol w:w="1340"/>
        <w:gridCol w:w="840"/>
        <w:gridCol w:w="1103"/>
        <w:gridCol w:w="840"/>
        <w:gridCol w:w="919"/>
        <w:gridCol w:w="919"/>
        <w:gridCol w:w="998"/>
        <w:gridCol w:w="919"/>
        <w:gridCol w:w="1007"/>
      </w:tblGrid>
      <w:tr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对象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投放方式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日均消耗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日均消耗占比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有消耗的账户数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广告条均消耗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3秒完播率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下单率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下单ROI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竞价CPM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目标出价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ROI出价</w:t>
            </w:r>
          </w:p>
        </w:tc>
        <w:tc>
          <w:tcPr>
            <w:shd w:fill="166a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ROI Bias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客户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智投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5737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3.47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1217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54.59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261.13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客户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非智投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159759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96.53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7169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44.88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205.37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行业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智投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11332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1.28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4.71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55.66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1.39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241.02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2.77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24.86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行业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非智投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870983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98.72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12836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36.98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173.22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6.65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95.84</w:t>
            </w:r>
          </w:p>
        </w:tc>
      </w:tr>
    </w:tbl>
    <w:p>
      <w:pPr>
        <w:spacing w:after="200"/>
      </w:pPr>
    </w:p>
    <w:sectPr>
      <w:pgSz w:w="16838" w:h="23811" w:orient="portrait"/>
      <w:pgMar w:top="1137" w:right="1137" w:bottom="1137" w:left="11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balanceSingleByteDoubleByteWidth/>
    <w:doNotExpandShiftReturn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4"/>
        <w:szCs w:val="24"/>
      </w:rPr>
    </w:rPrDefault>
    <w:pPrDefault>
      <w:pPr>
        <w:spacing w:line="360"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400"/>
    </w:pPr>
    <w:rPr>
      <w:b/>
      <w:bCs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184b2080fd6dade0f2e08b3d623184ed5d8ed0d.png"/><Relationship Id="rId7" Type="http://schemas.openxmlformats.org/officeDocument/2006/relationships/image" Target="media/71a6ec3e9d87242f4aa12c6aacc1fb81d71d912a.png"/><Relationship Id="rId8" Type="http://schemas.openxmlformats.org/officeDocument/2006/relationships/image" Target="media/4b09155d209c599af395bcd70a97b7a883b999f0.png"/><Relationship Id="rId9" Type="http://schemas.openxmlformats.org/officeDocument/2006/relationships/image" Target="media/b597b66046a05b6a9ecc9811675c783303d9ebab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2025-12-30T09:52:34.389Z</dcterms:created>
  <dcterms:modified xsi:type="dcterms:W3CDTF">2025-12-30T09:52:34.389Z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