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spacing w:after="360"/>
        <w:jc w:val="center"/>
      </w:pPr>
      <w:r>
        <w:rPr>
          <w:rFonts w:ascii="Calibri" w:hAnsi="Calibri"/>
          <w:b/>
          <w:color w:val="168A78"/>
          <w:sz w:val="21"/>
        </w:rPr>
        <w:t>AGENTIC HYBRID RAG  |  DEMO EDITION</w:t>
      </w:r>
    </w:p>
    <w:p>
      <w:pPr>
        <w:spacing w:after="200"/>
        <w:jc w:val="center"/>
      </w:pPr>
      <w:r>
        <w:rPr>
          <w:rFonts w:ascii="Calibri" w:hAnsi="Calibri"/>
          <w:b/>
          <w:color w:val="0B2545"/>
          <w:sz w:val="64"/>
        </w:rPr>
        <w:t>EarningsIQ</w:t>
      </w:r>
    </w:p>
    <w:p>
      <w:pPr>
        <w:spacing w:after="520"/>
        <w:jc w:val="center"/>
      </w:pPr>
      <w:r>
        <w:rPr>
          <w:rFonts w:ascii="Calibri" w:hAnsi="Calibri"/>
          <w:color w:val="2E74B5"/>
          <w:sz w:val="32"/>
        </w:rPr>
        <w:t>Project Working, Architecture &amp; Live Demo Guide</w:t>
      </w:r>
    </w:p>
    <w:p>
      <w:pPr>
        <w:spacing w:after="560"/>
        <w:jc w:val="center"/>
        <w:pBdr>
          <w:bottom w:val="single" w:sz="18" w:space="1" w:color="168A78"/>
        </w:pBdr>
      </w:pPr>
    </w:p>
    <w:p>
      <w:pPr>
        <w:spacing w:after="240"/>
        <w:jc w:val="center"/>
      </w:pPr>
      <w:r>
        <w:rPr>
          <w:rFonts w:ascii="Calibri" w:hAnsi="Calibri"/>
          <w:color w:val="1F2937"/>
          <w:sz w:val="23"/>
        </w:rPr>
        <w:t>A traceable financial-research assistant that combines page-aware PDF ingestion, Pinecone semantic retrieval, local BM25, Reciprocal Rank Fusion, reranking, LangGraph routing, and grounded streaming answers.</w:t>
      </w:r>
    </w:p>
    <w:p>
      <w:pPr>
        <w:spacing w:after="60"/>
        <w:jc w:val="center"/>
      </w:pPr>
      <w:r>
        <w:rPr>
          <w:rFonts w:ascii="Calibri" w:hAnsi="Calibri"/>
          <w:b/>
          <w:color w:val="0B2545"/>
          <w:sz w:val="20"/>
        </w:rPr>
        <w:t xml:space="preserve">Validated: </w:t>
      </w:r>
      <w:r>
        <w:rPr>
          <w:rFonts w:ascii="Calibri" w:hAnsi="Calibri"/>
          <w:color w:val="667085"/>
          <w:sz w:val="20"/>
        </w:rPr>
        <w:t>24 August 2026</w:t>
      </w:r>
    </w:p>
    <w:p>
      <w:pPr>
        <w:spacing w:after="60"/>
        <w:jc w:val="center"/>
      </w:pPr>
      <w:r>
        <w:rPr>
          <w:rFonts w:ascii="Calibri" w:hAnsi="Calibri"/>
          <w:b/>
          <w:color w:val="0B2545"/>
          <w:sz w:val="20"/>
        </w:rPr>
        <w:t xml:space="preserve">Live corpus: </w:t>
      </w:r>
      <w:r>
        <w:rPr>
          <w:rFonts w:ascii="Calibri" w:hAnsi="Calibri"/>
          <w:color w:val="667085"/>
          <w:sz w:val="20"/>
        </w:rPr>
        <w:t>5 Infosys reports | 86 chunks</w:t>
      </w:r>
    </w:p>
    <w:p>
      <w:pPr>
        <w:spacing w:after="60"/>
        <w:jc w:val="center"/>
      </w:pPr>
      <w:r>
        <w:rPr>
          <w:rFonts w:ascii="Calibri" w:hAnsi="Calibri"/>
          <w:b/>
          <w:color w:val="0B2545"/>
          <w:sz w:val="20"/>
        </w:rPr>
        <w:t xml:space="preserve">Batch dry run: </w:t>
      </w:r>
      <w:r>
        <w:rPr>
          <w:rFonts w:ascii="Calibri" w:hAnsi="Calibri"/>
          <w:color w:val="667085"/>
          <w:sz w:val="20"/>
        </w:rPr>
        <w:t>15 reports | 411 chunks</w:t>
      </w:r>
    </w:p>
    <w:p>
      <w:pPr>
        <w:spacing w:after="60"/>
        <w:jc w:val="center"/>
      </w:pPr>
      <w:r>
        <w:rPr>
          <w:rFonts w:ascii="Calibri" w:hAnsi="Calibri"/>
          <w:b/>
          <w:color w:val="0B2545"/>
          <w:sz w:val="20"/>
        </w:rPr>
        <w:t xml:space="preserve">Automated tests: </w:t>
      </w:r>
      <w:r>
        <w:rPr>
          <w:rFonts w:ascii="Calibri" w:hAnsi="Calibri"/>
          <w:color w:val="667085"/>
          <w:sz w:val="20"/>
        </w:rPr>
        <w:t>18 passed</w:t>
      </w:r>
    </w:p>
    <w:p>
      <w:r>
        <w:br w:type="page"/>
      </w:r>
    </w:p>
    <w:p>
      <w:pPr>
        <w:pStyle w:val="Heading1"/>
        <w:keepNext/>
      </w:pPr>
      <w:r>
        <w:t>1. Executive summary</w:t>
      </w:r>
    </w:p>
    <w:p>
      <w:pPr>
        <w:pStyle w:val="LeadCallout"/>
        <w:shd w:fill="EAF6F3"/>
        <w:pBdr>
          <w:left w:val="single" w:sz="16" w:space="8" w:color="168A78"/>
        </w:pBdr>
      </w:pPr>
      <w:r>
        <w:rPr>
          <w:rFonts w:ascii="Calibri" w:hAnsi="Calibri"/>
          <w:b/>
          <w:color w:val="0B2545"/>
          <w:sz w:val="21"/>
        </w:rPr>
        <w:t xml:space="preserve">Demo message: </w:t>
      </w:r>
      <w:r>
        <w:rPr>
          <w:rFonts w:ascii="Calibri" w:hAnsi="Calibri"/>
          <w:color w:val="1F2937"/>
          <w:sz w:val="21"/>
        </w:rPr>
        <w:t>EarningsIQ turns quarterly-report evidence into inspectable answers. The system does not rely on model memory: it retrieves cited report excerpts, reranks them, and constrains generation to the selected evidence.</w:t>
      </w:r>
    </w:p>
    <w:p>
      <w:pPr/>
      <w:r>
        <w:rPr>
          <w:rFonts w:ascii="Calibri" w:hAnsi="Calibri"/>
          <w:color w:val="1F2937"/>
        </w:rPr>
        <w:t>The application is designed for analysts, reviewers, students, and project evaluators who need both fast financial-document exploration and visible evidence. Its distinguishing choices are hybrid retrieval, page-preserving citations, lightweight agentic routing, streamed workflow diagnostics, and a Management Promise Tracker for cross-quarter accountability.</w:t>
      </w:r>
    </w:p>
    <w:p>
      <w:pPr>
        <w:pStyle w:val="Heading2"/>
        <w:keepNext/>
      </w:pPr>
      <w:r>
        <w:t>What is demonstrably working</w:t>
      </w:r>
    </w:p>
    <w:p>
      <w:pPr>
        <w:pStyle w:val="ListBullet"/>
        <w:spacing w:after="80" w:line="300" w:lineRule="auto"/>
        <w:ind w:left="540" w:hanging="271"/>
      </w:pPr>
      <w:r>
        <w:rPr>
          <w:rFonts w:ascii="Calibri" w:hAnsi="Calibri"/>
          <w:color w:val="1F2937"/>
          <w:sz w:val="22"/>
        </w:rPr>
        <w:t>Page-aware extraction and deterministic chunking for text-based quarterly PDFs.</w:t>
      </w:r>
    </w:p>
    <w:p>
      <w:pPr>
        <w:pStyle w:val="ListBullet"/>
        <w:spacing w:after="80" w:line="300" w:lineRule="auto"/>
        <w:ind w:left="540" w:hanging="271"/>
      </w:pPr>
      <w:r>
        <w:rPr>
          <w:rFonts w:ascii="Calibri" w:hAnsi="Calibri"/>
          <w:color w:val="1F2937"/>
          <w:sz w:val="22"/>
        </w:rPr>
        <w:t>Batch manifest support for Infosys, TCS, and HDFC Bank report collections.</w:t>
      </w:r>
    </w:p>
    <w:p>
      <w:pPr>
        <w:pStyle w:val="ListBullet"/>
        <w:spacing w:after="80" w:line="300" w:lineRule="auto"/>
        <w:ind w:left="540" w:hanging="271"/>
      </w:pPr>
      <w:r>
        <w:rPr>
          <w:rFonts w:ascii="Calibri" w:hAnsi="Calibri"/>
          <w:color w:val="1F2937"/>
          <w:sz w:val="22"/>
        </w:rPr>
        <w:t>A local JSONL corpus for BM25 and a matching Pinecone vector index keyed by stable chunk IDs.</w:t>
      </w:r>
    </w:p>
    <w:p>
      <w:pPr>
        <w:pStyle w:val="ListBullet"/>
        <w:spacing w:after="80" w:line="300" w:lineRule="auto"/>
        <w:ind w:left="540" w:hanging="271"/>
      </w:pPr>
      <w:r>
        <w:rPr>
          <w:rFonts w:ascii="Calibri" w:hAnsi="Calibri"/>
          <w:color w:val="1F2937"/>
          <w:sz w:val="22"/>
        </w:rPr>
        <w:t>Hybrid retrieval using dense search, BM25, Reciprocal Rank Fusion, LLM reranking, and grounded generation.</w:t>
      </w:r>
    </w:p>
    <w:p>
      <w:pPr>
        <w:pStyle w:val="ListBullet"/>
        <w:spacing w:after="80" w:line="300" w:lineRule="auto"/>
        <w:ind w:left="540" w:hanging="271"/>
      </w:pPr>
      <w:r>
        <w:rPr>
          <w:rFonts w:ascii="Calibri" w:hAnsi="Calibri"/>
          <w:color w:val="1F2937"/>
          <w:sz w:val="22"/>
        </w:rPr>
        <w:t>LangGraph query classification into financial, document, and comparison routes.</w:t>
      </w:r>
    </w:p>
    <w:p>
      <w:pPr>
        <w:pStyle w:val="ListBullet"/>
        <w:spacing w:after="80" w:line="300" w:lineRule="auto"/>
        <w:ind w:left="540" w:hanging="271"/>
      </w:pPr>
      <w:r>
        <w:rPr>
          <w:rFonts w:ascii="Calibri" w:hAnsi="Calibri"/>
          <w:color w:val="1F2937"/>
          <w:sz w:val="22"/>
        </w:rPr>
        <w:t>A chat-first Streamlit interface with live workflow stages, citations, excerpts, KPI data, promise tracking, and source inventory.</w:t>
      </w:r>
    </w:p>
    <w:p>
      <w:pPr>
        <w:pStyle w:val="LeadCallout"/>
        <w:shd w:fill="FFF8E8"/>
        <w:pBdr>
          <w:left w:val="single" w:sz="16" w:space="8" w:color="7A5A00"/>
        </w:pBdr>
      </w:pPr>
      <w:r>
        <w:rPr>
          <w:rFonts w:ascii="Calibri" w:hAnsi="Calibri"/>
          <w:b/>
          <w:color w:val="0B2545"/>
          <w:sz w:val="21"/>
        </w:rPr>
        <w:t xml:space="preserve">Current boundary: </w:t>
      </w:r>
      <w:r>
        <w:rPr>
          <w:rFonts w:ascii="Calibri" w:hAnsi="Calibri"/>
          <w:color w:val="1F2937"/>
          <w:sz w:val="21"/>
        </w:rPr>
        <w:t>The report manifest covers three companies, while the structured KPI dashboard is currently populated only for Infosys. RAG retrieval can be indexed for all manifest companies, but the selector depends on structured metric entries.</w:t>
      </w:r>
    </w:p>
    <w:p>
      <w:pPr>
        <w:pStyle w:val="Heading1"/>
        <w:keepNext/>
      </w:pPr>
      <w:r>
        <w:t>2. Problem and design goals</w:t>
      </w:r>
    </w:p>
    <w:p>
      <w:pPr/>
      <w:r>
        <w:rPr>
          <w:rFonts w:ascii="Calibri" w:hAnsi="Calibri"/>
          <w:color w:val="1F2937"/>
        </w:rPr>
        <w:t>Quarterly reports mix tables, management commentary, risk language, guidance, and accounting notes across many pages. A plain chatbot can produce fluent answers while losing period context or inventing unsupported details. EarningsIQ addresses this by separating structured numeric presentation from evidence-heavy document analysis.</w:t>
      </w:r>
    </w:p>
    <w:tbl>
      <w:tblPr>
        <w:tblStyle w:val="TableGrid"/>
        <w:tblW w:type="dxa" w:w="9360"/>
        <w:jc w:val="left"/>
        <w:tblLayout w:type="fixed"/>
        <w:tblLook w:firstColumn="1" w:firstRow="1" w:lastColumn="0" w:lastRow="0" w:noHBand="0" w:noVBand="1" w:val="04A0"/>
        <w:tblInd w:w="120" w:type="dxa"/>
      </w:tblPr>
      <w:tblGrid>
        <w:gridCol w:w="2050"/>
        <w:gridCol w:w="4100"/>
        <w:gridCol w:w="3210"/>
      </w:tblGrid>
      <w:tr>
        <w:trPr>
          <w:tblHeader/>
        </w:trPr>
        <w:tc>
          <w:tcPr>
            <w:tcW w:type="dxa" w:w="2050"/>
            <w:shd w:fill="E8EEF5"/>
            <w:vAlign w:val="center"/>
            <w:tcMar>
              <w:top w:w="80" w:type="dxa"/>
              <w:start w:w="120" w:type="dxa"/>
              <w:bottom w:w="80" w:type="dxa"/>
              <w:end w:w="120" w:type="dxa"/>
            </w:tcMar>
          </w:tcPr>
          <w:p>
            <w:pPr>
              <w:keepNext/>
              <w:spacing w:after="0"/>
            </w:pPr>
            <w:r>
              <w:rPr>
                <w:rFonts w:ascii="Calibri" w:hAnsi="Calibri"/>
                <w:b/>
                <w:color w:val="0B2545"/>
                <w:sz w:val="19"/>
              </w:rPr>
              <w:t>Challenge</w:t>
            </w:r>
          </w:p>
        </w:tc>
        <w:tc>
          <w:tcPr>
            <w:tcW w:type="dxa" w:w="4100"/>
            <w:shd w:fill="E8EEF5"/>
            <w:vAlign w:val="center"/>
            <w:tcMar>
              <w:top w:w="80" w:type="dxa"/>
              <w:start w:w="120" w:type="dxa"/>
              <w:bottom w:w="80" w:type="dxa"/>
              <w:end w:w="120" w:type="dxa"/>
            </w:tcMar>
          </w:tcPr>
          <w:p>
            <w:pPr>
              <w:keepNext/>
              <w:spacing w:after="0"/>
            </w:pPr>
            <w:r>
              <w:rPr>
                <w:rFonts w:ascii="Calibri" w:hAnsi="Calibri"/>
                <w:b/>
                <w:color w:val="0B2545"/>
                <w:sz w:val="19"/>
              </w:rPr>
              <w:t>Design response</w:t>
            </w:r>
          </w:p>
        </w:tc>
        <w:tc>
          <w:tcPr>
            <w:tcW w:type="dxa" w:w="3210"/>
            <w:shd w:fill="E8EEF5"/>
            <w:vAlign w:val="center"/>
            <w:tcMar>
              <w:top w:w="80" w:type="dxa"/>
              <w:start w:w="120" w:type="dxa"/>
              <w:bottom w:w="80" w:type="dxa"/>
              <w:end w:w="120" w:type="dxa"/>
            </w:tcMar>
          </w:tcPr>
          <w:p>
            <w:pPr>
              <w:keepNext/>
              <w:spacing w:after="0"/>
            </w:pPr>
            <w:r>
              <w:rPr>
                <w:rFonts w:ascii="Calibri" w:hAnsi="Calibri"/>
                <w:b/>
                <w:color w:val="0B2545"/>
                <w:sz w:val="19"/>
              </w:rPr>
              <w:t>Demo proof</w:t>
            </w:r>
          </w:p>
        </w:tc>
      </w:tr>
      <w:tr>
        <w:tc>
          <w:tcPr>
            <w:tcW w:type="dxa" w:w="2050"/>
            <w:vAlign w:val="top"/>
            <w:tcMar>
              <w:top w:w="80" w:type="dxa"/>
              <w:start w:w="120" w:type="dxa"/>
              <w:bottom w:w="80" w:type="dxa"/>
              <w:end w:w="120" w:type="dxa"/>
            </w:tcMar>
          </w:tcPr>
          <w:p>
            <w:pPr>
              <w:spacing w:after="0" w:line="240" w:lineRule="auto"/>
            </w:pPr>
            <w:r>
              <w:rPr>
                <w:rFonts w:ascii="Calibri" w:hAnsi="Calibri"/>
                <w:color w:val="1F2937"/>
                <w:sz w:val="18"/>
              </w:rPr>
              <w:t>Long, repetitive reports</w:t>
            </w:r>
          </w:p>
        </w:tc>
        <w:tc>
          <w:tcPr>
            <w:tcW w:type="dxa" w:w="4100"/>
            <w:vAlign w:val="top"/>
            <w:tcMar>
              <w:top w:w="80" w:type="dxa"/>
              <w:start w:w="120" w:type="dxa"/>
              <w:bottom w:w="80" w:type="dxa"/>
              <w:end w:w="120" w:type="dxa"/>
            </w:tcMar>
          </w:tcPr>
          <w:p>
            <w:pPr>
              <w:spacing w:after="0" w:line="240" w:lineRule="auto"/>
            </w:pPr>
            <w:r>
              <w:rPr>
                <w:rFonts w:ascii="Calibri" w:hAnsi="Calibri"/>
                <w:color w:val="1F2937"/>
                <w:sz w:val="18"/>
              </w:rPr>
              <w:t>Page-level extraction and 1,200-character recursive chunks with 200-character overlap</w:t>
            </w:r>
          </w:p>
        </w:tc>
        <w:tc>
          <w:tcPr>
            <w:tcW w:type="dxa" w:w="3210"/>
            <w:vAlign w:val="top"/>
            <w:tcMar>
              <w:top w:w="80" w:type="dxa"/>
              <w:start w:w="120" w:type="dxa"/>
              <w:bottom w:w="80" w:type="dxa"/>
              <w:end w:w="120" w:type="dxa"/>
            </w:tcMar>
          </w:tcPr>
          <w:p>
            <w:pPr>
              <w:spacing w:after="0" w:line="240" w:lineRule="auto"/>
            </w:pPr>
            <w:r>
              <w:rPr>
                <w:rFonts w:ascii="Calibri" w:hAnsi="Calibri"/>
                <w:color w:val="1F2937"/>
                <w:sz w:val="18"/>
              </w:rPr>
              <w:t>Show source, quarter, page, and chunk count</w:t>
            </w:r>
          </w:p>
        </w:tc>
      </w:tr>
      <w:tr>
        <w:tc>
          <w:tcPr>
            <w:tcW w:type="dxa" w:w="2050"/>
            <w:vAlign w:val="top"/>
            <w:tcMar>
              <w:top w:w="80" w:type="dxa"/>
              <w:start w:w="120" w:type="dxa"/>
              <w:bottom w:w="80" w:type="dxa"/>
              <w:end w:w="120" w:type="dxa"/>
            </w:tcMar>
          </w:tcPr>
          <w:p>
            <w:pPr>
              <w:spacing w:after="0" w:line="240" w:lineRule="auto"/>
            </w:pPr>
            <w:r>
              <w:rPr>
                <w:rFonts w:ascii="Calibri" w:hAnsi="Calibri"/>
                <w:color w:val="1F2937"/>
                <w:sz w:val="18"/>
              </w:rPr>
              <w:t>Semantic and exact-term mismatch</w:t>
            </w:r>
          </w:p>
        </w:tc>
        <w:tc>
          <w:tcPr>
            <w:tcW w:type="dxa" w:w="4100"/>
            <w:vAlign w:val="top"/>
            <w:tcMar>
              <w:top w:w="80" w:type="dxa"/>
              <w:start w:w="120" w:type="dxa"/>
              <w:bottom w:w="80" w:type="dxa"/>
              <w:end w:w="120" w:type="dxa"/>
            </w:tcMar>
          </w:tcPr>
          <w:p>
            <w:pPr>
              <w:spacing w:after="0" w:line="240" w:lineRule="auto"/>
            </w:pPr>
            <w:r>
              <w:rPr>
                <w:rFonts w:ascii="Calibri" w:hAnsi="Calibri"/>
                <w:color w:val="1F2937"/>
                <w:sz w:val="18"/>
              </w:rPr>
              <w:t>Pinecone dense retrieval plus local BM25</w:t>
            </w:r>
          </w:p>
        </w:tc>
        <w:tc>
          <w:tcPr>
            <w:tcW w:type="dxa" w:w="3210"/>
            <w:vAlign w:val="top"/>
            <w:tcMar>
              <w:top w:w="80" w:type="dxa"/>
              <w:start w:w="120" w:type="dxa"/>
              <w:bottom w:w="80" w:type="dxa"/>
              <w:end w:w="120" w:type="dxa"/>
            </w:tcMar>
          </w:tcPr>
          <w:p>
            <w:pPr>
              <w:spacing w:after="0" w:line="240" w:lineRule="auto"/>
            </w:pPr>
            <w:r>
              <w:rPr>
                <w:rFonts w:ascii="Calibri" w:hAnsi="Calibri"/>
                <w:color w:val="1F2937"/>
                <w:sz w:val="18"/>
              </w:rPr>
              <w:t>Open retrieval diagnostics</w:t>
            </w:r>
          </w:p>
        </w:tc>
      </w:tr>
      <w:tr>
        <w:tc>
          <w:tcPr>
            <w:tcW w:type="dxa" w:w="2050"/>
            <w:vAlign w:val="top"/>
            <w:tcMar>
              <w:top w:w="80" w:type="dxa"/>
              <w:start w:w="120" w:type="dxa"/>
              <w:bottom w:w="80" w:type="dxa"/>
              <w:end w:w="120" w:type="dxa"/>
            </w:tcMar>
          </w:tcPr>
          <w:p>
            <w:pPr>
              <w:spacing w:after="0" w:line="240" w:lineRule="auto"/>
            </w:pPr>
            <w:r>
              <w:rPr>
                <w:rFonts w:ascii="Calibri" w:hAnsi="Calibri"/>
                <w:color w:val="1F2937"/>
                <w:sz w:val="18"/>
              </w:rPr>
              <w:t>Scores are not comparable</w:t>
            </w:r>
          </w:p>
        </w:tc>
        <w:tc>
          <w:tcPr>
            <w:tcW w:type="dxa" w:w="4100"/>
            <w:vAlign w:val="top"/>
            <w:tcMar>
              <w:top w:w="80" w:type="dxa"/>
              <w:start w:w="120" w:type="dxa"/>
              <w:bottom w:w="80" w:type="dxa"/>
              <w:end w:w="120" w:type="dxa"/>
            </w:tcMar>
          </w:tcPr>
          <w:p>
            <w:pPr>
              <w:spacing w:after="0" w:line="240" w:lineRule="auto"/>
            </w:pPr>
            <w:r>
              <w:rPr>
                <w:rFonts w:ascii="Calibri" w:hAnsi="Calibri"/>
                <w:color w:val="1F2937"/>
                <w:sz w:val="18"/>
              </w:rPr>
              <w:t>Reciprocal Rank Fusion uses rank positions</w:t>
            </w:r>
          </w:p>
        </w:tc>
        <w:tc>
          <w:tcPr>
            <w:tcW w:type="dxa" w:w="3210"/>
            <w:vAlign w:val="top"/>
            <w:tcMar>
              <w:top w:w="80" w:type="dxa"/>
              <w:start w:w="120" w:type="dxa"/>
              <w:bottom w:w="80" w:type="dxa"/>
              <w:end w:w="120" w:type="dxa"/>
            </w:tcMar>
          </w:tcPr>
          <w:p>
            <w:pPr>
              <w:spacing w:after="0" w:line="240" w:lineRule="auto"/>
            </w:pPr>
            <w:r>
              <w:rPr>
                <w:rFonts w:ascii="Calibri" w:hAnsi="Calibri"/>
                <w:color w:val="1F2937"/>
                <w:sz w:val="18"/>
              </w:rPr>
              <w:t>Explain fused shortlist</w:t>
            </w:r>
          </w:p>
        </w:tc>
      </w:tr>
      <w:tr>
        <w:tc>
          <w:tcPr>
            <w:tcW w:type="dxa" w:w="2050"/>
            <w:vAlign w:val="top"/>
            <w:tcMar>
              <w:top w:w="80" w:type="dxa"/>
              <w:start w:w="120" w:type="dxa"/>
              <w:bottom w:w="80" w:type="dxa"/>
              <w:end w:w="120" w:type="dxa"/>
            </w:tcMar>
          </w:tcPr>
          <w:p>
            <w:pPr>
              <w:spacing w:after="0" w:line="240" w:lineRule="auto"/>
            </w:pPr>
            <w:r>
              <w:rPr>
                <w:rFonts w:ascii="Calibri" w:hAnsi="Calibri"/>
                <w:color w:val="1F2937"/>
                <w:sz w:val="18"/>
              </w:rPr>
              <w:t>LLM may cite weak evidence</w:t>
            </w:r>
          </w:p>
        </w:tc>
        <w:tc>
          <w:tcPr>
            <w:tcW w:type="dxa" w:w="4100"/>
            <w:vAlign w:val="top"/>
            <w:tcMar>
              <w:top w:w="80" w:type="dxa"/>
              <w:start w:w="120" w:type="dxa"/>
              <w:bottom w:w="80" w:type="dxa"/>
              <w:end w:w="120" w:type="dxa"/>
            </w:tcMar>
          </w:tcPr>
          <w:p>
            <w:pPr>
              <w:spacing w:after="0" w:line="240" w:lineRule="auto"/>
            </w:pPr>
            <w:r>
              <w:rPr>
                <w:rFonts w:ascii="Calibri" w:hAnsi="Calibri"/>
                <w:color w:val="1F2937"/>
                <w:sz w:val="18"/>
              </w:rPr>
              <w:t>Rerank to the strongest six chunks before generation</w:t>
            </w:r>
          </w:p>
        </w:tc>
        <w:tc>
          <w:tcPr>
            <w:tcW w:type="dxa" w:w="3210"/>
            <w:vAlign w:val="top"/>
            <w:tcMar>
              <w:top w:w="80" w:type="dxa"/>
              <w:start w:w="120" w:type="dxa"/>
              <w:bottom w:w="80" w:type="dxa"/>
              <w:end w:w="120" w:type="dxa"/>
            </w:tcMar>
          </w:tcPr>
          <w:p>
            <w:pPr>
              <w:spacing w:after="0" w:line="240" w:lineRule="auto"/>
            </w:pPr>
            <w:r>
              <w:rPr>
                <w:rFonts w:ascii="Calibri" w:hAnsi="Calibri"/>
                <w:color w:val="1F2937"/>
                <w:sz w:val="18"/>
              </w:rPr>
              <w:t>Open cited excerpts</w:t>
            </w:r>
          </w:p>
        </w:tc>
      </w:tr>
      <w:tr>
        <w:tc>
          <w:tcPr>
            <w:tcW w:type="dxa" w:w="2050"/>
            <w:vAlign w:val="top"/>
            <w:tcMar>
              <w:top w:w="80" w:type="dxa"/>
              <w:start w:w="120" w:type="dxa"/>
              <w:bottom w:w="80" w:type="dxa"/>
              <w:end w:w="120" w:type="dxa"/>
            </w:tcMar>
          </w:tcPr>
          <w:p>
            <w:pPr>
              <w:spacing w:after="0" w:line="240" w:lineRule="auto"/>
            </w:pPr>
            <w:r>
              <w:rPr>
                <w:rFonts w:ascii="Calibri" w:hAnsi="Calibri"/>
                <w:color w:val="1F2937"/>
                <w:sz w:val="18"/>
              </w:rPr>
              <w:t>Questions need different scopes</w:t>
            </w:r>
          </w:p>
        </w:tc>
        <w:tc>
          <w:tcPr>
            <w:tcW w:type="dxa" w:w="4100"/>
            <w:vAlign w:val="top"/>
            <w:tcMar>
              <w:top w:w="80" w:type="dxa"/>
              <w:start w:w="120" w:type="dxa"/>
              <w:bottom w:w="80" w:type="dxa"/>
              <w:end w:w="120" w:type="dxa"/>
            </w:tcMar>
          </w:tcPr>
          <w:p>
            <w:pPr>
              <w:spacing w:after="0" w:line="240" w:lineRule="auto"/>
            </w:pPr>
            <w:r>
              <w:rPr>
                <w:rFonts w:ascii="Calibri" w:hAnsi="Calibri"/>
                <w:color w:val="1F2937"/>
                <w:sz w:val="18"/>
              </w:rPr>
              <w:t>LangGraph routes comparison questions across quarters</w:t>
            </w:r>
          </w:p>
        </w:tc>
        <w:tc>
          <w:tcPr>
            <w:tcW w:type="dxa" w:w="3210"/>
            <w:vAlign w:val="top"/>
            <w:tcMar>
              <w:top w:w="80" w:type="dxa"/>
              <w:start w:w="120" w:type="dxa"/>
              <w:bottom w:w="80" w:type="dxa"/>
              <w:end w:w="120" w:type="dxa"/>
            </w:tcMar>
          </w:tcPr>
          <w:p>
            <w:pPr>
              <w:spacing w:after="0" w:line="240" w:lineRule="auto"/>
            </w:pPr>
            <w:r>
              <w:rPr>
                <w:rFonts w:ascii="Calibri" w:hAnsi="Calibri"/>
                <w:color w:val="1F2937"/>
                <w:sz w:val="18"/>
              </w:rPr>
              <w:t>Ask a multi-quarter question</w:t>
            </w:r>
          </w:p>
        </w:tc>
      </w:tr>
      <w:tr>
        <w:tc>
          <w:tcPr>
            <w:tcW w:type="dxa" w:w="2050"/>
            <w:vAlign w:val="top"/>
            <w:tcMar>
              <w:top w:w="80" w:type="dxa"/>
              <w:start w:w="120" w:type="dxa"/>
              <w:bottom w:w="80" w:type="dxa"/>
              <w:end w:w="120" w:type="dxa"/>
            </w:tcMar>
          </w:tcPr>
          <w:p>
            <w:pPr>
              <w:spacing w:after="0" w:line="240" w:lineRule="auto"/>
            </w:pPr>
            <w:r>
              <w:rPr>
                <w:rFonts w:ascii="Calibri" w:hAnsi="Calibri"/>
                <w:color w:val="1F2937"/>
                <w:sz w:val="18"/>
              </w:rPr>
              <w:t>Basic KPIs should be deterministic</w:t>
            </w:r>
          </w:p>
        </w:tc>
        <w:tc>
          <w:tcPr>
            <w:tcW w:type="dxa" w:w="4100"/>
            <w:vAlign w:val="top"/>
            <w:tcMar>
              <w:top w:w="80" w:type="dxa"/>
              <w:start w:w="120" w:type="dxa"/>
              <w:bottom w:w="80" w:type="dxa"/>
              <w:end w:w="120" w:type="dxa"/>
            </w:tcMar>
          </w:tcPr>
          <w:p>
            <w:pPr>
              <w:spacing w:after="0" w:line="240" w:lineRule="auto"/>
            </w:pPr>
            <w:r>
              <w:rPr>
                <w:rFonts w:ascii="Calibri" w:hAnsi="Calibri"/>
                <w:color w:val="1F2937"/>
                <w:sz w:val="18"/>
              </w:rPr>
              <w:t>Structured JSON powers the Financial Snapshot</w:t>
            </w:r>
          </w:p>
        </w:tc>
        <w:tc>
          <w:tcPr>
            <w:tcW w:type="dxa" w:w="3210"/>
            <w:vAlign w:val="top"/>
            <w:tcMar>
              <w:top w:w="80" w:type="dxa"/>
              <w:start w:w="120" w:type="dxa"/>
              <w:bottom w:w="80" w:type="dxa"/>
              <w:end w:w="120" w:type="dxa"/>
            </w:tcMar>
          </w:tcPr>
          <w:p>
            <w:pPr>
              <w:spacing w:after="0" w:line="240" w:lineRule="auto"/>
            </w:pPr>
            <w:r>
              <w:rPr>
                <w:rFonts w:ascii="Calibri" w:hAnsi="Calibri"/>
                <w:color w:val="1F2937"/>
                <w:sz w:val="18"/>
              </w:rPr>
              <w:t>Open KPI tab</w:t>
            </w:r>
          </w:p>
        </w:tc>
      </w:tr>
    </w:tbl>
    <w:p>
      <w:pPr>
        <w:spacing w:after="0"/>
      </w:pPr>
    </w:p>
    <w:p>
      <w:pPr>
        <w:pStyle w:val="Heading1"/>
        <w:keepNext/>
      </w:pPr>
      <w:r>
        <w:t>3. Architecture at a glance</w:t>
      </w:r>
    </w:p>
    <w:p>
      <w:pPr>
        <w:pStyle w:val="LeadCallout"/>
        <w:shd w:fill="E8EEF5"/>
        <w:pBdr>
          <w:left w:val="single" w:sz="16" w:space="8" w:color="2E74B5"/>
        </w:pBdr>
      </w:pPr>
      <w:r>
        <w:rPr>
          <w:rFonts w:ascii="Calibri" w:hAnsi="Calibri"/>
          <w:b/>
          <w:color w:val="0B2545"/>
          <w:sz w:val="21"/>
        </w:rPr>
        <w:t xml:space="preserve">Ingestion flow: </w:t>
      </w:r>
      <w:r>
        <w:rPr>
          <w:rFonts w:ascii="Calibri" w:hAnsi="Calibri"/>
          <w:color w:val="1F2937"/>
          <w:sz w:val="21"/>
        </w:rPr>
        <w:t>Quarterly PDF -&gt; PyMuPDF pages -&gt; metadata -&gt; recursive chunks -&gt; Nebius embeddings -&gt; Pinecone + local JSONL corpus.</w:t>
      </w:r>
    </w:p>
    <w:p>
      <w:pPr>
        <w:pStyle w:val="LeadCallout"/>
        <w:shd w:fill="EAF6F3"/>
        <w:pBdr>
          <w:left w:val="single" w:sz="16" w:space="8" w:color="168A78"/>
        </w:pBdr>
      </w:pPr>
      <w:r>
        <w:rPr>
          <w:rFonts w:ascii="Calibri" w:hAnsi="Calibri"/>
          <w:b/>
          <w:color w:val="0B2545"/>
          <w:sz w:val="21"/>
        </w:rPr>
        <w:t xml:space="preserve">Question flow: </w:t>
      </w:r>
      <w:r>
        <w:rPr>
          <w:rFonts w:ascii="Calibri" w:hAnsi="Calibri"/>
          <w:color w:val="1F2937"/>
          <w:sz w:val="21"/>
        </w:rPr>
        <w:t>Question -&gt; LangGraph route -&gt; company/quarter filter -&gt; Pinecone + BM25 -&gt; RRF -&gt; reranker -&gt; grounded prompt -&gt; streamed answer + citations.</w:t>
      </w:r>
    </w:p>
    <w:p>
      <w:pPr>
        <w:pStyle w:val="Heading2"/>
        <w:keepNext/>
      </w:pPr>
      <w:r>
        <w:t>Component responsibilities</w:t>
      </w:r>
    </w:p>
    <w:tbl>
      <w:tblPr>
        <w:tblStyle w:val="TableGrid"/>
        <w:tblW w:type="dxa" w:w="9360"/>
        <w:jc w:val="left"/>
        <w:tblLayout w:type="fixed"/>
        <w:tblLook w:firstColumn="1" w:firstRow="1" w:lastColumn="0" w:lastRow="0" w:noHBand="0" w:noVBand="1" w:val="04A0"/>
        <w:tblInd w:w="120" w:type="dxa"/>
      </w:tblPr>
      <w:tblGrid>
        <w:gridCol w:w="1450"/>
        <w:gridCol w:w="3050"/>
        <w:gridCol w:w="4860"/>
      </w:tblGrid>
      <w:tr>
        <w:trPr>
          <w:tblHeader/>
        </w:trPr>
        <w:tc>
          <w:tcPr>
            <w:tcW w:type="dxa" w:w="1450"/>
            <w:shd w:fill="E8EEF5"/>
            <w:vAlign w:val="center"/>
            <w:tcMar>
              <w:top w:w="80" w:type="dxa"/>
              <w:start w:w="120" w:type="dxa"/>
              <w:bottom w:w="80" w:type="dxa"/>
              <w:end w:w="120" w:type="dxa"/>
            </w:tcMar>
          </w:tcPr>
          <w:p>
            <w:pPr>
              <w:keepNext/>
              <w:spacing w:after="0"/>
            </w:pPr>
            <w:r>
              <w:rPr>
                <w:rFonts w:ascii="Calibri" w:hAnsi="Calibri"/>
                <w:b/>
                <w:color w:val="0B2545"/>
                <w:sz w:val="19"/>
              </w:rPr>
              <w:t>Layer</w:t>
            </w:r>
          </w:p>
        </w:tc>
        <w:tc>
          <w:tcPr>
            <w:tcW w:type="dxa" w:w="3050"/>
            <w:shd w:fill="E8EEF5"/>
            <w:vAlign w:val="center"/>
            <w:tcMar>
              <w:top w:w="80" w:type="dxa"/>
              <w:start w:w="120" w:type="dxa"/>
              <w:bottom w:w="80" w:type="dxa"/>
              <w:end w:w="120" w:type="dxa"/>
            </w:tcMar>
          </w:tcPr>
          <w:p>
            <w:pPr>
              <w:keepNext/>
              <w:spacing w:after="0"/>
            </w:pPr>
            <w:r>
              <w:rPr>
                <w:rFonts w:ascii="Calibri" w:hAnsi="Calibri"/>
                <w:b/>
                <w:color w:val="0B2545"/>
                <w:sz w:val="19"/>
              </w:rPr>
              <w:t>Key modules</w:t>
            </w:r>
          </w:p>
        </w:tc>
        <w:tc>
          <w:tcPr>
            <w:tcW w:type="dxa" w:w="4860"/>
            <w:shd w:fill="E8EEF5"/>
            <w:vAlign w:val="center"/>
            <w:tcMar>
              <w:top w:w="80" w:type="dxa"/>
              <w:start w:w="120" w:type="dxa"/>
              <w:bottom w:w="80" w:type="dxa"/>
              <w:end w:w="120" w:type="dxa"/>
            </w:tcMar>
          </w:tcPr>
          <w:p>
            <w:pPr>
              <w:keepNext/>
              <w:spacing w:after="0"/>
            </w:pPr>
            <w:r>
              <w:rPr>
                <w:rFonts w:ascii="Calibri" w:hAnsi="Calibri"/>
                <w:b/>
                <w:color w:val="0B2545"/>
                <w:sz w:val="19"/>
              </w:rPr>
              <w:t>Responsibility</w:t>
            </w:r>
          </w:p>
        </w:tc>
      </w:tr>
      <w:tr>
        <w:tc>
          <w:tcPr>
            <w:tcW w:type="dxa" w:w="1450"/>
            <w:vAlign w:val="top"/>
            <w:tcMar>
              <w:top w:w="80" w:type="dxa"/>
              <w:start w:w="120" w:type="dxa"/>
              <w:bottom w:w="80" w:type="dxa"/>
              <w:end w:w="120" w:type="dxa"/>
            </w:tcMar>
          </w:tcPr>
          <w:p>
            <w:pPr>
              <w:spacing w:after="0" w:line="240" w:lineRule="auto"/>
            </w:pPr>
            <w:r>
              <w:rPr>
                <w:rFonts w:ascii="Calibri" w:hAnsi="Calibri"/>
                <w:color w:val="1F2937"/>
                <w:sz w:val="18"/>
              </w:rPr>
              <w:t>Interface</w:t>
            </w:r>
          </w:p>
        </w:tc>
        <w:tc>
          <w:tcPr>
            <w:tcW w:type="dxa" w:w="3050"/>
            <w:vAlign w:val="top"/>
            <w:tcMar>
              <w:top w:w="80" w:type="dxa"/>
              <w:start w:w="120" w:type="dxa"/>
              <w:bottom w:w="80" w:type="dxa"/>
              <w:end w:w="120" w:type="dxa"/>
            </w:tcMar>
          </w:tcPr>
          <w:p>
            <w:pPr>
              <w:spacing w:after="0" w:line="240" w:lineRule="auto"/>
            </w:pPr>
            <w:r>
              <w:rPr>
                <w:rFonts w:ascii="Calibri" w:hAnsi="Calibri"/>
                <w:color w:val="1F2937"/>
                <w:sz w:val="18"/>
              </w:rPr>
              <w:t>app.py</w:t>
            </w:r>
          </w:p>
        </w:tc>
        <w:tc>
          <w:tcPr>
            <w:tcW w:type="dxa" w:w="4860"/>
            <w:vAlign w:val="top"/>
            <w:tcMar>
              <w:top w:w="80" w:type="dxa"/>
              <w:start w:w="120" w:type="dxa"/>
              <w:bottom w:w="80" w:type="dxa"/>
              <w:end w:w="120" w:type="dxa"/>
            </w:tcMar>
          </w:tcPr>
          <w:p>
            <w:pPr>
              <w:spacing w:after="0" w:line="240" w:lineRule="auto"/>
            </w:pPr>
            <w:r>
              <w:rPr>
                <w:rFonts w:ascii="Calibri" w:hAnsi="Calibri"/>
                <w:color w:val="1F2937"/>
                <w:sz w:val="18"/>
              </w:rPr>
              <w:t>Chat, status stages, KPIs, promises, and sources</w:t>
            </w:r>
          </w:p>
        </w:tc>
      </w:tr>
      <w:tr>
        <w:tc>
          <w:tcPr>
            <w:tcW w:type="dxa" w:w="1450"/>
            <w:vAlign w:val="top"/>
            <w:tcMar>
              <w:top w:w="80" w:type="dxa"/>
              <w:start w:w="120" w:type="dxa"/>
              <w:bottom w:w="80" w:type="dxa"/>
              <w:end w:w="120" w:type="dxa"/>
            </w:tcMar>
          </w:tcPr>
          <w:p>
            <w:pPr>
              <w:spacing w:after="0" w:line="240" w:lineRule="auto"/>
            </w:pPr>
            <w:r>
              <w:rPr>
                <w:rFonts w:ascii="Calibri" w:hAnsi="Calibri"/>
                <w:color w:val="1F2937"/>
                <w:sz w:val="18"/>
              </w:rPr>
              <w:t>Agent control</w:t>
            </w:r>
          </w:p>
        </w:tc>
        <w:tc>
          <w:tcPr>
            <w:tcW w:type="dxa" w:w="3050"/>
            <w:vAlign w:val="top"/>
            <w:tcMar>
              <w:top w:w="80" w:type="dxa"/>
              <w:start w:w="120" w:type="dxa"/>
              <w:bottom w:w="80" w:type="dxa"/>
              <w:end w:w="120" w:type="dxa"/>
            </w:tcMar>
          </w:tcPr>
          <w:p>
            <w:pPr>
              <w:spacing w:after="0" w:line="240" w:lineRule="auto"/>
            </w:pPr>
            <w:r>
              <w:rPr>
                <w:rFonts w:ascii="Calibri" w:hAnsi="Calibri"/>
                <w:color w:val="1F2937"/>
                <w:sz w:val="18"/>
              </w:rPr>
              <w:t>agents/router.py; agents/graph.py</w:t>
            </w:r>
          </w:p>
        </w:tc>
        <w:tc>
          <w:tcPr>
            <w:tcW w:type="dxa" w:w="4860"/>
            <w:vAlign w:val="top"/>
            <w:tcMar>
              <w:top w:w="80" w:type="dxa"/>
              <w:start w:w="120" w:type="dxa"/>
              <w:bottom w:w="80" w:type="dxa"/>
              <w:end w:w="120" w:type="dxa"/>
            </w:tcMar>
          </w:tcPr>
          <w:p>
            <w:pPr>
              <w:spacing w:after="0" w:line="240" w:lineRule="auto"/>
            </w:pPr>
            <w:r>
              <w:rPr>
                <w:rFonts w:ascii="Calibri" w:hAnsi="Calibri"/>
                <w:color w:val="1F2937"/>
                <w:sz w:val="18"/>
              </w:rPr>
              <w:t>Classify and route each question</w:t>
            </w:r>
          </w:p>
        </w:tc>
      </w:tr>
      <w:tr>
        <w:tc>
          <w:tcPr>
            <w:tcW w:type="dxa" w:w="1450"/>
            <w:vAlign w:val="top"/>
            <w:tcMar>
              <w:top w:w="80" w:type="dxa"/>
              <w:start w:w="120" w:type="dxa"/>
              <w:bottom w:w="80" w:type="dxa"/>
              <w:end w:w="120" w:type="dxa"/>
            </w:tcMar>
          </w:tcPr>
          <w:p>
            <w:pPr>
              <w:spacing w:after="0" w:line="240" w:lineRule="auto"/>
            </w:pPr>
            <w:r>
              <w:rPr>
                <w:rFonts w:ascii="Calibri" w:hAnsi="Calibri"/>
                <w:color w:val="1F2937"/>
                <w:sz w:val="18"/>
              </w:rPr>
              <w:t>RAG orchestration</w:t>
            </w:r>
          </w:p>
        </w:tc>
        <w:tc>
          <w:tcPr>
            <w:tcW w:type="dxa" w:w="3050"/>
            <w:vAlign w:val="top"/>
            <w:tcMar>
              <w:top w:w="80" w:type="dxa"/>
              <w:start w:w="120" w:type="dxa"/>
              <w:bottom w:w="80" w:type="dxa"/>
              <w:end w:w="120" w:type="dxa"/>
            </w:tcMar>
          </w:tcPr>
          <w:p>
            <w:pPr>
              <w:spacing w:after="0" w:line="240" w:lineRule="auto"/>
            </w:pPr>
            <w:r>
              <w:rPr>
                <w:rFonts w:ascii="Calibri" w:hAnsi="Calibri"/>
                <w:color w:val="1F2937"/>
                <w:sz w:val="18"/>
              </w:rPr>
              <w:t>chains/rag_chain.py; chains/prompts.py</w:t>
            </w:r>
          </w:p>
        </w:tc>
        <w:tc>
          <w:tcPr>
            <w:tcW w:type="dxa" w:w="4860"/>
            <w:vAlign w:val="top"/>
            <w:tcMar>
              <w:top w:w="80" w:type="dxa"/>
              <w:start w:w="120" w:type="dxa"/>
              <w:bottom w:w="80" w:type="dxa"/>
              <w:end w:w="120" w:type="dxa"/>
            </w:tcMar>
          </w:tcPr>
          <w:p>
            <w:pPr>
              <w:spacing w:after="0" w:line="240" w:lineRule="auto"/>
            </w:pPr>
            <w:r>
              <w:rPr>
                <w:rFonts w:ascii="Calibri" w:hAnsi="Calibri"/>
                <w:color w:val="1F2937"/>
                <w:sz w:val="18"/>
              </w:rPr>
              <w:t>Retrieve, rerank, build context, stream grounded output</w:t>
            </w:r>
          </w:p>
        </w:tc>
      </w:tr>
      <w:tr>
        <w:tc>
          <w:tcPr>
            <w:tcW w:type="dxa" w:w="1450"/>
            <w:vAlign w:val="top"/>
            <w:tcMar>
              <w:top w:w="80" w:type="dxa"/>
              <w:start w:w="120" w:type="dxa"/>
              <w:bottom w:w="80" w:type="dxa"/>
              <w:end w:w="120" w:type="dxa"/>
            </w:tcMar>
          </w:tcPr>
          <w:p>
            <w:pPr>
              <w:spacing w:after="0" w:line="240" w:lineRule="auto"/>
            </w:pPr>
            <w:r>
              <w:rPr>
                <w:rFonts w:ascii="Calibri" w:hAnsi="Calibri"/>
                <w:color w:val="1F2937"/>
                <w:sz w:val="18"/>
              </w:rPr>
              <w:t>Retrieval</w:t>
            </w:r>
          </w:p>
        </w:tc>
        <w:tc>
          <w:tcPr>
            <w:tcW w:type="dxa" w:w="3050"/>
            <w:vAlign w:val="top"/>
            <w:tcMar>
              <w:top w:w="80" w:type="dxa"/>
              <w:start w:w="120" w:type="dxa"/>
              <w:bottom w:w="80" w:type="dxa"/>
              <w:end w:w="120" w:type="dxa"/>
            </w:tcMar>
          </w:tcPr>
          <w:p>
            <w:pPr>
              <w:spacing w:after="0" w:line="240" w:lineRule="auto"/>
            </w:pPr>
            <w:r>
              <w:rPr>
                <w:rFonts w:ascii="Calibri" w:hAnsi="Calibri"/>
                <w:color w:val="1F2937"/>
                <w:sz w:val="18"/>
              </w:rPr>
              <w:t>retrieval/*.py</w:t>
            </w:r>
          </w:p>
        </w:tc>
        <w:tc>
          <w:tcPr>
            <w:tcW w:type="dxa" w:w="4860"/>
            <w:vAlign w:val="top"/>
            <w:tcMar>
              <w:top w:w="80" w:type="dxa"/>
              <w:start w:w="120" w:type="dxa"/>
              <w:bottom w:w="80" w:type="dxa"/>
              <w:end w:w="120" w:type="dxa"/>
            </w:tcMar>
          </w:tcPr>
          <w:p>
            <w:pPr>
              <w:spacing w:after="0" w:line="240" w:lineRule="auto"/>
            </w:pPr>
            <w:r>
              <w:rPr>
                <w:rFonts w:ascii="Calibri" w:hAnsi="Calibri"/>
                <w:color w:val="1F2937"/>
                <w:sz w:val="18"/>
              </w:rPr>
              <w:t>Dense search, BM25, RRF, and reranking</w:t>
            </w:r>
          </w:p>
        </w:tc>
      </w:tr>
      <w:tr>
        <w:tc>
          <w:tcPr>
            <w:tcW w:type="dxa" w:w="1450"/>
            <w:vAlign w:val="top"/>
            <w:tcMar>
              <w:top w:w="80" w:type="dxa"/>
              <w:start w:w="120" w:type="dxa"/>
              <w:bottom w:w="80" w:type="dxa"/>
              <w:end w:w="120" w:type="dxa"/>
            </w:tcMar>
          </w:tcPr>
          <w:p>
            <w:pPr>
              <w:spacing w:after="0" w:line="240" w:lineRule="auto"/>
            </w:pPr>
            <w:r>
              <w:rPr>
                <w:rFonts w:ascii="Calibri" w:hAnsi="Calibri"/>
                <w:color w:val="1F2937"/>
                <w:sz w:val="18"/>
              </w:rPr>
              <w:t>Ingestion</w:t>
            </w:r>
          </w:p>
        </w:tc>
        <w:tc>
          <w:tcPr>
            <w:tcW w:type="dxa" w:w="3050"/>
            <w:vAlign w:val="top"/>
            <w:tcMar>
              <w:top w:w="80" w:type="dxa"/>
              <w:start w:w="120" w:type="dxa"/>
              <w:bottom w:w="80" w:type="dxa"/>
              <w:end w:w="120" w:type="dxa"/>
            </w:tcMar>
          </w:tcPr>
          <w:p>
            <w:pPr>
              <w:spacing w:after="0" w:line="240" w:lineRule="auto"/>
            </w:pPr>
            <w:r>
              <w:rPr>
                <w:rFonts w:ascii="Calibri" w:hAnsi="Calibri"/>
                <w:color w:val="1F2937"/>
                <w:sz w:val="18"/>
              </w:rPr>
              <w:t>ingest.py; ingest_all.py; ingestion/*.py</w:t>
            </w:r>
          </w:p>
        </w:tc>
        <w:tc>
          <w:tcPr>
            <w:tcW w:type="dxa" w:w="4860"/>
            <w:vAlign w:val="top"/>
            <w:tcMar>
              <w:top w:w="80" w:type="dxa"/>
              <w:start w:w="120" w:type="dxa"/>
              <w:bottom w:w="80" w:type="dxa"/>
              <w:end w:w="120" w:type="dxa"/>
            </w:tcMar>
          </w:tcPr>
          <w:p>
            <w:pPr>
              <w:spacing w:after="0" w:line="240" w:lineRule="auto"/>
            </w:pPr>
            <w:r>
              <w:rPr>
                <w:rFonts w:ascii="Calibri" w:hAnsi="Calibri"/>
                <w:color w:val="1F2937"/>
                <w:sz w:val="18"/>
              </w:rPr>
              <w:t>Extract, chunk, embed, upsert, and persist corpus</w:t>
            </w:r>
          </w:p>
        </w:tc>
      </w:tr>
      <w:tr>
        <w:tc>
          <w:tcPr>
            <w:tcW w:type="dxa" w:w="1450"/>
            <w:vAlign w:val="top"/>
            <w:tcMar>
              <w:top w:w="80" w:type="dxa"/>
              <w:start w:w="120" w:type="dxa"/>
              <w:bottom w:w="80" w:type="dxa"/>
              <w:end w:w="120" w:type="dxa"/>
            </w:tcMar>
          </w:tcPr>
          <w:p>
            <w:pPr>
              <w:spacing w:after="0" w:line="240" w:lineRule="auto"/>
            </w:pPr>
            <w:r>
              <w:rPr>
                <w:rFonts w:ascii="Calibri" w:hAnsi="Calibri"/>
                <w:color w:val="1F2937"/>
                <w:sz w:val="18"/>
              </w:rPr>
              <w:t>Guidance</w:t>
            </w:r>
          </w:p>
        </w:tc>
        <w:tc>
          <w:tcPr>
            <w:tcW w:type="dxa" w:w="3050"/>
            <w:vAlign w:val="top"/>
            <w:tcMar>
              <w:top w:w="80" w:type="dxa"/>
              <w:start w:w="120" w:type="dxa"/>
              <w:bottom w:w="80" w:type="dxa"/>
              <w:end w:w="120" w:type="dxa"/>
            </w:tcMar>
          </w:tcPr>
          <w:p>
            <w:pPr>
              <w:spacing w:after="0" w:line="240" w:lineRule="auto"/>
            </w:pPr>
            <w:r>
              <w:rPr>
                <w:rFonts w:ascii="Calibri" w:hAnsi="Calibri"/>
                <w:color w:val="1F2937"/>
                <w:sz w:val="18"/>
              </w:rPr>
              <w:t>guidance/tracker.py</w:t>
            </w:r>
          </w:p>
        </w:tc>
        <w:tc>
          <w:tcPr>
            <w:tcW w:type="dxa" w:w="4860"/>
            <w:vAlign w:val="top"/>
            <w:tcMar>
              <w:top w:w="80" w:type="dxa"/>
              <w:start w:w="120" w:type="dxa"/>
              <w:bottom w:w="80" w:type="dxa"/>
              <w:end w:w="120" w:type="dxa"/>
            </w:tcMar>
          </w:tcPr>
          <w:p>
            <w:pPr>
              <w:spacing w:after="0" w:line="240" w:lineRule="auto"/>
            </w:pPr>
            <w:r>
              <w:rPr>
                <w:rFonts w:ascii="Calibri" w:hAnsi="Calibri"/>
                <w:color w:val="1F2937"/>
                <w:sz w:val="18"/>
              </w:rPr>
              <w:t>Compare promises with later evidence</w:t>
            </w:r>
          </w:p>
        </w:tc>
      </w:tr>
      <w:tr>
        <w:tc>
          <w:tcPr>
            <w:tcW w:type="dxa" w:w="1450"/>
            <w:vAlign w:val="top"/>
            <w:tcMar>
              <w:top w:w="80" w:type="dxa"/>
              <w:start w:w="120" w:type="dxa"/>
              <w:bottom w:w="80" w:type="dxa"/>
              <w:end w:w="120" w:type="dxa"/>
            </w:tcMar>
          </w:tcPr>
          <w:p>
            <w:pPr>
              <w:spacing w:after="0" w:line="240" w:lineRule="auto"/>
            </w:pPr>
            <w:r>
              <w:rPr>
                <w:rFonts w:ascii="Calibri" w:hAnsi="Calibri"/>
                <w:color w:val="1F2937"/>
                <w:sz w:val="18"/>
              </w:rPr>
              <w:t>Configuration</w:t>
            </w:r>
          </w:p>
        </w:tc>
        <w:tc>
          <w:tcPr>
            <w:tcW w:type="dxa" w:w="3050"/>
            <w:vAlign w:val="top"/>
            <w:tcMar>
              <w:top w:w="80" w:type="dxa"/>
              <w:start w:w="120" w:type="dxa"/>
              <w:bottom w:w="80" w:type="dxa"/>
              <w:end w:w="120" w:type="dxa"/>
            </w:tcMar>
          </w:tcPr>
          <w:p>
            <w:pPr>
              <w:spacing w:after="0" w:line="240" w:lineRule="auto"/>
            </w:pPr>
            <w:r>
              <w:rPr>
                <w:rFonts w:ascii="Calibri" w:hAnsi="Calibri"/>
                <w:color w:val="1F2937"/>
                <w:sz w:val="18"/>
              </w:rPr>
              <w:t>utils/config.py; .env</w:t>
            </w:r>
          </w:p>
        </w:tc>
        <w:tc>
          <w:tcPr>
            <w:tcW w:type="dxa" w:w="4860"/>
            <w:vAlign w:val="top"/>
            <w:tcMar>
              <w:top w:w="80" w:type="dxa"/>
              <w:start w:w="120" w:type="dxa"/>
              <w:bottom w:w="80" w:type="dxa"/>
              <w:end w:w="120" w:type="dxa"/>
            </w:tcMar>
          </w:tcPr>
          <w:p>
            <w:pPr>
              <w:spacing w:after="0" w:line="240" w:lineRule="auto"/>
            </w:pPr>
            <w:r>
              <w:rPr>
                <w:rFonts w:ascii="Calibri" w:hAnsi="Calibri"/>
                <w:color w:val="1F2937"/>
                <w:sz w:val="18"/>
              </w:rPr>
              <w:t>Credentials, models, index, chunking, and retrieval limits</w:t>
            </w:r>
          </w:p>
        </w:tc>
      </w:tr>
    </w:tbl>
    <w:p>
      <w:pPr>
        <w:spacing w:after="0"/>
      </w:pPr>
    </w:p>
    <w:p>
      <w:pPr>
        <w:pStyle w:val="Heading1"/>
        <w:keepNext/>
      </w:pPr>
      <w:r>
        <w:t>4. Ingestion pipeline</w:t>
      </w:r>
    </w:p>
    <w:p>
      <w:pPr/>
      <w:r>
        <w:rPr>
          <w:rFonts w:ascii="Calibri" w:hAnsi="Calibri"/>
          <w:color w:val="1F2937"/>
        </w:rPr>
        <w:t>The ingestion design preserves provenance before any splitting occurs. Each non-empty PDF page becomes a PageDocument with company, quarter, financial year, document type, one-based page number, and source filename.</w:t>
      </w:r>
    </w:p>
    <w:p>
      <w:pPr>
        <w:pStyle w:val="ListNumber"/>
        <w:spacing w:after="80" w:line="300" w:lineRule="auto"/>
        <w:ind w:left="540" w:hanging="271"/>
      </w:pPr>
      <w:r>
        <w:rPr>
          <w:rFonts w:ascii="Calibri" w:hAnsi="Calibri"/>
          <w:color w:val="1F2937"/>
          <w:sz w:val="22"/>
        </w:rPr>
        <w:t>Load the manifest or a single PDF and normalize company/quarter metadata to uppercase.</w:t>
      </w:r>
    </w:p>
    <w:p>
      <w:pPr>
        <w:pStyle w:val="ListNumber"/>
        <w:spacing w:after="80" w:line="300" w:lineRule="auto"/>
        <w:ind w:left="540" w:hanging="271"/>
      </w:pPr>
      <w:r>
        <w:rPr>
          <w:rFonts w:ascii="Calibri" w:hAnsi="Calibri"/>
          <w:color w:val="1F2937"/>
          <w:sz w:val="22"/>
        </w:rPr>
        <w:t>Extract selectable text with PyMuPDF; image-only pages are skipped because OCR is not implemented.</w:t>
      </w:r>
    </w:p>
    <w:p>
      <w:pPr>
        <w:pStyle w:val="ListNumber"/>
        <w:spacing w:after="80" w:line="300" w:lineRule="auto"/>
        <w:ind w:left="540" w:hanging="271"/>
      </w:pPr>
      <w:r>
        <w:rPr>
          <w:rFonts w:ascii="Calibri" w:hAnsi="Calibri"/>
          <w:color w:val="1F2937"/>
          <w:sz w:val="22"/>
        </w:rPr>
        <w:t>Split each page independently using a recursive character splitter. Page boundaries are never crossed.</w:t>
      </w:r>
    </w:p>
    <w:p>
      <w:pPr>
        <w:pStyle w:val="ListNumber"/>
        <w:spacing w:after="80" w:line="300" w:lineRule="auto"/>
        <w:ind w:left="540" w:hanging="271"/>
      </w:pPr>
      <w:r>
        <w:rPr>
          <w:rFonts w:ascii="Calibri" w:hAnsi="Calibri"/>
          <w:color w:val="1F2937"/>
          <w:sz w:val="22"/>
        </w:rPr>
        <w:t>Derive a stable 32-character ID from company, quarter, source, page, and chunk position.</w:t>
      </w:r>
    </w:p>
    <w:p>
      <w:pPr>
        <w:pStyle w:val="ListNumber"/>
        <w:spacing w:after="80" w:line="300" w:lineRule="auto"/>
        <w:ind w:left="540" w:hanging="271"/>
      </w:pPr>
      <w:r>
        <w:rPr>
          <w:rFonts w:ascii="Calibri" w:hAnsi="Calibri"/>
          <w:color w:val="1F2937"/>
          <w:sz w:val="22"/>
        </w:rPr>
        <w:t>Create embeddings in batches of 64 through the Nebius OpenAI-compatible API.</w:t>
      </w:r>
    </w:p>
    <w:p>
      <w:pPr>
        <w:pStyle w:val="ListNumber"/>
        <w:spacing w:after="80" w:line="300" w:lineRule="auto"/>
        <w:ind w:left="540" w:hanging="271"/>
      </w:pPr>
      <w:r>
        <w:rPr>
          <w:rFonts w:ascii="Calibri" w:hAnsi="Calibri"/>
          <w:color w:val="1F2937"/>
          <w:sz w:val="22"/>
        </w:rPr>
        <w:t>Create the cosine Pinecone index when absent, then upsert in batches of 100.</w:t>
      </w:r>
    </w:p>
    <w:p>
      <w:pPr>
        <w:pStyle w:val="ListNumber"/>
        <w:spacing w:after="80" w:line="300" w:lineRule="auto"/>
        <w:ind w:left="540" w:hanging="271"/>
      </w:pPr>
      <w:r>
        <w:rPr>
          <w:rFonts w:ascii="Calibri" w:hAnsi="Calibri"/>
          <w:color w:val="1F2937"/>
          <w:sz w:val="22"/>
        </w:rPr>
        <w:t>Merge the same chunks into the local JSONL corpus atomically for BM25 search.</w:t>
      </w:r>
    </w:p>
    <w:p>
      <w:pPr>
        <w:pStyle w:val="Heading2"/>
        <w:keepNext/>
      </w:pPr>
      <w:r>
        <w:t>Manifest-driven batch support</w:t>
      </w:r>
    </w:p>
    <w:p>
      <w:pPr/>
      <w:r>
        <w:rPr>
          <w:rFonts w:ascii="Calibri" w:hAnsi="Calibri"/>
          <w:color w:val="1F2937"/>
        </w:rPr>
        <w:t>The batch command validates a JSON manifest, rejects duplicate paths, supports repeated --company filters, skips missing or empty files safely, and offers --dry-run and --local-only modes.</w:t>
      </w:r>
    </w:p>
    <w:p>
      <w:pPr>
        <w:pStyle w:val="LeadCallout"/>
        <w:shd w:fill="EAF6F3"/>
        <w:pBdr>
          <w:left w:val="single" w:sz="16" w:space="8" w:color="168A78"/>
        </w:pBdr>
      </w:pPr>
      <w:r>
        <w:rPr>
          <w:rFonts w:ascii="Calibri" w:hAnsi="Calibri"/>
          <w:b/>
          <w:color w:val="0B2545"/>
          <w:sz w:val="21"/>
        </w:rPr>
        <w:t xml:space="preserve">Validated evidence: </w:t>
      </w:r>
      <w:r>
        <w:rPr>
          <w:rFonts w:ascii="Calibri" w:hAnsi="Calibri"/>
          <w:color w:val="1F2937"/>
          <w:sz w:val="21"/>
        </w:rPr>
        <w:t>The current manifest dry run completed for 15 documents across INFY, TCS, and HDFCBANK: 191 extractable pages and 411 chunks.</w:t>
      </w:r>
    </w:p>
    <w:p>
      <w:pPr>
        <w:pStyle w:val="Heading1"/>
        <w:keepNext/>
      </w:pPr>
      <w:r>
        <w:t>5. Query and retrieval pipeline</w:t>
      </w:r>
    </w:p>
    <w:p>
      <w:pPr>
        <w:pStyle w:val="Heading2"/>
        <w:keepNext/>
      </w:pPr>
      <w:r>
        <w:t>5.1 Route the question</w:t>
      </w:r>
    </w:p>
    <w:p>
      <w:pPr/>
      <w:r>
        <w:rPr>
          <w:rFonts w:ascii="Calibri" w:hAnsi="Calibri"/>
          <w:color w:val="1F2937"/>
        </w:rPr>
        <w:t>A deterministic classifier uses finance and comparison terms. Comparison intent takes precedence; a comparison route removes the selected-quarter filter so evidence can span periods.</w:t>
      </w:r>
    </w:p>
    <w:tbl>
      <w:tblPr>
        <w:tblStyle w:val="TableGrid"/>
        <w:tblW w:type="dxa" w:w="9360"/>
        <w:jc w:val="left"/>
        <w:tblLayout w:type="fixed"/>
        <w:tblLook w:firstColumn="1" w:firstRow="1" w:lastColumn="0" w:lastRow="0" w:noHBand="0" w:noVBand="1" w:val="04A0"/>
        <w:tblInd w:w="120" w:type="dxa"/>
      </w:tblPr>
      <w:tblGrid>
        <w:gridCol w:w="1900"/>
        <w:gridCol w:w="3050"/>
        <w:gridCol w:w="4410"/>
      </w:tblGrid>
      <w:tr>
        <w:trPr>
          <w:tblHeader/>
        </w:trPr>
        <w:tc>
          <w:tcPr>
            <w:tcW w:type="dxa" w:w="1900"/>
            <w:shd w:fill="E8EEF5"/>
            <w:vAlign w:val="center"/>
            <w:tcMar>
              <w:top w:w="80" w:type="dxa"/>
              <w:start w:w="120" w:type="dxa"/>
              <w:bottom w:w="80" w:type="dxa"/>
              <w:end w:w="120" w:type="dxa"/>
            </w:tcMar>
          </w:tcPr>
          <w:p>
            <w:pPr>
              <w:keepNext/>
              <w:spacing w:after="0"/>
            </w:pPr>
            <w:r>
              <w:rPr>
                <w:rFonts w:ascii="Calibri" w:hAnsi="Calibri"/>
                <w:b/>
                <w:color w:val="0B2545"/>
                <w:sz w:val="19"/>
              </w:rPr>
              <w:t>Route</w:t>
            </w:r>
          </w:p>
        </w:tc>
        <w:tc>
          <w:tcPr>
            <w:tcW w:type="dxa" w:w="3050"/>
            <w:shd w:fill="E8EEF5"/>
            <w:vAlign w:val="center"/>
            <w:tcMar>
              <w:top w:w="80" w:type="dxa"/>
              <w:start w:w="120" w:type="dxa"/>
              <w:bottom w:w="80" w:type="dxa"/>
              <w:end w:w="120" w:type="dxa"/>
            </w:tcMar>
          </w:tcPr>
          <w:p>
            <w:pPr>
              <w:keepNext/>
              <w:spacing w:after="0"/>
            </w:pPr>
            <w:r>
              <w:rPr>
                <w:rFonts w:ascii="Calibri" w:hAnsi="Calibri"/>
                <w:b/>
                <w:color w:val="0B2545"/>
                <w:sz w:val="19"/>
              </w:rPr>
              <w:t>Examples</w:t>
            </w:r>
          </w:p>
        </w:tc>
        <w:tc>
          <w:tcPr>
            <w:tcW w:type="dxa" w:w="4410"/>
            <w:shd w:fill="E8EEF5"/>
            <w:vAlign w:val="center"/>
            <w:tcMar>
              <w:top w:w="80" w:type="dxa"/>
              <w:start w:w="120" w:type="dxa"/>
              <w:bottom w:w="80" w:type="dxa"/>
              <w:end w:w="120" w:type="dxa"/>
            </w:tcMar>
          </w:tcPr>
          <w:p>
            <w:pPr>
              <w:keepNext/>
              <w:spacing w:after="0"/>
            </w:pPr>
            <w:r>
              <w:rPr>
                <w:rFonts w:ascii="Calibri" w:hAnsi="Calibri"/>
                <w:b/>
                <w:color w:val="0B2545"/>
                <w:sz w:val="19"/>
              </w:rPr>
              <w:t>Retrieval scope / prompt focus</w:t>
            </w:r>
          </w:p>
        </w:tc>
      </w:tr>
      <w:tr>
        <w:tc>
          <w:tcPr>
            <w:tcW w:type="dxa" w:w="1900"/>
            <w:vAlign w:val="top"/>
            <w:tcMar>
              <w:top w:w="80" w:type="dxa"/>
              <w:start w:w="120" w:type="dxa"/>
              <w:bottom w:w="80" w:type="dxa"/>
              <w:end w:w="120" w:type="dxa"/>
            </w:tcMar>
          </w:tcPr>
          <w:p>
            <w:pPr>
              <w:spacing w:after="0" w:line="240" w:lineRule="auto"/>
            </w:pPr>
            <w:r>
              <w:rPr>
                <w:rFonts w:ascii="Calibri" w:hAnsi="Calibri"/>
                <w:color w:val="1F2937"/>
                <w:sz w:val="18"/>
              </w:rPr>
              <w:t>FINANCIAL_QUERY</w:t>
            </w:r>
          </w:p>
        </w:tc>
        <w:tc>
          <w:tcPr>
            <w:tcW w:type="dxa" w:w="3050"/>
            <w:vAlign w:val="top"/>
            <w:tcMar>
              <w:top w:w="80" w:type="dxa"/>
              <w:start w:w="120" w:type="dxa"/>
              <w:bottom w:w="80" w:type="dxa"/>
              <w:end w:w="120" w:type="dxa"/>
            </w:tcMar>
          </w:tcPr>
          <w:p>
            <w:pPr>
              <w:spacing w:after="0" w:line="240" w:lineRule="auto"/>
            </w:pPr>
            <w:r>
              <w:rPr>
                <w:rFonts w:ascii="Calibri" w:hAnsi="Calibri"/>
                <w:color w:val="1F2937"/>
                <w:sz w:val="18"/>
              </w:rPr>
              <w:t>revenue, profit, margin, EPS, growth</w:t>
            </w:r>
          </w:p>
        </w:tc>
        <w:tc>
          <w:tcPr>
            <w:tcW w:type="dxa" w:w="4410"/>
            <w:vAlign w:val="top"/>
            <w:tcMar>
              <w:top w:w="80" w:type="dxa"/>
              <w:start w:w="120" w:type="dxa"/>
              <w:bottom w:w="80" w:type="dxa"/>
              <w:end w:w="120" w:type="dxa"/>
            </w:tcMar>
          </w:tcPr>
          <w:p>
            <w:pPr>
              <w:spacing w:after="0" w:line="240" w:lineRule="auto"/>
            </w:pPr>
            <w:r>
              <w:rPr>
                <w:rFonts w:ascii="Calibri" w:hAnsi="Calibri"/>
                <w:color w:val="1F2937"/>
                <w:sz w:val="18"/>
              </w:rPr>
              <w:t>Selected company and quarter; reported metrics and units</w:t>
            </w:r>
          </w:p>
        </w:tc>
      </w:tr>
      <w:tr>
        <w:tc>
          <w:tcPr>
            <w:tcW w:type="dxa" w:w="1900"/>
            <w:vAlign w:val="top"/>
            <w:tcMar>
              <w:top w:w="80" w:type="dxa"/>
              <w:start w:w="120" w:type="dxa"/>
              <w:bottom w:w="80" w:type="dxa"/>
              <w:end w:w="120" w:type="dxa"/>
            </w:tcMar>
          </w:tcPr>
          <w:p>
            <w:pPr>
              <w:spacing w:after="0" w:line="240" w:lineRule="auto"/>
            </w:pPr>
            <w:r>
              <w:rPr>
                <w:rFonts w:ascii="Calibri" w:hAnsi="Calibri"/>
                <w:color w:val="1F2937"/>
                <w:sz w:val="18"/>
              </w:rPr>
              <w:t>DOCUMENT_QUERY</w:t>
            </w:r>
          </w:p>
        </w:tc>
        <w:tc>
          <w:tcPr>
            <w:tcW w:type="dxa" w:w="3050"/>
            <w:vAlign w:val="top"/>
            <w:tcMar>
              <w:top w:w="80" w:type="dxa"/>
              <w:start w:w="120" w:type="dxa"/>
              <w:bottom w:w="80" w:type="dxa"/>
              <w:end w:w="120" w:type="dxa"/>
            </w:tcMar>
          </w:tcPr>
          <w:p>
            <w:pPr>
              <w:spacing w:after="0" w:line="240" w:lineRule="auto"/>
            </w:pPr>
            <w:r>
              <w:rPr>
                <w:rFonts w:ascii="Calibri" w:hAnsi="Calibri"/>
                <w:color w:val="1F2937"/>
                <w:sz w:val="18"/>
              </w:rPr>
              <w:t>risks, outlook, commentary, strategy</w:t>
            </w:r>
          </w:p>
        </w:tc>
        <w:tc>
          <w:tcPr>
            <w:tcW w:type="dxa" w:w="4410"/>
            <w:vAlign w:val="top"/>
            <w:tcMar>
              <w:top w:w="80" w:type="dxa"/>
              <w:start w:w="120" w:type="dxa"/>
              <w:bottom w:w="80" w:type="dxa"/>
              <w:end w:w="120" w:type="dxa"/>
            </w:tcMar>
          </w:tcPr>
          <w:p>
            <w:pPr>
              <w:spacing w:after="0" w:line="240" w:lineRule="auto"/>
            </w:pPr>
            <w:r>
              <w:rPr>
                <w:rFonts w:ascii="Calibri" w:hAnsi="Calibri"/>
                <w:color w:val="1F2937"/>
                <w:sz w:val="18"/>
              </w:rPr>
              <w:t>Selected company and quarter; qualitative evidence</w:t>
            </w:r>
          </w:p>
        </w:tc>
      </w:tr>
      <w:tr>
        <w:tc>
          <w:tcPr>
            <w:tcW w:type="dxa" w:w="1900"/>
            <w:vAlign w:val="top"/>
            <w:tcMar>
              <w:top w:w="80" w:type="dxa"/>
              <w:start w:w="120" w:type="dxa"/>
              <w:bottom w:w="80" w:type="dxa"/>
              <w:end w:w="120" w:type="dxa"/>
            </w:tcMar>
          </w:tcPr>
          <w:p>
            <w:pPr>
              <w:spacing w:after="0" w:line="240" w:lineRule="auto"/>
            </w:pPr>
            <w:r>
              <w:rPr>
                <w:rFonts w:ascii="Calibri" w:hAnsi="Calibri"/>
                <w:color w:val="1F2937"/>
                <w:sz w:val="18"/>
              </w:rPr>
              <w:t>COMPARISON_QUERY</w:t>
            </w:r>
          </w:p>
        </w:tc>
        <w:tc>
          <w:tcPr>
            <w:tcW w:type="dxa" w:w="3050"/>
            <w:vAlign w:val="top"/>
            <w:tcMar>
              <w:top w:w="80" w:type="dxa"/>
              <w:start w:w="120" w:type="dxa"/>
              <w:bottom w:w="80" w:type="dxa"/>
              <w:end w:w="120" w:type="dxa"/>
            </w:tcMar>
          </w:tcPr>
          <w:p>
            <w:pPr>
              <w:spacing w:after="0" w:line="240" w:lineRule="auto"/>
            </w:pPr>
            <w:r>
              <w:rPr>
                <w:rFonts w:ascii="Calibri" w:hAnsi="Calibri"/>
                <w:color w:val="1F2937"/>
                <w:sz w:val="18"/>
              </w:rPr>
              <w:t>compare, versus, QoQ, YoY, changed</w:t>
            </w:r>
          </w:p>
        </w:tc>
        <w:tc>
          <w:tcPr>
            <w:tcW w:type="dxa" w:w="4410"/>
            <w:vAlign w:val="top"/>
            <w:tcMar>
              <w:top w:w="80" w:type="dxa"/>
              <w:start w:w="120" w:type="dxa"/>
              <w:bottom w:w="80" w:type="dxa"/>
              <w:end w:w="120" w:type="dxa"/>
            </w:tcMar>
          </w:tcPr>
          <w:p>
            <w:pPr>
              <w:spacing w:after="0" w:line="240" w:lineRule="auto"/>
            </w:pPr>
            <w:r>
              <w:rPr>
                <w:rFonts w:ascii="Calibri" w:hAnsi="Calibri"/>
                <w:color w:val="1F2937"/>
                <w:sz w:val="18"/>
              </w:rPr>
              <w:t>Selected company across quarters; explicit period comparison</w:t>
            </w:r>
          </w:p>
        </w:tc>
      </w:tr>
    </w:tbl>
    <w:p>
      <w:pPr>
        <w:spacing w:after="0"/>
      </w:pPr>
    </w:p>
    <w:p>
      <w:pPr>
        <w:pStyle w:val="Heading2"/>
        <w:keepNext/>
      </w:pPr>
      <w:r>
        <w:t>5.2 Retrieve and fuse</w:t>
      </w:r>
    </w:p>
    <w:p>
      <w:pPr>
        <w:pStyle w:val="ListBullet"/>
        <w:spacing w:after="80" w:line="300" w:lineRule="auto"/>
        <w:ind w:left="540" w:hanging="271"/>
      </w:pPr>
      <w:r>
        <w:rPr>
          <w:rFonts w:ascii="Calibri" w:hAnsi="Calibri"/>
          <w:color w:val="1F2937"/>
          <w:sz w:val="22"/>
        </w:rPr>
        <w:t>Dense retrieval embeds the question and queries Pinecone with company, quarter, and optional document-type filters.</w:t>
      </w:r>
    </w:p>
    <w:p>
      <w:pPr>
        <w:pStyle w:val="ListBullet"/>
        <w:spacing w:after="80" w:line="300" w:lineRule="auto"/>
        <w:ind w:left="540" w:hanging="271"/>
      </w:pPr>
      <w:r>
        <w:rPr>
          <w:rFonts w:ascii="Calibri" w:hAnsi="Calibri"/>
          <w:color w:val="1F2937"/>
          <w:sz w:val="22"/>
        </w:rPr>
        <w:t>BM25 tokenizes words, numbers, currency, and percentages, then searches only locally matching metadata.</w:t>
      </w:r>
    </w:p>
    <w:p>
      <w:pPr>
        <w:pStyle w:val="ListBullet"/>
        <w:spacing w:after="80" w:line="300" w:lineRule="auto"/>
        <w:ind w:left="540" w:hanging="271"/>
      </w:pPr>
      <w:r>
        <w:rPr>
          <w:rFonts w:ascii="Calibri" w:hAnsi="Calibri"/>
          <w:color w:val="1F2937"/>
          <w:sz w:val="22"/>
        </w:rPr>
        <w:t>RRF adds 1 / (60 + rank) from each list. This avoids mixing Pinecone cosine scores with BM25 scores.</w:t>
      </w:r>
    </w:p>
    <w:p>
      <w:pPr>
        <w:pStyle w:val="ListBullet"/>
        <w:spacing w:after="80" w:line="300" w:lineRule="auto"/>
        <w:ind w:left="540" w:hanging="271"/>
      </w:pPr>
      <w:r>
        <w:rPr>
          <w:rFonts w:ascii="Calibri" w:hAnsi="Calibri"/>
          <w:color w:val="1F2937"/>
          <w:sz w:val="22"/>
        </w:rPr>
        <w:t>Default controls retrieve 15 candidates from each retriever, keep 12 fused candidates, and supply up to 6 chunks to generation.</w:t>
      </w:r>
    </w:p>
    <w:p>
      <w:pPr>
        <w:pStyle w:val="Heading2"/>
        <w:keepNext/>
      </w:pPr>
      <w:r>
        <w:t>5.3 Rerank and generate</w:t>
      </w:r>
    </w:p>
    <w:p>
      <w:pPr/>
      <w:r>
        <w:rPr>
          <w:rFonts w:ascii="Calibri" w:hAnsi="Calibri"/>
          <w:color w:val="1F2937"/>
        </w:rPr>
        <w:t>The configured chat model returns an ordered JSON list of useful chunk IDs. On reranking failure, the service logs the exception and safely falls back to RRF order. The final prompt labels excerpts [S1], [S2], and so on, prohibits unsupported claims, and streams output tokens to the active chat message.</w:t>
      </w:r>
    </w:p>
    <w:p>
      <w:pPr>
        <w:pStyle w:val="LeadCallout"/>
        <w:shd w:fill="FFF1F2"/>
        <w:pBdr>
          <w:left w:val="single" w:sz="16" w:space="8" w:color="9B1C1C"/>
        </w:pBdr>
      </w:pPr>
      <w:r>
        <w:rPr>
          <w:rFonts w:ascii="Calibri" w:hAnsi="Calibri"/>
          <w:b/>
          <w:color w:val="0B2545"/>
          <w:sz w:val="21"/>
        </w:rPr>
        <w:t xml:space="preserve">Grounding rule: </w:t>
      </w:r>
      <w:r>
        <w:rPr>
          <w:rFonts w:ascii="Calibri" w:hAnsi="Calibri"/>
          <w:color w:val="1F2937"/>
          <w:sz w:val="21"/>
        </w:rPr>
        <w:t>When the evidence is insufficient, the assistant must say what is unavailable. Inline labels map directly to source filename, quarter, and one-based PDF page.</w:t>
      </w:r>
    </w:p>
    <w:p>
      <w:pPr>
        <w:pStyle w:val="Heading1"/>
        <w:keepNext/>
      </w:pPr>
      <w:r>
        <w:t>6. User interface and feature walkthrough</w:t>
      </w:r>
    </w:p>
    <w:p>
      <w:pPr>
        <w:pStyle w:val="Heading2"/>
        <w:keepNext/>
      </w:pPr>
      <w:r>
        <w:t>Q&amp;A Bot</w:t>
      </w:r>
    </w:p>
    <w:p>
      <w:pPr/>
      <w:r>
        <w:rPr>
          <w:rFonts w:ascii="Calibri" w:hAnsi="Calibri"/>
          <w:color w:val="1F2937"/>
        </w:rPr>
        <w:t>The default tab keeps chat history in Streamlit session state, provides suggested prompts, shows the selected company and quarter, streams answer tokens, and stores a completed workflow trace with each answer.</w:t>
      </w:r>
    </w:p>
    <w:p>
      <w:pPr>
        <w:pStyle w:val="ListBullet"/>
        <w:spacing w:after="80" w:line="300" w:lineRule="auto"/>
        <w:ind w:left="540" w:hanging="271"/>
      </w:pPr>
      <w:r>
        <w:rPr>
          <w:rFonts w:ascii="Calibri" w:hAnsi="Calibri"/>
          <w:color w:val="1F2937"/>
          <w:sz w:val="22"/>
        </w:rPr>
        <w:t>Live stages: route, corpus load, filter, embedding, Pinecone, BM25, fusion, rerank, context, generation, complete.</w:t>
      </w:r>
    </w:p>
    <w:p>
      <w:pPr>
        <w:pStyle w:val="ListBullet"/>
        <w:spacing w:after="80" w:line="300" w:lineRule="auto"/>
        <w:ind w:left="540" w:hanging="271"/>
      </w:pPr>
      <w:r>
        <w:rPr>
          <w:rFonts w:ascii="Calibri" w:hAnsi="Calibri"/>
          <w:color w:val="1F2937"/>
          <w:sz w:val="22"/>
        </w:rPr>
        <w:t>Retrieval details: route, counts, metadata filter, RRF method, selected chunks, and streaming status.</w:t>
      </w:r>
    </w:p>
    <w:p>
      <w:pPr>
        <w:pStyle w:val="ListBullet"/>
        <w:spacing w:after="80" w:line="300" w:lineRule="auto"/>
        <w:ind w:left="540" w:hanging="271"/>
      </w:pPr>
      <w:r>
        <w:rPr>
          <w:rFonts w:ascii="Calibri" w:hAnsi="Calibri"/>
          <w:color w:val="1F2937"/>
          <w:sz w:val="22"/>
        </w:rPr>
        <w:t>Source excerpts: cited source label plus up to 900 characters of retrieved text.</w:t>
      </w:r>
    </w:p>
    <w:p>
      <w:pPr>
        <w:pStyle w:val="Heading2"/>
        <w:keepNext/>
      </w:pPr>
      <w:r>
        <w:t>Financial Snapshot</w:t>
      </w:r>
    </w:p>
    <w:p>
      <w:pPr/>
      <w:r>
        <w:rPr>
          <w:rFonts w:ascii="Calibri" w:hAnsi="Calibri"/>
          <w:color w:val="1F2937"/>
        </w:rPr>
        <w:t>KPI cards and a five-quarter table read deterministic values from data/financial_metrics.json. This prevents the LLM from reproducing obvious reported numbers when a structured source is available.</w:t>
      </w:r>
    </w:p>
    <w:p>
      <w:pPr>
        <w:pStyle w:val="Heading2"/>
        <w:keepNext/>
      </w:pPr>
      <w:r>
        <w:t>Management Guidance</w:t>
      </w:r>
    </w:p>
    <w:p>
      <w:pPr/>
      <w:r>
        <w:rPr>
          <w:rFonts w:ascii="Calibri" w:hAnsi="Calibri"/>
          <w:color w:val="1F2937"/>
        </w:rPr>
        <w:t>The promise tracker searches for forward-looking statements and later outcomes, then constrains status to Achieved, Partially Achieved, Missed, or Pending. Pending is mandatory when later evidence is absent. Seeded records keep the UI demonstrable but are clearly marked for revalidation.</w:t>
      </w:r>
    </w:p>
    <w:p>
      <w:pPr>
        <w:pStyle w:val="Heading2"/>
        <w:keepNext/>
      </w:pPr>
      <w:r>
        <w:t>Sources</w:t>
      </w:r>
    </w:p>
    <w:p>
      <w:pPr/>
      <w:r>
        <w:rPr>
          <w:rFonts w:ascii="Calibri" w:hAnsi="Calibri"/>
          <w:color w:val="1F2937"/>
        </w:rPr>
        <w:t>The source inventory summarizes locally indexed documents by source, company, quarter, page count, and chunk count, and separately links structured KPI entries to official source URLs.</w:t>
      </w:r>
    </w:p>
    <w:p>
      <w:pPr>
        <w:pStyle w:val="Heading1"/>
        <w:keepNext/>
      </w:pPr>
      <w:r>
        <w:t>7. Setup and runbook</w:t>
      </w:r>
    </w:p>
    <w:p>
      <w:pPr>
        <w:pStyle w:val="Heading2"/>
        <w:keepNext/>
      </w:pPr>
      <w:r>
        <w:t>Prerequisites</w:t>
      </w:r>
    </w:p>
    <w:p>
      <w:pPr>
        <w:pStyle w:val="ListBullet"/>
        <w:spacing w:after="80" w:line="300" w:lineRule="auto"/>
        <w:ind w:left="540" w:hanging="271"/>
      </w:pPr>
      <w:r>
        <w:rPr>
          <w:rFonts w:ascii="Calibri" w:hAnsi="Calibri"/>
          <w:color w:val="1F2937"/>
          <w:sz w:val="22"/>
        </w:rPr>
        <w:t>Python 3.11+ virtual environment with requirements.txt installed.</w:t>
      </w:r>
    </w:p>
    <w:p>
      <w:pPr>
        <w:pStyle w:val="ListBullet"/>
        <w:spacing w:after="80" w:line="300" w:lineRule="auto"/>
        <w:ind w:left="540" w:hanging="271"/>
      </w:pPr>
      <w:r>
        <w:rPr>
          <w:rFonts w:ascii="Calibri" w:hAnsi="Calibri"/>
          <w:color w:val="1F2937"/>
          <w:sz w:val="22"/>
        </w:rPr>
        <w:t>Nebius API key, embedding model, chat model, and base URL.</w:t>
      </w:r>
    </w:p>
    <w:p>
      <w:pPr>
        <w:pStyle w:val="ListBullet"/>
        <w:spacing w:after="80" w:line="300" w:lineRule="auto"/>
        <w:ind w:left="540" w:hanging="271"/>
      </w:pPr>
      <w:r>
        <w:rPr>
          <w:rFonts w:ascii="Calibri" w:hAnsi="Calibri"/>
          <w:color w:val="1F2937"/>
          <w:sz w:val="22"/>
        </w:rPr>
        <w:t>Pinecone API key and a serverless index configuration.</w:t>
      </w:r>
    </w:p>
    <w:p>
      <w:pPr>
        <w:pStyle w:val="ListBullet"/>
        <w:spacing w:after="80" w:line="300" w:lineRule="auto"/>
        <w:ind w:left="540" w:hanging="271"/>
      </w:pPr>
      <w:r>
        <w:rPr>
          <w:rFonts w:ascii="Calibri" w:hAnsi="Calibri"/>
          <w:color w:val="1F2937"/>
          <w:sz w:val="22"/>
        </w:rPr>
        <w:t>Text-based quarterly PDFs placed at paths declared in data/company_documents.json.</w:t>
      </w:r>
    </w:p>
    <w:p>
      <w:pPr>
        <w:pStyle w:val="Heading2"/>
        <w:keepNext/>
      </w:pPr>
      <w:r>
        <w:t>Recommended commands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trPr>
        <w:tc>
          <w:tcPr>
            <w:tcW w:type="dxa" w:w="3000"/>
            <w:shd w:fill="E8EEF5"/>
            <w:vAlign w:val="center"/>
            <w:tcMar>
              <w:top w:w="80" w:type="dxa"/>
              <w:start w:w="120" w:type="dxa"/>
              <w:bottom w:w="80" w:type="dxa"/>
              <w:end w:w="120" w:type="dxa"/>
            </w:tcMar>
          </w:tcPr>
          <w:p>
            <w:pPr>
              <w:keepNext/>
              <w:spacing w:after="0"/>
            </w:pPr>
            <w:r>
              <w:rPr>
                <w:rFonts w:ascii="Calibri" w:hAnsi="Calibri"/>
                <w:b/>
                <w:color w:val="0B2545"/>
                <w:sz w:val="19"/>
              </w:rPr>
              <w:t>Purpose</w:t>
            </w:r>
          </w:p>
        </w:tc>
        <w:tc>
          <w:tcPr>
            <w:tcW w:type="dxa" w:w="6360"/>
            <w:shd w:fill="E8EEF5"/>
            <w:vAlign w:val="center"/>
            <w:tcMar>
              <w:top w:w="80" w:type="dxa"/>
              <w:start w:w="120" w:type="dxa"/>
              <w:bottom w:w="80" w:type="dxa"/>
              <w:end w:w="120" w:type="dxa"/>
            </w:tcMar>
          </w:tcPr>
          <w:p>
            <w:pPr>
              <w:keepNext/>
              <w:spacing w:after="0"/>
            </w:pPr>
            <w:r>
              <w:rPr>
                <w:rFonts w:ascii="Calibri" w:hAnsi="Calibri"/>
                <w:b/>
                <w:color w:val="0B2545"/>
                <w:sz w:val="19"/>
              </w:rPr>
              <w:t>Command</w:t>
            </w:r>
          </w:p>
        </w:tc>
      </w:tr>
      <w:tr>
        <w:tc>
          <w:tcPr>
            <w:tcW w:type="dxa" w:w="3000"/>
            <w:vAlign w:val="top"/>
            <w:tcMar>
              <w:top w:w="80" w:type="dxa"/>
              <w:start w:w="120" w:type="dxa"/>
              <w:bottom w:w="80" w:type="dxa"/>
              <w:end w:w="120" w:type="dxa"/>
            </w:tcMar>
          </w:tcPr>
          <w:p>
            <w:pPr>
              <w:spacing w:after="0" w:line="240" w:lineRule="auto"/>
            </w:pPr>
            <w:r>
              <w:rPr>
                <w:rFonts w:ascii="Calibri" w:hAnsi="Calibri"/>
                <w:color w:val="1F2937"/>
                <w:sz w:val="18"/>
              </w:rPr>
              <w:t>Validate every manifest report</w:t>
            </w:r>
          </w:p>
        </w:tc>
        <w:tc>
          <w:tcPr>
            <w:tcW w:type="dxa" w:w="6360"/>
            <w:vAlign w:val="top"/>
            <w:tcMar>
              <w:top w:w="80" w:type="dxa"/>
              <w:start w:w="120" w:type="dxa"/>
              <w:bottom w:w="80" w:type="dxa"/>
              <w:end w:w="120" w:type="dxa"/>
            </w:tcMar>
          </w:tcPr>
          <w:p>
            <w:pPr>
              <w:spacing w:after="0" w:line="240" w:lineRule="auto"/>
            </w:pPr>
            <w:r>
              <w:rPr>
                <w:rFonts w:ascii="Calibri" w:hAnsi="Calibri"/>
                <w:color w:val="1F2937"/>
                <w:sz w:val="18"/>
              </w:rPr>
              <w:t>python ingest_all.py --dry-run</w:t>
            </w:r>
          </w:p>
        </w:tc>
      </w:tr>
      <w:tr>
        <w:tc>
          <w:tcPr>
            <w:tcW w:type="dxa" w:w="3000"/>
            <w:vAlign w:val="top"/>
            <w:tcMar>
              <w:top w:w="80" w:type="dxa"/>
              <w:start w:w="120" w:type="dxa"/>
              <w:bottom w:w="80" w:type="dxa"/>
              <w:end w:w="120" w:type="dxa"/>
            </w:tcMar>
          </w:tcPr>
          <w:p>
            <w:pPr>
              <w:spacing w:after="0" w:line="240" w:lineRule="auto"/>
            </w:pPr>
            <w:r>
              <w:rPr>
                <w:rFonts w:ascii="Calibri" w:hAnsi="Calibri"/>
                <w:color w:val="1F2937"/>
                <w:sz w:val="18"/>
              </w:rPr>
              <w:t>Build local BM25 corpus only</w:t>
            </w:r>
          </w:p>
        </w:tc>
        <w:tc>
          <w:tcPr>
            <w:tcW w:type="dxa" w:w="6360"/>
            <w:vAlign w:val="top"/>
            <w:tcMar>
              <w:top w:w="80" w:type="dxa"/>
              <w:start w:w="120" w:type="dxa"/>
              <w:bottom w:w="80" w:type="dxa"/>
              <w:end w:w="120" w:type="dxa"/>
            </w:tcMar>
          </w:tcPr>
          <w:p>
            <w:pPr>
              <w:spacing w:after="0" w:line="240" w:lineRule="auto"/>
            </w:pPr>
            <w:r>
              <w:rPr>
                <w:rFonts w:ascii="Calibri" w:hAnsi="Calibri"/>
                <w:color w:val="1F2937"/>
                <w:sz w:val="18"/>
              </w:rPr>
              <w:t>python ingest_all.py --local-only</w:t>
            </w:r>
          </w:p>
        </w:tc>
      </w:tr>
      <w:tr>
        <w:tc>
          <w:tcPr>
            <w:tcW w:type="dxa" w:w="3000"/>
            <w:vAlign w:val="top"/>
            <w:tcMar>
              <w:top w:w="80" w:type="dxa"/>
              <w:start w:w="120" w:type="dxa"/>
              <w:bottom w:w="80" w:type="dxa"/>
              <w:end w:w="120" w:type="dxa"/>
            </w:tcMar>
          </w:tcPr>
          <w:p>
            <w:pPr>
              <w:spacing w:after="0" w:line="240" w:lineRule="auto"/>
            </w:pPr>
            <w:r>
              <w:rPr>
                <w:rFonts w:ascii="Calibri" w:hAnsi="Calibri"/>
                <w:color w:val="1F2937"/>
                <w:sz w:val="18"/>
              </w:rPr>
              <w:t>Index one company</w:t>
            </w:r>
          </w:p>
        </w:tc>
        <w:tc>
          <w:tcPr>
            <w:tcW w:type="dxa" w:w="6360"/>
            <w:vAlign w:val="top"/>
            <w:tcMar>
              <w:top w:w="80" w:type="dxa"/>
              <w:start w:w="120" w:type="dxa"/>
              <w:bottom w:w="80" w:type="dxa"/>
              <w:end w:w="120" w:type="dxa"/>
            </w:tcMar>
          </w:tcPr>
          <w:p>
            <w:pPr>
              <w:spacing w:after="0" w:line="240" w:lineRule="auto"/>
            </w:pPr>
            <w:r>
              <w:rPr>
                <w:rFonts w:ascii="Calibri" w:hAnsi="Calibri"/>
                <w:color w:val="1F2937"/>
                <w:sz w:val="18"/>
              </w:rPr>
              <w:t>python ingest_all.py --company INFY</w:t>
            </w:r>
          </w:p>
        </w:tc>
      </w:tr>
      <w:tr>
        <w:tc>
          <w:tcPr>
            <w:tcW w:type="dxa" w:w="3000"/>
            <w:vAlign w:val="top"/>
            <w:tcMar>
              <w:top w:w="80" w:type="dxa"/>
              <w:start w:w="120" w:type="dxa"/>
              <w:bottom w:w="80" w:type="dxa"/>
              <w:end w:w="120" w:type="dxa"/>
            </w:tcMar>
          </w:tcPr>
          <w:p>
            <w:pPr>
              <w:spacing w:after="0" w:line="240" w:lineRule="auto"/>
            </w:pPr>
            <w:r>
              <w:rPr>
                <w:rFonts w:ascii="Calibri" w:hAnsi="Calibri"/>
                <w:color w:val="1F2937"/>
                <w:sz w:val="18"/>
              </w:rPr>
              <w:t>Index all manifest reports</w:t>
            </w:r>
          </w:p>
        </w:tc>
        <w:tc>
          <w:tcPr>
            <w:tcW w:type="dxa" w:w="6360"/>
            <w:vAlign w:val="top"/>
            <w:tcMar>
              <w:top w:w="80" w:type="dxa"/>
              <w:start w:w="120" w:type="dxa"/>
              <w:bottom w:w="80" w:type="dxa"/>
              <w:end w:w="120" w:type="dxa"/>
            </w:tcMar>
          </w:tcPr>
          <w:p>
            <w:pPr>
              <w:spacing w:after="0" w:line="240" w:lineRule="auto"/>
            </w:pPr>
            <w:r>
              <w:rPr>
                <w:rFonts w:ascii="Calibri" w:hAnsi="Calibri"/>
                <w:color w:val="1F2937"/>
                <w:sz w:val="18"/>
              </w:rPr>
              <w:t>python ingest_all.py</w:t>
            </w:r>
          </w:p>
        </w:tc>
      </w:tr>
      <w:tr>
        <w:tc>
          <w:tcPr>
            <w:tcW w:type="dxa" w:w="3000"/>
            <w:vAlign w:val="top"/>
            <w:tcMar>
              <w:top w:w="80" w:type="dxa"/>
              <w:start w:w="120" w:type="dxa"/>
              <w:bottom w:w="80" w:type="dxa"/>
              <w:end w:w="120" w:type="dxa"/>
            </w:tcMar>
          </w:tcPr>
          <w:p>
            <w:pPr>
              <w:spacing w:after="0" w:line="240" w:lineRule="auto"/>
            </w:pPr>
            <w:r>
              <w:rPr>
                <w:rFonts w:ascii="Calibri" w:hAnsi="Calibri"/>
                <w:color w:val="1F2937"/>
                <w:sz w:val="18"/>
              </w:rPr>
              <w:t>Validate dense retrieval</w:t>
            </w:r>
          </w:p>
        </w:tc>
        <w:tc>
          <w:tcPr>
            <w:tcW w:type="dxa" w:w="6360"/>
            <w:vAlign w:val="top"/>
            <w:tcMar>
              <w:top w:w="80" w:type="dxa"/>
              <w:start w:w="120" w:type="dxa"/>
              <w:bottom w:w="80" w:type="dxa"/>
              <w:end w:w="120" w:type="dxa"/>
            </w:tcMar>
          </w:tcPr>
          <w:p>
            <w:pPr>
              <w:spacing w:after="0" w:line="240" w:lineRule="auto"/>
            </w:pPr>
            <w:r>
              <w:rPr>
                <w:rFonts w:ascii="Calibri" w:hAnsi="Calibri"/>
                <w:color w:val="1F2937"/>
                <w:sz w:val="18"/>
              </w:rPr>
              <w:t>python query.py "What risks did management mention?" --company INFY --top-k 5</w:t>
            </w:r>
          </w:p>
        </w:tc>
      </w:tr>
      <w:tr>
        <w:tc>
          <w:tcPr>
            <w:tcW w:type="dxa" w:w="3000"/>
            <w:vAlign w:val="top"/>
            <w:tcMar>
              <w:top w:w="80" w:type="dxa"/>
              <w:start w:w="120" w:type="dxa"/>
              <w:bottom w:w="80" w:type="dxa"/>
              <w:end w:w="120" w:type="dxa"/>
            </w:tcMar>
          </w:tcPr>
          <w:p>
            <w:pPr>
              <w:spacing w:after="0" w:line="240" w:lineRule="auto"/>
            </w:pPr>
            <w:r>
              <w:rPr>
                <w:rFonts w:ascii="Calibri" w:hAnsi="Calibri"/>
                <w:color w:val="1F2937"/>
                <w:sz w:val="18"/>
              </w:rPr>
              <w:t>Run dashboard</w:t>
            </w:r>
          </w:p>
        </w:tc>
        <w:tc>
          <w:tcPr>
            <w:tcW w:type="dxa" w:w="6360"/>
            <w:vAlign w:val="top"/>
            <w:tcMar>
              <w:top w:w="80" w:type="dxa"/>
              <w:start w:w="120" w:type="dxa"/>
              <w:bottom w:w="80" w:type="dxa"/>
              <w:end w:w="120" w:type="dxa"/>
            </w:tcMar>
          </w:tcPr>
          <w:p>
            <w:pPr>
              <w:spacing w:after="0" w:line="240" w:lineRule="auto"/>
            </w:pPr>
            <w:r>
              <w:rPr>
                <w:rFonts w:ascii="Calibri" w:hAnsi="Calibri"/>
                <w:color w:val="1F2937"/>
                <w:sz w:val="18"/>
              </w:rPr>
              <w:t>streamlit run app.py</w:t>
            </w:r>
          </w:p>
        </w:tc>
      </w:tr>
      <w:tr>
        <w:tc>
          <w:tcPr>
            <w:tcW w:type="dxa" w:w="3000"/>
            <w:vAlign w:val="top"/>
            <w:tcMar>
              <w:top w:w="80" w:type="dxa"/>
              <w:start w:w="120" w:type="dxa"/>
              <w:bottom w:w="80" w:type="dxa"/>
              <w:end w:w="120" w:type="dxa"/>
            </w:tcMar>
          </w:tcPr>
          <w:p>
            <w:pPr>
              <w:spacing w:after="0" w:line="240" w:lineRule="auto"/>
            </w:pPr>
            <w:r>
              <w:rPr>
                <w:rFonts w:ascii="Calibri" w:hAnsi="Calibri"/>
                <w:color w:val="1F2937"/>
                <w:sz w:val="18"/>
              </w:rPr>
              <w:t>Run tests</w:t>
            </w:r>
          </w:p>
        </w:tc>
        <w:tc>
          <w:tcPr>
            <w:tcW w:type="dxa" w:w="6360"/>
            <w:vAlign w:val="top"/>
            <w:tcMar>
              <w:top w:w="80" w:type="dxa"/>
              <w:start w:w="120" w:type="dxa"/>
              <w:bottom w:w="80" w:type="dxa"/>
              <w:end w:w="120" w:type="dxa"/>
            </w:tcMar>
          </w:tcPr>
          <w:p>
            <w:pPr>
              <w:spacing w:after="0" w:line="240" w:lineRule="auto"/>
            </w:pPr>
            <w:r>
              <w:rPr>
                <w:rFonts w:ascii="Calibri" w:hAnsi="Calibri"/>
                <w:color w:val="1F2937"/>
                <w:sz w:val="18"/>
              </w:rPr>
              <w:t>pytest -q</w:t>
            </w:r>
          </w:p>
        </w:tc>
      </w:tr>
    </w:tbl>
    <w:p>
      <w:pPr>
        <w:spacing w:after="0"/>
      </w:pPr>
    </w:p>
    <w:p>
      <w:pPr>
        <w:pStyle w:val="LeadCallout"/>
        <w:shd w:fill="FFF8E8"/>
        <w:pBdr>
          <w:left w:val="single" w:sz="16" w:space="8" w:color="7A5A00"/>
        </w:pBdr>
      </w:pPr>
      <w:r>
        <w:rPr>
          <w:rFonts w:ascii="Calibri" w:hAnsi="Calibri"/>
          <w:b/>
          <w:color w:val="0B2545"/>
          <w:sz w:val="21"/>
        </w:rPr>
        <w:t xml:space="preserve">Demo readiness: </w:t>
      </w:r>
      <w:r>
        <w:rPr>
          <w:rFonts w:ascii="Calibri" w:hAnsi="Calibri"/>
          <w:color w:val="1F2937"/>
          <w:sz w:val="21"/>
        </w:rPr>
        <w:t>Credentials and model names are present in the local environment, and the active local corpus contains five Infosys reports with 86 chunks. Avoid displaying the .env file during the demo.</w:t>
      </w:r>
    </w:p>
    <w:p>
      <w:pPr>
        <w:pStyle w:val="Heading1"/>
        <w:keepNext/>
      </w:pPr>
      <w:r>
        <w:t>8. Seven-minute live demo script</w:t>
      </w:r>
    </w:p>
    <w:tbl>
      <w:tblPr>
        <w:tblStyle w:val="TableGrid"/>
        <w:tblW w:type="dxa" w:w="9360"/>
        <w:jc w:val="left"/>
        <w:tblLayout w:type="fixed"/>
        <w:tblLook w:firstColumn="1" w:firstRow="1" w:lastColumn="0" w:lastRow="0" w:noHBand="0" w:noVBand="1" w:val="04A0"/>
        <w:tblInd w:w="120" w:type="dxa"/>
      </w:tblPr>
      <w:tblGrid>
        <w:gridCol w:w="1150"/>
        <w:gridCol w:w="3500"/>
        <w:gridCol w:w="4710"/>
      </w:tblGrid>
      <w:tr>
        <w:trPr>
          <w:tblHeader/>
        </w:trPr>
        <w:tc>
          <w:tcPr>
            <w:tcW w:type="dxa" w:w="1150"/>
            <w:shd w:fill="E8EEF5"/>
            <w:vAlign w:val="center"/>
            <w:tcMar>
              <w:top w:w="80" w:type="dxa"/>
              <w:start w:w="120" w:type="dxa"/>
              <w:bottom w:w="80" w:type="dxa"/>
              <w:end w:w="120" w:type="dxa"/>
            </w:tcMar>
          </w:tcPr>
          <w:p>
            <w:pPr>
              <w:keepNext/>
              <w:spacing w:after="0"/>
            </w:pPr>
            <w:r>
              <w:rPr>
                <w:rFonts w:ascii="Calibri" w:hAnsi="Calibri"/>
                <w:b/>
                <w:color w:val="0B2545"/>
                <w:sz w:val="19"/>
              </w:rPr>
              <w:t>Time</w:t>
            </w:r>
          </w:p>
        </w:tc>
        <w:tc>
          <w:tcPr>
            <w:tcW w:type="dxa" w:w="3500"/>
            <w:shd w:fill="E8EEF5"/>
            <w:vAlign w:val="center"/>
            <w:tcMar>
              <w:top w:w="80" w:type="dxa"/>
              <w:start w:w="120" w:type="dxa"/>
              <w:bottom w:w="80" w:type="dxa"/>
              <w:end w:w="120" w:type="dxa"/>
            </w:tcMar>
          </w:tcPr>
          <w:p>
            <w:pPr>
              <w:keepNext/>
              <w:spacing w:after="0"/>
            </w:pPr>
            <w:r>
              <w:rPr>
                <w:rFonts w:ascii="Calibri" w:hAnsi="Calibri"/>
                <w:b/>
                <w:color w:val="0B2545"/>
                <w:sz w:val="19"/>
              </w:rPr>
              <w:t>Presenter action</w:t>
            </w:r>
          </w:p>
        </w:tc>
        <w:tc>
          <w:tcPr>
            <w:tcW w:type="dxa" w:w="4710"/>
            <w:shd w:fill="E8EEF5"/>
            <w:vAlign w:val="center"/>
            <w:tcMar>
              <w:top w:w="80" w:type="dxa"/>
              <w:start w:w="120" w:type="dxa"/>
              <w:bottom w:w="80" w:type="dxa"/>
              <w:end w:w="120" w:type="dxa"/>
            </w:tcMar>
          </w:tcPr>
          <w:p>
            <w:pPr>
              <w:keepNext/>
              <w:spacing w:after="0"/>
            </w:pPr>
            <w:r>
              <w:rPr>
                <w:rFonts w:ascii="Calibri" w:hAnsi="Calibri"/>
                <w:b/>
                <w:color w:val="0B2545"/>
                <w:sz w:val="19"/>
              </w:rPr>
              <w:t>What to explain</w:t>
            </w:r>
          </w:p>
        </w:tc>
      </w:tr>
      <w:tr>
        <w:tc>
          <w:tcPr>
            <w:tcW w:type="dxa" w:w="1150"/>
            <w:vAlign w:val="top"/>
            <w:tcMar>
              <w:top w:w="80" w:type="dxa"/>
              <w:start w:w="120" w:type="dxa"/>
              <w:bottom w:w="80" w:type="dxa"/>
              <w:end w:w="120" w:type="dxa"/>
            </w:tcMar>
          </w:tcPr>
          <w:p>
            <w:pPr>
              <w:spacing w:after="0" w:line="240" w:lineRule="auto"/>
            </w:pPr>
            <w:r>
              <w:rPr>
                <w:rFonts w:ascii="Calibri" w:hAnsi="Calibri"/>
                <w:color w:val="1F2937"/>
                <w:sz w:val="18"/>
              </w:rPr>
              <w:t>0:00-0:45</w:t>
            </w:r>
          </w:p>
        </w:tc>
        <w:tc>
          <w:tcPr>
            <w:tcW w:type="dxa" w:w="3500"/>
            <w:vAlign w:val="top"/>
            <w:tcMar>
              <w:top w:w="80" w:type="dxa"/>
              <w:start w:w="120" w:type="dxa"/>
              <w:bottom w:w="80" w:type="dxa"/>
              <w:end w:w="120" w:type="dxa"/>
            </w:tcMar>
          </w:tcPr>
          <w:p>
            <w:pPr>
              <w:spacing w:after="0" w:line="240" w:lineRule="auto"/>
            </w:pPr>
            <w:r>
              <w:rPr>
                <w:rFonts w:ascii="Calibri" w:hAnsi="Calibri"/>
                <w:color w:val="1F2937"/>
                <w:sz w:val="18"/>
              </w:rPr>
              <w:t>Open Q&amp;A Bot; show system status and five indexed Infosys reports</w:t>
            </w:r>
          </w:p>
        </w:tc>
        <w:tc>
          <w:tcPr>
            <w:tcW w:type="dxa" w:w="4710"/>
            <w:vAlign w:val="top"/>
            <w:tcMar>
              <w:top w:w="80" w:type="dxa"/>
              <w:start w:w="120" w:type="dxa"/>
              <w:bottom w:w="80" w:type="dxa"/>
              <w:end w:w="120" w:type="dxa"/>
            </w:tcMar>
          </w:tcPr>
          <w:p>
            <w:pPr>
              <w:spacing w:after="0" w:line="240" w:lineRule="auto"/>
            </w:pPr>
            <w:r>
              <w:rPr>
                <w:rFonts w:ascii="Calibri" w:hAnsi="Calibri"/>
                <w:color w:val="1F2937"/>
                <w:sz w:val="18"/>
              </w:rPr>
              <w:t>The app is chat-first and citation-aware</w:t>
            </w:r>
          </w:p>
        </w:tc>
      </w:tr>
      <w:tr>
        <w:tc>
          <w:tcPr>
            <w:tcW w:type="dxa" w:w="1150"/>
            <w:vAlign w:val="top"/>
            <w:tcMar>
              <w:top w:w="80" w:type="dxa"/>
              <w:start w:w="120" w:type="dxa"/>
              <w:bottom w:w="80" w:type="dxa"/>
              <w:end w:w="120" w:type="dxa"/>
            </w:tcMar>
          </w:tcPr>
          <w:p>
            <w:pPr>
              <w:spacing w:after="0" w:line="240" w:lineRule="auto"/>
            </w:pPr>
            <w:r>
              <w:rPr>
                <w:rFonts w:ascii="Calibri" w:hAnsi="Calibri"/>
                <w:color w:val="1F2937"/>
                <w:sz w:val="18"/>
              </w:rPr>
              <w:t>0:45-2:15</w:t>
            </w:r>
          </w:p>
        </w:tc>
        <w:tc>
          <w:tcPr>
            <w:tcW w:type="dxa" w:w="3500"/>
            <w:vAlign w:val="top"/>
            <w:tcMar>
              <w:top w:w="80" w:type="dxa"/>
              <w:start w:w="120" w:type="dxa"/>
              <w:bottom w:w="80" w:type="dxa"/>
              <w:end w:w="120" w:type="dxa"/>
            </w:tcMar>
          </w:tcPr>
          <w:p>
            <w:pPr>
              <w:spacing w:after="0" w:line="240" w:lineRule="auto"/>
            </w:pPr>
            <w:r>
              <w:rPr>
                <w:rFonts w:ascii="Calibri" w:hAnsi="Calibri"/>
                <w:color w:val="1F2937"/>
                <w:sz w:val="18"/>
              </w:rPr>
              <w:t>Ask: Why did operating margins change?</w:t>
            </w:r>
          </w:p>
        </w:tc>
        <w:tc>
          <w:tcPr>
            <w:tcW w:type="dxa" w:w="4710"/>
            <w:vAlign w:val="top"/>
            <w:tcMar>
              <w:top w:w="80" w:type="dxa"/>
              <w:start w:w="120" w:type="dxa"/>
              <w:bottom w:w="80" w:type="dxa"/>
              <w:end w:w="120" w:type="dxa"/>
            </w:tcMar>
          </w:tcPr>
          <w:p>
            <w:pPr>
              <w:spacing w:after="0" w:line="240" w:lineRule="auto"/>
            </w:pPr>
            <w:r>
              <w:rPr>
                <w:rFonts w:ascii="Calibri" w:hAnsi="Calibri"/>
                <w:color w:val="1F2937"/>
                <w:sz w:val="18"/>
              </w:rPr>
              <w:t>Watch routing, filters, both retrievers, RRF, reranking, and streaming</w:t>
            </w:r>
          </w:p>
        </w:tc>
      </w:tr>
      <w:tr>
        <w:tc>
          <w:tcPr>
            <w:tcW w:type="dxa" w:w="1150"/>
            <w:vAlign w:val="top"/>
            <w:tcMar>
              <w:top w:w="80" w:type="dxa"/>
              <w:start w:w="120" w:type="dxa"/>
              <w:bottom w:w="80" w:type="dxa"/>
              <w:end w:w="120" w:type="dxa"/>
            </w:tcMar>
          </w:tcPr>
          <w:p>
            <w:pPr>
              <w:spacing w:after="0" w:line="240" w:lineRule="auto"/>
            </w:pPr>
            <w:r>
              <w:rPr>
                <w:rFonts w:ascii="Calibri" w:hAnsi="Calibri"/>
                <w:color w:val="1F2937"/>
                <w:sz w:val="18"/>
              </w:rPr>
              <w:t>2:15-3:15</w:t>
            </w:r>
          </w:p>
        </w:tc>
        <w:tc>
          <w:tcPr>
            <w:tcW w:type="dxa" w:w="3500"/>
            <w:vAlign w:val="top"/>
            <w:tcMar>
              <w:top w:w="80" w:type="dxa"/>
              <w:start w:w="120" w:type="dxa"/>
              <w:bottom w:w="80" w:type="dxa"/>
              <w:end w:w="120" w:type="dxa"/>
            </w:tcMar>
          </w:tcPr>
          <w:p>
            <w:pPr>
              <w:spacing w:after="0" w:line="240" w:lineRule="auto"/>
            </w:pPr>
            <w:r>
              <w:rPr>
                <w:rFonts w:ascii="Calibri" w:hAnsi="Calibri"/>
                <w:color w:val="1F2937"/>
                <w:sz w:val="18"/>
              </w:rPr>
              <w:t>Open Retrieval details and Sources</w:t>
            </w:r>
          </w:p>
        </w:tc>
        <w:tc>
          <w:tcPr>
            <w:tcW w:type="dxa" w:w="4710"/>
            <w:vAlign w:val="top"/>
            <w:tcMar>
              <w:top w:w="80" w:type="dxa"/>
              <w:start w:w="120" w:type="dxa"/>
              <w:bottom w:w="80" w:type="dxa"/>
              <w:end w:w="120" w:type="dxa"/>
            </w:tcMar>
          </w:tcPr>
          <w:p>
            <w:pPr>
              <w:spacing w:after="0" w:line="240" w:lineRule="auto"/>
            </w:pPr>
            <w:r>
              <w:rPr>
                <w:rFonts w:ascii="Calibri" w:hAnsi="Calibri"/>
                <w:color w:val="1F2937"/>
                <w:sz w:val="18"/>
              </w:rPr>
              <w:t>Every answer exposes counts and page-level evidence</w:t>
            </w:r>
          </w:p>
        </w:tc>
      </w:tr>
      <w:tr>
        <w:tc>
          <w:tcPr>
            <w:tcW w:type="dxa" w:w="1150"/>
            <w:vAlign w:val="top"/>
            <w:tcMar>
              <w:top w:w="80" w:type="dxa"/>
              <w:start w:w="120" w:type="dxa"/>
              <w:bottom w:w="80" w:type="dxa"/>
              <w:end w:w="120" w:type="dxa"/>
            </w:tcMar>
          </w:tcPr>
          <w:p>
            <w:pPr>
              <w:spacing w:after="0" w:line="240" w:lineRule="auto"/>
            </w:pPr>
            <w:r>
              <w:rPr>
                <w:rFonts w:ascii="Calibri" w:hAnsi="Calibri"/>
                <w:color w:val="1F2937"/>
                <w:sz w:val="18"/>
              </w:rPr>
              <w:t>3:15-4:15</w:t>
            </w:r>
          </w:p>
        </w:tc>
        <w:tc>
          <w:tcPr>
            <w:tcW w:type="dxa" w:w="3500"/>
            <w:vAlign w:val="top"/>
            <w:tcMar>
              <w:top w:w="80" w:type="dxa"/>
              <w:start w:w="120" w:type="dxa"/>
              <w:bottom w:w="80" w:type="dxa"/>
              <w:end w:w="120" w:type="dxa"/>
            </w:tcMar>
          </w:tcPr>
          <w:p>
            <w:pPr>
              <w:spacing w:after="0" w:line="240" w:lineRule="auto"/>
            </w:pPr>
            <w:r>
              <w:rPr>
                <w:rFonts w:ascii="Calibri" w:hAnsi="Calibri"/>
                <w:color w:val="1F2937"/>
                <w:sz w:val="18"/>
              </w:rPr>
              <w:t>Ask: Compare the last three quarters</w:t>
            </w:r>
          </w:p>
        </w:tc>
        <w:tc>
          <w:tcPr>
            <w:tcW w:type="dxa" w:w="4710"/>
            <w:vAlign w:val="top"/>
            <w:tcMar>
              <w:top w:w="80" w:type="dxa"/>
              <w:start w:w="120" w:type="dxa"/>
              <w:bottom w:w="80" w:type="dxa"/>
              <w:end w:w="120" w:type="dxa"/>
            </w:tcMar>
          </w:tcPr>
          <w:p>
            <w:pPr>
              <w:spacing w:after="0" w:line="240" w:lineRule="auto"/>
            </w:pPr>
            <w:r>
              <w:rPr>
                <w:rFonts w:ascii="Calibri" w:hAnsi="Calibri"/>
                <w:color w:val="1F2937"/>
                <w:sz w:val="18"/>
              </w:rPr>
              <w:t>Comparison routing removes the single-quarter filter</w:t>
            </w:r>
          </w:p>
        </w:tc>
      </w:tr>
      <w:tr>
        <w:tc>
          <w:tcPr>
            <w:tcW w:type="dxa" w:w="1150"/>
            <w:vAlign w:val="top"/>
            <w:tcMar>
              <w:top w:w="80" w:type="dxa"/>
              <w:start w:w="120" w:type="dxa"/>
              <w:bottom w:w="80" w:type="dxa"/>
              <w:end w:w="120" w:type="dxa"/>
            </w:tcMar>
          </w:tcPr>
          <w:p>
            <w:pPr>
              <w:spacing w:after="0" w:line="240" w:lineRule="auto"/>
            </w:pPr>
            <w:r>
              <w:rPr>
                <w:rFonts w:ascii="Calibri" w:hAnsi="Calibri"/>
                <w:color w:val="1F2937"/>
                <w:sz w:val="18"/>
              </w:rPr>
              <w:t>4:15-5:10</w:t>
            </w:r>
          </w:p>
        </w:tc>
        <w:tc>
          <w:tcPr>
            <w:tcW w:type="dxa" w:w="3500"/>
            <w:vAlign w:val="top"/>
            <w:tcMar>
              <w:top w:w="80" w:type="dxa"/>
              <w:start w:w="120" w:type="dxa"/>
              <w:bottom w:w="80" w:type="dxa"/>
              <w:end w:w="120" w:type="dxa"/>
            </w:tcMar>
          </w:tcPr>
          <w:p>
            <w:pPr>
              <w:spacing w:after="0" w:line="240" w:lineRule="auto"/>
            </w:pPr>
            <w:r>
              <w:rPr>
                <w:rFonts w:ascii="Calibri" w:hAnsi="Calibri"/>
                <w:color w:val="1F2937"/>
                <w:sz w:val="18"/>
              </w:rPr>
              <w:t>Open Financial Snapshot</w:t>
            </w:r>
          </w:p>
        </w:tc>
        <w:tc>
          <w:tcPr>
            <w:tcW w:type="dxa" w:w="4710"/>
            <w:vAlign w:val="top"/>
            <w:tcMar>
              <w:top w:w="80" w:type="dxa"/>
              <w:start w:w="120" w:type="dxa"/>
              <w:bottom w:w="80" w:type="dxa"/>
              <w:end w:w="120" w:type="dxa"/>
            </w:tcMar>
          </w:tcPr>
          <w:p>
            <w:pPr>
              <w:spacing w:after="0" w:line="240" w:lineRule="auto"/>
            </w:pPr>
            <w:r>
              <w:rPr>
                <w:rFonts w:ascii="Calibri" w:hAnsi="Calibri"/>
                <w:color w:val="1F2937"/>
                <w:sz w:val="18"/>
              </w:rPr>
              <w:t>Structured KPIs are separate from qualitative RAG</w:t>
            </w:r>
          </w:p>
        </w:tc>
      </w:tr>
      <w:tr>
        <w:tc>
          <w:tcPr>
            <w:tcW w:type="dxa" w:w="1150"/>
            <w:vAlign w:val="top"/>
            <w:tcMar>
              <w:top w:w="80" w:type="dxa"/>
              <w:start w:w="120" w:type="dxa"/>
              <w:bottom w:w="80" w:type="dxa"/>
              <w:end w:w="120" w:type="dxa"/>
            </w:tcMar>
          </w:tcPr>
          <w:p>
            <w:pPr>
              <w:spacing w:after="0" w:line="240" w:lineRule="auto"/>
            </w:pPr>
            <w:r>
              <w:rPr>
                <w:rFonts w:ascii="Calibri" w:hAnsi="Calibri"/>
                <w:color w:val="1F2937"/>
                <w:sz w:val="18"/>
              </w:rPr>
              <w:t>5:10-6:00</w:t>
            </w:r>
          </w:p>
        </w:tc>
        <w:tc>
          <w:tcPr>
            <w:tcW w:type="dxa" w:w="3500"/>
            <w:vAlign w:val="top"/>
            <w:tcMar>
              <w:top w:w="80" w:type="dxa"/>
              <w:start w:w="120" w:type="dxa"/>
              <w:bottom w:w="80" w:type="dxa"/>
              <w:end w:w="120" w:type="dxa"/>
            </w:tcMar>
          </w:tcPr>
          <w:p>
            <w:pPr>
              <w:spacing w:after="0" w:line="240" w:lineRule="auto"/>
            </w:pPr>
            <w:r>
              <w:rPr>
                <w:rFonts w:ascii="Calibri" w:hAnsi="Calibri"/>
                <w:color w:val="1F2937"/>
                <w:sz w:val="18"/>
              </w:rPr>
              <w:t>Open Management Guidance</w:t>
            </w:r>
          </w:p>
        </w:tc>
        <w:tc>
          <w:tcPr>
            <w:tcW w:type="dxa" w:w="4710"/>
            <w:vAlign w:val="top"/>
            <w:tcMar>
              <w:top w:w="80" w:type="dxa"/>
              <w:start w:w="120" w:type="dxa"/>
              <w:bottom w:w="80" w:type="dxa"/>
              <w:end w:w="120" w:type="dxa"/>
            </w:tcMar>
          </w:tcPr>
          <w:p>
            <w:pPr>
              <w:spacing w:after="0" w:line="240" w:lineRule="auto"/>
            </w:pPr>
            <w:r>
              <w:rPr>
                <w:rFonts w:ascii="Calibri" w:hAnsi="Calibri"/>
                <w:color w:val="1F2937"/>
                <w:sz w:val="18"/>
              </w:rPr>
              <w:t>Promises are constrained to four explainable statuses</w:t>
            </w:r>
          </w:p>
        </w:tc>
      </w:tr>
      <w:tr>
        <w:tc>
          <w:tcPr>
            <w:tcW w:type="dxa" w:w="1150"/>
            <w:vAlign w:val="top"/>
            <w:tcMar>
              <w:top w:w="80" w:type="dxa"/>
              <w:start w:w="120" w:type="dxa"/>
              <w:bottom w:w="80" w:type="dxa"/>
              <w:end w:w="120" w:type="dxa"/>
            </w:tcMar>
          </w:tcPr>
          <w:p>
            <w:pPr>
              <w:spacing w:after="0" w:line="240" w:lineRule="auto"/>
            </w:pPr>
            <w:r>
              <w:rPr>
                <w:rFonts w:ascii="Calibri" w:hAnsi="Calibri"/>
                <w:color w:val="1F2937"/>
                <w:sz w:val="18"/>
              </w:rPr>
              <w:t>6:00-6:40</w:t>
            </w:r>
          </w:p>
        </w:tc>
        <w:tc>
          <w:tcPr>
            <w:tcW w:type="dxa" w:w="3500"/>
            <w:vAlign w:val="top"/>
            <w:tcMar>
              <w:top w:w="80" w:type="dxa"/>
              <w:start w:w="120" w:type="dxa"/>
              <w:bottom w:w="80" w:type="dxa"/>
              <w:end w:w="120" w:type="dxa"/>
            </w:tcMar>
          </w:tcPr>
          <w:p>
            <w:pPr>
              <w:spacing w:after="0" w:line="240" w:lineRule="auto"/>
            </w:pPr>
            <w:r>
              <w:rPr>
                <w:rFonts w:ascii="Calibri" w:hAnsi="Calibri"/>
                <w:color w:val="1F2937"/>
                <w:sz w:val="18"/>
              </w:rPr>
              <w:t>Open Sources</w:t>
            </w:r>
          </w:p>
        </w:tc>
        <w:tc>
          <w:tcPr>
            <w:tcW w:type="dxa" w:w="4710"/>
            <w:vAlign w:val="top"/>
            <w:tcMar>
              <w:top w:w="80" w:type="dxa"/>
              <w:start w:w="120" w:type="dxa"/>
              <w:bottom w:w="80" w:type="dxa"/>
              <w:end w:w="120" w:type="dxa"/>
            </w:tcMar>
          </w:tcPr>
          <w:p>
            <w:pPr>
              <w:spacing w:after="0" w:line="240" w:lineRule="auto"/>
            </w:pPr>
            <w:r>
              <w:rPr>
                <w:rFonts w:ascii="Calibri" w:hAnsi="Calibri"/>
                <w:color w:val="1F2937"/>
                <w:sz w:val="18"/>
              </w:rPr>
              <w:t>The inventory shows exactly what is indexed</w:t>
            </w:r>
          </w:p>
        </w:tc>
      </w:tr>
      <w:tr>
        <w:tc>
          <w:tcPr>
            <w:tcW w:type="dxa" w:w="1150"/>
            <w:vAlign w:val="top"/>
            <w:tcMar>
              <w:top w:w="80" w:type="dxa"/>
              <w:start w:w="120" w:type="dxa"/>
              <w:bottom w:w="80" w:type="dxa"/>
              <w:end w:w="120" w:type="dxa"/>
            </w:tcMar>
          </w:tcPr>
          <w:p>
            <w:pPr>
              <w:spacing w:after="0" w:line="240" w:lineRule="auto"/>
            </w:pPr>
            <w:r>
              <w:rPr>
                <w:rFonts w:ascii="Calibri" w:hAnsi="Calibri"/>
                <w:color w:val="1F2937"/>
                <w:sz w:val="18"/>
              </w:rPr>
              <w:t>6:40-7:00</w:t>
            </w:r>
          </w:p>
        </w:tc>
        <w:tc>
          <w:tcPr>
            <w:tcW w:type="dxa" w:w="3500"/>
            <w:vAlign w:val="top"/>
            <w:tcMar>
              <w:top w:w="80" w:type="dxa"/>
              <w:start w:w="120" w:type="dxa"/>
              <w:bottom w:w="80" w:type="dxa"/>
              <w:end w:w="120" w:type="dxa"/>
            </w:tcMar>
          </w:tcPr>
          <w:p>
            <w:pPr>
              <w:spacing w:after="0" w:line="240" w:lineRule="auto"/>
            </w:pPr>
            <w:r>
              <w:rPr>
                <w:rFonts w:ascii="Calibri" w:hAnsi="Calibri"/>
                <w:color w:val="1F2937"/>
                <w:sz w:val="18"/>
              </w:rPr>
              <w:t>Close on limitations and next steps</w:t>
            </w:r>
          </w:p>
        </w:tc>
        <w:tc>
          <w:tcPr>
            <w:tcW w:type="dxa" w:w="4710"/>
            <w:vAlign w:val="top"/>
            <w:tcMar>
              <w:top w:w="80" w:type="dxa"/>
              <w:start w:w="120" w:type="dxa"/>
              <w:bottom w:w="80" w:type="dxa"/>
              <w:end w:w="120" w:type="dxa"/>
            </w:tcMar>
          </w:tcPr>
          <w:p>
            <w:pPr>
              <w:spacing w:after="0" w:line="240" w:lineRule="auto"/>
            </w:pPr>
            <w:r>
              <w:rPr>
                <w:rFonts w:ascii="Calibri" w:hAnsi="Calibri"/>
                <w:color w:val="1F2937"/>
                <w:sz w:val="18"/>
              </w:rPr>
              <w:t>Be explicit about OCR, seeded records, and current Infosys KPI coverage</w:t>
            </w:r>
          </w:p>
        </w:tc>
      </w:tr>
    </w:tbl>
    <w:p>
      <w:pPr>
        <w:spacing w:after="0"/>
      </w:pPr>
    </w:p>
    <w:p>
      <w:pPr>
        <w:pStyle w:val="Heading2"/>
        <w:keepNext/>
      </w:pPr>
      <w:r>
        <w:t>Suggested questions</w:t>
      </w:r>
    </w:p>
    <w:p>
      <w:pPr>
        <w:pStyle w:val="ListBullet"/>
        <w:spacing w:after="80" w:line="300" w:lineRule="auto"/>
        <w:ind w:left="540" w:hanging="271"/>
      </w:pPr>
      <w:r>
        <w:rPr>
          <w:rFonts w:ascii="Calibri" w:hAnsi="Calibri"/>
          <w:color w:val="1F2937"/>
          <w:sz w:val="22"/>
        </w:rPr>
        <w:t>How did Infosys perform in the latest quarter?</w:t>
      </w:r>
    </w:p>
    <w:p>
      <w:pPr>
        <w:pStyle w:val="ListBullet"/>
        <w:spacing w:after="80" w:line="300" w:lineRule="auto"/>
        <w:ind w:left="540" w:hanging="271"/>
      </w:pPr>
      <w:r>
        <w:rPr>
          <w:rFonts w:ascii="Calibri" w:hAnsi="Calibri"/>
          <w:color w:val="1F2937"/>
          <w:sz w:val="22"/>
        </w:rPr>
        <w:t>Why did operating margins change?</w:t>
      </w:r>
    </w:p>
    <w:p>
      <w:pPr>
        <w:pStyle w:val="ListBullet"/>
        <w:spacing w:after="80" w:line="300" w:lineRule="auto"/>
        <w:ind w:left="540" w:hanging="271"/>
      </w:pPr>
      <w:r>
        <w:rPr>
          <w:rFonts w:ascii="Calibri" w:hAnsi="Calibri"/>
          <w:color w:val="1F2937"/>
          <w:sz w:val="22"/>
        </w:rPr>
        <w:t>What risks did management mention?</w:t>
      </w:r>
    </w:p>
    <w:p>
      <w:pPr>
        <w:pStyle w:val="ListBullet"/>
        <w:spacing w:after="80" w:line="300" w:lineRule="auto"/>
        <w:ind w:left="540" w:hanging="271"/>
      </w:pPr>
      <w:r>
        <w:rPr>
          <w:rFonts w:ascii="Calibri" w:hAnsi="Calibri"/>
          <w:color w:val="1F2937"/>
          <w:sz w:val="22"/>
        </w:rPr>
        <w:t>Compare the last three quarters.</w:t>
      </w:r>
    </w:p>
    <w:p>
      <w:pPr>
        <w:pStyle w:val="ListBullet"/>
        <w:spacing w:after="80" w:line="300" w:lineRule="auto"/>
        <w:ind w:left="540" w:hanging="271"/>
      </w:pPr>
      <w:r>
        <w:rPr>
          <w:rFonts w:ascii="Calibri" w:hAnsi="Calibri"/>
          <w:color w:val="1F2937"/>
          <w:sz w:val="22"/>
        </w:rPr>
        <w:t>What guidance was provided, and was earlier guidance achieved?</w:t>
      </w:r>
    </w:p>
    <w:p>
      <w:pPr>
        <w:pStyle w:val="LeadCallout"/>
        <w:shd w:fill="FFF1F2"/>
        <w:pBdr>
          <w:left w:val="single" w:sz="16" w:space="8" w:color="9B1C1C"/>
        </w:pBdr>
      </w:pPr>
      <w:r>
        <w:rPr>
          <w:rFonts w:ascii="Calibri" w:hAnsi="Calibri"/>
          <w:b/>
          <w:color w:val="0B2545"/>
          <w:sz w:val="21"/>
        </w:rPr>
        <w:t xml:space="preserve">Presenter fallback: </w:t>
      </w:r>
      <w:r>
        <w:rPr>
          <w:rFonts w:ascii="Calibri" w:hAnsi="Calibri"/>
          <w:color w:val="1F2937"/>
          <w:sz w:val="21"/>
        </w:rPr>
        <w:t>If a live API call fails, show the Financial Snapshot, Management Guidance seeded records, Sources inventory, test result, and ingestion dry-run evidence. Do not claim a generated answer succeeded when it did not.</w:t>
      </w:r>
    </w:p>
    <w:p>
      <w:pPr>
        <w:pStyle w:val="Heading1"/>
        <w:keepNext/>
      </w:pPr>
      <w:r>
        <w:t>9. Validation and quality evidence</w:t>
      </w:r>
    </w:p>
    <w:tbl>
      <w:tblPr>
        <w:tblStyle w:val="TableGrid"/>
        <w:tblW w:type="dxa" w:w="9360"/>
        <w:jc w:val="left"/>
        <w:tblLayout w:type="fixed"/>
        <w:tblLook w:firstColumn="1" w:firstRow="1" w:lastColumn="0" w:lastRow="0" w:noHBand="0" w:noVBand="1" w:val="04A0"/>
        <w:tblInd w:w="120" w:type="dxa"/>
      </w:tblPr>
      <w:tblGrid>
        <w:gridCol w:w="2400"/>
        <w:gridCol w:w="2200"/>
        <w:gridCol w:w="4760"/>
      </w:tblGrid>
      <w:tr>
        <w:trPr>
          <w:tblHeader/>
        </w:trPr>
        <w:tc>
          <w:tcPr>
            <w:tcW w:type="dxa" w:w="2400"/>
            <w:shd w:fill="E8EEF5"/>
            <w:vAlign w:val="center"/>
            <w:tcMar>
              <w:top w:w="80" w:type="dxa"/>
              <w:start w:w="120" w:type="dxa"/>
              <w:bottom w:w="80" w:type="dxa"/>
              <w:end w:w="120" w:type="dxa"/>
            </w:tcMar>
          </w:tcPr>
          <w:p>
            <w:pPr>
              <w:keepNext/>
              <w:spacing w:after="0"/>
            </w:pPr>
            <w:r>
              <w:rPr>
                <w:rFonts w:ascii="Calibri" w:hAnsi="Calibri"/>
                <w:b/>
                <w:color w:val="0B2545"/>
                <w:sz w:val="19"/>
              </w:rPr>
              <w:t>Check</w:t>
            </w:r>
          </w:p>
        </w:tc>
        <w:tc>
          <w:tcPr>
            <w:tcW w:type="dxa" w:w="2200"/>
            <w:shd w:fill="E8EEF5"/>
            <w:vAlign w:val="center"/>
            <w:tcMar>
              <w:top w:w="80" w:type="dxa"/>
              <w:start w:w="120" w:type="dxa"/>
              <w:bottom w:w="80" w:type="dxa"/>
              <w:end w:w="120" w:type="dxa"/>
            </w:tcMar>
          </w:tcPr>
          <w:p>
            <w:pPr>
              <w:keepNext/>
              <w:spacing w:after="0"/>
            </w:pPr>
            <w:r>
              <w:rPr>
                <w:rFonts w:ascii="Calibri" w:hAnsi="Calibri"/>
                <w:b/>
                <w:color w:val="0B2545"/>
                <w:sz w:val="19"/>
              </w:rPr>
              <w:t>Result</w:t>
            </w:r>
          </w:p>
        </w:tc>
        <w:tc>
          <w:tcPr>
            <w:tcW w:type="dxa" w:w="4760"/>
            <w:shd w:fill="E8EEF5"/>
            <w:vAlign w:val="center"/>
            <w:tcMar>
              <w:top w:w="80" w:type="dxa"/>
              <w:start w:w="120" w:type="dxa"/>
              <w:bottom w:w="80" w:type="dxa"/>
              <w:end w:w="120" w:type="dxa"/>
            </w:tcMar>
          </w:tcPr>
          <w:p>
            <w:pPr>
              <w:keepNext/>
              <w:spacing w:after="0"/>
            </w:pPr>
            <w:r>
              <w:rPr>
                <w:rFonts w:ascii="Calibri" w:hAnsi="Calibri"/>
                <w:b/>
                <w:color w:val="0B2545"/>
                <w:sz w:val="19"/>
              </w:rPr>
              <w:t>Meaning</w:t>
            </w:r>
          </w:p>
        </w:tc>
      </w:tr>
      <w:tr>
        <w:tc>
          <w:tcPr>
            <w:tcW w:type="dxa" w:w="2400"/>
            <w:vAlign w:val="top"/>
            <w:tcMar>
              <w:top w:w="80" w:type="dxa"/>
              <w:start w:w="120" w:type="dxa"/>
              <w:bottom w:w="80" w:type="dxa"/>
              <w:end w:w="120" w:type="dxa"/>
            </w:tcMar>
          </w:tcPr>
          <w:p>
            <w:pPr>
              <w:spacing w:after="0" w:line="240" w:lineRule="auto"/>
            </w:pPr>
            <w:r>
              <w:rPr>
                <w:rFonts w:ascii="Calibri" w:hAnsi="Calibri"/>
                <w:color w:val="1F2937"/>
                <w:sz w:val="18"/>
              </w:rPr>
              <w:t>Automated tests</w:t>
            </w:r>
          </w:p>
        </w:tc>
        <w:tc>
          <w:tcPr>
            <w:tcW w:type="dxa" w:w="2200"/>
            <w:vAlign w:val="top"/>
            <w:tcMar>
              <w:top w:w="80" w:type="dxa"/>
              <w:start w:w="120" w:type="dxa"/>
              <w:bottom w:w="80" w:type="dxa"/>
              <w:end w:w="120" w:type="dxa"/>
            </w:tcMar>
          </w:tcPr>
          <w:p>
            <w:pPr>
              <w:spacing w:after="0" w:line="240" w:lineRule="auto"/>
            </w:pPr>
            <w:r>
              <w:rPr>
                <w:rFonts w:ascii="Calibri" w:hAnsi="Calibri"/>
                <w:color w:val="1F2937"/>
                <w:sz w:val="18"/>
              </w:rPr>
              <w:t>18 passed in 1.24 s</w:t>
            </w:r>
          </w:p>
        </w:tc>
        <w:tc>
          <w:tcPr>
            <w:tcW w:type="dxa" w:w="4760"/>
            <w:vAlign w:val="top"/>
            <w:tcMar>
              <w:top w:w="80" w:type="dxa"/>
              <w:start w:w="120" w:type="dxa"/>
              <w:bottom w:w="80" w:type="dxa"/>
              <w:end w:w="120" w:type="dxa"/>
            </w:tcMar>
          </w:tcPr>
          <w:p>
            <w:pPr>
              <w:spacing w:after="0" w:line="240" w:lineRule="auto"/>
            </w:pPr>
            <w:r>
              <w:rPr>
                <w:rFonts w:ascii="Calibri" w:hAnsi="Calibri"/>
                <w:color w:val="1F2937"/>
                <w:sz w:val="18"/>
              </w:rPr>
              <w:t>Routing, retrieval, corpus, streaming, dashboard data, and guidance behaviors are covered</w:t>
            </w:r>
          </w:p>
        </w:tc>
      </w:tr>
      <w:tr>
        <w:tc>
          <w:tcPr>
            <w:tcW w:type="dxa" w:w="2400"/>
            <w:vAlign w:val="top"/>
            <w:tcMar>
              <w:top w:w="80" w:type="dxa"/>
              <w:start w:w="120" w:type="dxa"/>
              <w:bottom w:w="80" w:type="dxa"/>
              <w:end w:w="120" w:type="dxa"/>
            </w:tcMar>
          </w:tcPr>
          <w:p>
            <w:pPr>
              <w:spacing w:after="0" w:line="240" w:lineRule="auto"/>
            </w:pPr>
            <w:r>
              <w:rPr>
                <w:rFonts w:ascii="Calibri" w:hAnsi="Calibri"/>
                <w:color w:val="1F2937"/>
                <w:sz w:val="18"/>
              </w:rPr>
              <w:t>Batch ingestion dry run</w:t>
            </w:r>
          </w:p>
        </w:tc>
        <w:tc>
          <w:tcPr>
            <w:tcW w:type="dxa" w:w="2200"/>
            <w:vAlign w:val="top"/>
            <w:tcMar>
              <w:top w:w="80" w:type="dxa"/>
              <w:start w:w="120" w:type="dxa"/>
              <w:bottom w:w="80" w:type="dxa"/>
              <w:end w:w="120" w:type="dxa"/>
            </w:tcMar>
          </w:tcPr>
          <w:p>
            <w:pPr>
              <w:spacing w:after="0" w:line="240" w:lineRule="auto"/>
            </w:pPr>
            <w:r>
              <w:rPr>
                <w:rFonts w:ascii="Calibri" w:hAnsi="Calibri"/>
                <w:color w:val="1F2937"/>
                <w:sz w:val="18"/>
              </w:rPr>
              <w:t>15 reports; 191 pages; 411 chunks</w:t>
            </w:r>
          </w:p>
        </w:tc>
        <w:tc>
          <w:tcPr>
            <w:tcW w:type="dxa" w:w="4760"/>
            <w:vAlign w:val="top"/>
            <w:tcMar>
              <w:top w:w="80" w:type="dxa"/>
              <w:start w:w="120" w:type="dxa"/>
              <w:bottom w:w="80" w:type="dxa"/>
              <w:end w:w="120" w:type="dxa"/>
            </w:tcMar>
          </w:tcPr>
          <w:p>
            <w:pPr>
              <w:spacing w:after="0" w:line="240" w:lineRule="auto"/>
            </w:pPr>
            <w:r>
              <w:rPr>
                <w:rFonts w:ascii="Calibri" w:hAnsi="Calibri"/>
                <w:color w:val="1F2937"/>
                <w:sz w:val="18"/>
              </w:rPr>
              <w:t>All manifest paths extracted and chunked without external API calls</w:t>
            </w:r>
          </w:p>
        </w:tc>
      </w:tr>
      <w:tr>
        <w:tc>
          <w:tcPr>
            <w:tcW w:type="dxa" w:w="2400"/>
            <w:vAlign w:val="top"/>
            <w:tcMar>
              <w:top w:w="80" w:type="dxa"/>
              <w:start w:w="120" w:type="dxa"/>
              <w:bottom w:w="80" w:type="dxa"/>
              <w:end w:w="120" w:type="dxa"/>
            </w:tcMar>
          </w:tcPr>
          <w:p>
            <w:pPr>
              <w:spacing w:after="0" w:line="240" w:lineRule="auto"/>
            </w:pPr>
            <w:r>
              <w:rPr>
                <w:rFonts w:ascii="Calibri" w:hAnsi="Calibri"/>
                <w:color w:val="1F2937"/>
                <w:sz w:val="18"/>
              </w:rPr>
              <w:t>Active local corpus</w:t>
            </w:r>
          </w:p>
        </w:tc>
        <w:tc>
          <w:tcPr>
            <w:tcW w:type="dxa" w:w="2200"/>
            <w:vAlign w:val="top"/>
            <w:tcMar>
              <w:top w:w="80" w:type="dxa"/>
              <w:start w:w="120" w:type="dxa"/>
              <w:bottom w:w="80" w:type="dxa"/>
              <w:end w:w="120" w:type="dxa"/>
            </w:tcMar>
          </w:tcPr>
          <w:p>
            <w:pPr>
              <w:spacing w:after="0" w:line="240" w:lineRule="auto"/>
            </w:pPr>
            <w:r>
              <w:rPr>
                <w:rFonts w:ascii="Calibri" w:hAnsi="Calibri"/>
                <w:color w:val="1F2937"/>
                <w:sz w:val="18"/>
              </w:rPr>
              <w:t>5 INFY documents; 86 chunks</w:t>
            </w:r>
          </w:p>
        </w:tc>
        <w:tc>
          <w:tcPr>
            <w:tcW w:type="dxa" w:w="4760"/>
            <w:vAlign w:val="top"/>
            <w:tcMar>
              <w:top w:w="80" w:type="dxa"/>
              <w:start w:w="120" w:type="dxa"/>
              <w:bottom w:w="80" w:type="dxa"/>
              <w:end w:w="120" w:type="dxa"/>
            </w:tcMar>
          </w:tcPr>
          <w:p>
            <w:pPr>
              <w:spacing w:after="0" w:line="240" w:lineRule="auto"/>
            </w:pPr>
            <w:r>
              <w:rPr>
                <w:rFonts w:ascii="Calibri" w:hAnsi="Calibri"/>
                <w:color w:val="1F2937"/>
                <w:sz w:val="18"/>
              </w:rPr>
              <w:t>Current Streamlit Q&amp;A has local sparse evidence available</w:t>
            </w:r>
          </w:p>
        </w:tc>
      </w:tr>
      <w:tr>
        <w:tc>
          <w:tcPr>
            <w:tcW w:type="dxa" w:w="2400"/>
            <w:vAlign w:val="top"/>
            <w:tcMar>
              <w:top w:w="80" w:type="dxa"/>
              <w:start w:w="120" w:type="dxa"/>
              <w:bottom w:w="80" w:type="dxa"/>
              <w:end w:w="120" w:type="dxa"/>
            </w:tcMar>
          </w:tcPr>
          <w:p>
            <w:pPr>
              <w:spacing w:after="0" w:line="240" w:lineRule="auto"/>
            </w:pPr>
            <w:r>
              <w:rPr>
                <w:rFonts w:ascii="Calibri" w:hAnsi="Calibri"/>
                <w:color w:val="1F2937"/>
                <w:sz w:val="18"/>
              </w:rPr>
              <w:t>Configuration check</w:t>
            </w:r>
          </w:p>
        </w:tc>
        <w:tc>
          <w:tcPr>
            <w:tcW w:type="dxa" w:w="2200"/>
            <w:vAlign w:val="top"/>
            <w:tcMar>
              <w:top w:w="80" w:type="dxa"/>
              <w:start w:w="120" w:type="dxa"/>
              <w:bottom w:w="80" w:type="dxa"/>
              <w:end w:w="120" w:type="dxa"/>
            </w:tcMar>
          </w:tcPr>
          <w:p>
            <w:pPr>
              <w:spacing w:after="0" w:line="240" w:lineRule="auto"/>
            </w:pPr>
            <w:r>
              <w:rPr>
                <w:rFonts w:ascii="Calibri" w:hAnsi="Calibri"/>
                <w:color w:val="1F2937"/>
                <w:sz w:val="18"/>
              </w:rPr>
              <w:t>Nebius and Pinecone present</w:t>
            </w:r>
          </w:p>
        </w:tc>
        <w:tc>
          <w:tcPr>
            <w:tcW w:type="dxa" w:w="4760"/>
            <w:vAlign w:val="top"/>
            <w:tcMar>
              <w:top w:w="80" w:type="dxa"/>
              <w:start w:w="120" w:type="dxa"/>
              <w:bottom w:w="80" w:type="dxa"/>
              <w:end w:w="120" w:type="dxa"/>
            </w:tcMar>
          </w:tcPr>
          <w:p>
            <w:pPr>
              <w:spacing w:after="0" w:line="240" w:lineRule="auto"/>
            </w:pPr>
            <w:r>
              <w:rPr>
                <w:rFonts w:ascii="Calibri" w:hAnsi="Calibri"/>
                <w:color w:val="1F2937"/>
                <w:sz w:val="18"/>
              </w:rPr>
              <w:t>Live retrieval can be attempted without showing secrets</w:t>
            </w:r>
          </w:p>
        </w:tc>
      </w:tr>
    </w:tbl>
    <w:p>
      <w:pPr>
        <w:spacing w:after="0"/>
      </w:pPr>
    </w:p>
    <w:p>
      <w:pPr>
        <w:pStyle w:val="Heading2"/>
        <w:keepNext/>
      </w:pPr>
      <w:r>
        <w:t>What the tests do not prove</w:t>
      </w:r>
    </w:p>
    <w:p>
      <w:pPr/>
      <w:r>
        <w:rPr>
          <w:rFonts w:ascii="Calibri" w:hAnsi="Calibri"/>
          <w:color w:val="1F2937"/>
        </w:rPr>
        <w:t>The test suite uses mocks and focused unit behavior; it does not guarantee current external-service availability, Pinecone contents, answer quality for every question, or the correctness of seeded promise statuses. Those require live smoke tests and human evidence review.</w:t>
      </w:r>
    </w:p>
    <w:p>
      <w:pPr>
        <w:pStyle w:val="Heading1"/>
        <w:keepNext/>
      </w:pPr>
      <w:r>
        <w:t>10. Limitations, risks, and roadmap</w:t>
      </w:r>
    </w:p>
    <w:p>
      <w:pPr>
        <w:pStyle w:val="Heading2"/>
        <w:keepNext/>
      </w:pPr>
      <w:r>
        <w:t>Current limitations</w:t>
      </w:r>
    </w:p>
    <w:p>
      <w:pPr>
        <w:pStyle w:val="ListBullet"/>
        <w:spacing w:after="80" w:line="300" w:lineRule="auto"/>
        <w:ind w:left="540" w:hanging="271"/>
      </w:pPr>
      <w:r>
        <w:rPr>
          <w:rFonts w:ascii="Calibri" w:hAnsi="Calibri"/>
          <w:color w:val="1F2937"/>
          <w:sz w:val="22"/>
        </w:rPr>
        <w:t>No OCR for image-only or poor-quality scanned PDFs.</w:t>
      </w:r>
    </w:p>
    <w:p>
      <w:pPr>
        <w:pStyle w:val="ListBullet"/>
        <w:spacing w:after="80" w:line="300" w:lineRule="auto"/>
        <w:ind w:left="540" w:hanging="271"/>
      </w:pPr>
      <w:r>
        <w:rPr>
          <w:rFonts w:ascii="Calibri" w:hAnsi="Calibri"/>
          <w:color w:val="1F2937"/>
          <w:sz w:val="22"/>
        </w:rPr>
        <w:t>Retrieval quality depends on the reports indexed and the selected metadata.</w:t>
      </w:r>
    </w:p>
    <w:p>
      <w:pPr>
        <w:pStyle w:val="ListBullet"/>
        <w:spacing w:after="80" w:line="300" w:lineRule="auto"/>
        <w:ind w:left="540" w:hanging="271"/>
      </w:pPr>
      <w:r>
        <w:rPr>
          <w:rFonts w:ascii="Calibri" w:hAnsi="Calibri"/>
          <w:color w:val="1F2937"/>
          <w:sz w:val="22"/>
        </w:rPr>
        <w:t>The Promise Tracker seeded records are a transparent demonstration fallback, not decision-grade analysis.</w:t>
      </w:r>
    </w:p>
    <w:p>
      <w:pPr>
        <w:pStyle w:val="ListBullet"/>
        <w:spacing w:after="80" w:line="300" w:lineRule="auto"/>
        <w:ind w:left="540" w:hanging="271"/>
      </w:pPr>
      <w:r>
        <w:rPr>
          <w:rFonts w:ascii="Calibri" w:hAnsi="Calibri"/>
          <w:color w:val="1F2937"/>
          <w:sz w:val="22"/>
        </w:rPr>
        <w:t>The dashboard structured KPI dataset currently includes Infosys only.</w:t>
      </w:r>
    </w:p>
    <w:p>
      <w:pPr>
        <w:pStyle w:val="ListBullet"/>
        <w:spacing w:after="80" w:line="300" w:lineRule="auto"/>
        <w:ind w:left="540" w:hanging="271"/>
      </w:pPr>
      <w:r>
        <w:rPr>
          <w:rFonts w:ascii="Calibri" w:hAnsi="Calibri"/>
          <w:color w:val="1F2937"/>
          <w:sz w:val="22"/>
        </w:rPr>
        <w:t>Authentication, deployment, automated exchange ingestion, and GraphRAG are not implemented.</w:t>
      </w:r>
    </w:p>
    <w:p>
      <w:pPr>
        <w:pStyle w:val="ListBullet"/>
        <w:spacing w:after="80" w:line="300" w:lineRule="auto"/>
        <w:ind w:left="540" w:hanging="271"/>
      </w:pPr>
      <w:r>
        <w:rPr>
          <w:rFonts w:ascii="Calibri" w:hAnsi="Calibri"/>
          <w:color w:val="1F2937"/>
          <w:sz w:val="22"/>
        </w:rPr>
        <w:t>The tool is research support, not investment advice.</w:t>
      </w:r>
    </w:p>
    <w:p>
      <w:pPr>
        <w:pStyle w:val="Heading2"/>
        <w:keepNext/>
      </w:pPr>
      <w:r>
        <w:t>Practical next steps</w:t>
      </w:r>
    </w:p>
    <w:p>
      <w:pPr>
        <w:pStyle w:val="ListNumber"/>
        <w:spacing w:after="80" w:line="300" w:lineRule="auto"/>
        <w:ind w:left="540" w:hanging="271"/>
      </w:pPr>
      <w:r>
        <w:rPr>
          <w:rFonts w:ascii="Calibri" w:hAnsi="Calibri"/>
          <w:color w:val="1F2937"/>
          <w:sz w:val="22"/>
        </w:rPr>
        <w:t>Add OCR and extraction-quality checks for scanned filings.</w:t>
      </w:r>
    </w:p>
    <w:p>
      <w:pPr>
        <w:pStyle w:val="ListNumber"/>
        <w:spacing w:after="80" w:line="300" w:lineRule="auto"/>
        <w:ind w:left="540" w:hanging="271"/>
      </w:pPr>
      <w:r>
        <w:rPr>
          <w:rFonts w:ascii="Calibri" w:hAnsi="Calibri"/>
          <w:color w:val="1F2937"/>
          <w:sz w:val="22"/>
        </w:rPr>
        <w:t>Extend financial_metrics.json and promise data to TCS and HDFC Bank so the full UI is multi-company.</w:t>
      </w:r>
    </w:p>
    <w:p>
      <w:pPr>
        <w:pStyle w:val="ListNumber"/>
        <w:spacing w:after="80" w:line="300" w:lineRule="auto"/>
        <w:ind w:left="540" w:hanging="271"/>
      </w:pPr>
      <w:r>
        <w:rPr>
          <w:rFonts w:ascii="Calibri" w:hAnsi="Calibri"/>
          <w:color w:val="1F2937"/>
          <w:sz w:val="22"/>
        </w:rPr>
        <w:t>Add live end-to-end evaluation sets with expected citations and answer-quality scoring.</w:t>
      </w:r>
    </w:p>
    <w:p>
      <w:pPr>
        <w:pStyle w:val="ListNumber"/>
        <w:spacing w:after="80" w:line="300" w:lineRule="auto"/>
        <w:ind w:left="540" w:hanging="271"/>
      </w:pPr>
      <w:r>
        <w:rPr>
          <w:rFonts w:ascii="Calibri" w:hAnsi="Calibri"/>
          <w:color w:val="1F2937"/>
          <w:sz w:val="22"/>
        </w:rPr>
        <w:t>Automate official NSE/BSE filing discovery, validation, deduplication, and retries.</w:t>
      </w:r>
    </w:p>
    <w:p>
      <w:pPr>
        <w:pStyle w:val="ListNumber"/>
        <w:spacing w:after="80" w:line="300" w:lineRule="auto"/>
        <w:ind w:left="540" w:hanging="271"/>
      </w:pPr>
      <w:r>
        <w:rPr>
          <w:rFonts w:ascii="Calibri" w:hAnsi="Calibri"/>
          <w:color w:val="1F2937"/>
          <w:sz w:val="22"/>
        </w:rPr>
        <w:t>Consider a Neo4j graph for Company -&gt; Quarter -&gt; Guidance -&gt; Expected Metric -&gt; Later Actual, while retaining source-bearing chunks for evidence.</w:t>
      </w:r>
    </w:p>
    <w:p>
      <w:pPr>
        <w:pStyle w:val="Heading1"/>
        <w:keepNext/>
      </w:pPr>
      <w:r>
        <w:t>11. Troubleshooting and demo safeguards</w:t>
      </w:r>
    </w:p>
    <w:tbl>
      <w:tblPr>
        <w:tblStyle w:val="TableGrid"/>
        <w:tblW w:type="dxa" w:w="9360"/>
        <w:jc w:val="left"/>
        <w:tblLayout w:type="fixed"/>
        <w:tblLook w:firstColumn="1" w:firstRow="1" w:lastColumn="0" w:lastRow="0" w:noHBand="0" w:noVBand="1" w:val="04A0"/>
        <w:tblInd w:w="120" w:type="dxa"/>
      </w:tblPr>
      <w:tblGrid>
        <w:gridCol w:w="2350"/>
        <w:gridCol w:w="3100"/>
        <w:gridCol w:w="3910"/>
      </w:tblGrid>
      <w:tr>
        <w:trPr>
          <w:tblHeader/>
        </w:trPr>
        <w:tc>
          <w:tcPr>
            <w:tcW w:type="dxa" w:w="2350"/>
            <w:shd w:fill="E8EEF5"/>
            <w:vAlign w:val="center"/>
            <w:tcMar>
              <w:top w:w="80" w:type="dxa"/>
              <w:start w:w="120" w:type="dxa"/>
              <w:bottom w:w="80" w:type="dxa"/>
              <w:end w:w="120" w:type="dxa"/>
            </w:tcMar>
          </w:tcPr>
          <w:p>
            <w:pPr>
              <w:keepNext/>
              <w:spacing w:after="0"/>
            </w:pPr>
            <w:r>
              <w:rPr>
                <w:rFonts w:ascii="Calibri" w:hAnsi="Calibri"/>
                <w:b/>
                <w:color w:val="0B2545"/>
                <w:sz w:val="19"/>
              </w:rPr>
              <w:t>Symptom</w:t>
            </w:r>
          </w:p>
        </w:tc>
        <w:tc>
          <w:tcPr>
            <w:tcW w:type="dxa" w:w="3100"/>
            <w:shd w:fill="E8EEF5"/>
            <w:vAlign w:val="center"/>
            <w:tcMar>
              <w:top w:w="80" w:type="dxa"/>
              <w:start w:w="120" w:type="dxa"/>
              <w:bottom w:w="80" w:type="dxa"/>
              <w:end w:w="120" w:type="dxa"/>
            </w:tcMar>
          </w:tcPr>
          <w:p>
            <w:pPr>
              <w:keepNext/>
              <w:spacing w:after="0"/>
            </w:pPr>
            <w:r>
              <w:rPr>
                <w:rFonts w:ascii="Calibri" w:hAnsi="Calibri"/>
                <w:b/>
                <w:color w:val="0B2545"/>
                <w:sz w:val="19"/>
              </w:rPr>
              <w:t>Likely cause</w:t>
            </w:r>
          </w:p>
        </w:tc>
        <w:tc>
          <w:tcPr>
            <w:tcW w:type="dxa" w:w="3910"/>
            <w:shd w:fill="E8EEF5"/>
            <w:vAlign w:val="center"/>
            <w:tcMar>
              <w:top w:w="80" w:type="dxa"/>
              <w:start w:w="120" w:type="dxa"/>
              <w:bottom w:w="80" w:type="dxa"/>
              <w:end w:w="120" w:type="dxa"/>
            </w:tcMar>
          </w:tcPr>
          <w:p>
            <w:pPr>
              <w:keepNext/>
              <w:spacing w:after="0"/>
            </w:pPr>
            <w:r>
              <w:rPr>
                <w:rFonts w:ascii="Calibri" w:hAnsi="Calibri"/>
                <w:b/>
                <w:color w:val="0B2545"/>
                <w:sz w:val="19"/>
              </w:rPr>
              <w:t>Action</w:t>
            </w:r>
          </w:p>
        </w:tc>
      </w:tr>
      <w:tr>
        <w:tc>
          <w:tcPr>
            <w:tcW w:type="dxa" w:w="2350"/>
            <w:vAlign w:val="top"/>
            <w:tcMar>
              <w:top w:w="80" w:type="dxa"/>
              <w:start w:w="120" w:type="dxa"/>
              <w:bottom w:w="80" w:type="dxa"/>
              <w:end w:w="120" w:type="dxa"/>
            </w:tcMar>
          </w:tcPr>
          <w:p>
            <w:pPr>
              <w:spacing w:after="0" w:line="240" w:lineRule="auto"/>
            </w:pPr>
            <w:r>
              <w:rPr>
                <w:rFonts w:ascii="Calibri" w:hAnsi="Calibri"/>
                <w:color w:val="1F2937"/>
                <w:sz w:val="18"/>
              </w:rPr>
              <w:t>Configuration required</w:t>
            </w:r>
          </w:p>
        </w:tc>
        <w:tc>
          <w:tcPr>
            <w:tcW w:type="dxa" w:w="3100"/>
            <w:vAlign w:val="top"/>
            <w:tcMar>
              <w:top w:w="80" w:type="dxa"/>
              <w:start w:w="120" w:type="dxa"/>
              <w:bottom w:w="80" w:type="dxa"/>
              <w:end w:w="120" w:type="dxa"/>
            </w:tcMar>
          </w:tcPr>
          <w:p>
            <w:pPr>
              <w:spacing w:after="0" w:line="240" w:lineRule="auto"/>
            </w:pPr>
            <w:r>
              <w:rPr>
                <w:rFonts w:ascii="Calibri" w:hAnsi="Calibri"/>
                <w:color w:val="1F2937"/>
                <w:sz w:val="18"/>
              </w:rPr>
              <w:t>A required key or model is absent</w:t>
            </w:r>
          </w:p>
        </w:tc>
        <w:tc>
          <w:tcPr>
            <w:tcW w:type="dxa" w:w="3910"/>
            <w:vAlign w:val="top"/>
            <w:tcMar>
              <w:top w:w="80" w:type="dxa"/>
              <w:start w:w="120" w:type="dxa"/>
              <w:bottom w:w="80" w:type="dxa"/>
              <w:end w:w="120" w:type="dxa"/>
            </w:tcMar>
          </w:tcPr>
          <w:p>
            <w:pPr>
              <w:spacing w:after="0" w:line="240" w:lineRule="auto"/>
            </w:pPr>
            <w:r>
              <w:rPr>
                <w:rFonts w:ascii="Calibri" w:hAnsi="Calibri"/>
                <w:color w:val="1F2937"/>
                <w:sz w:val="18"/>
              </w:rPr>
              <w:t>Save .env values and restart Streamlit</w:t>
            </w:r>
          </w:p>
        </w:tc>
      </w:tr>
      <w:tr>
        <w:tc>
          <w:tcPr>
            <w:tcW w:type="dxa" w:w="2350"/>
            <w:vAlign w:val="top"/>
            <w:tcMar>
              <w:top w:w="80" w:type="dxa"/>
              <w:start w:w="120" w:type="dxa"/>
              <w:bottom w:w="80" w:type="dxa"/>
              <w:end w:w="120" w:type="dxa"/>
            </w:tcMar>
          </w:tcPr>
          <w:p>
            <w:pPr>
              <w:spacing w:after="0" w:line="240" w:lineRule="auto"/>
            </w:pPr>
            <w:r>
              <w:rPr>
                <w:rFonts w:ascii="Calibri" w:hAnsi="Calibri"/>
                <w:color w:val="1F2937"/>
                <w:sz w:val="18"/>
              </w:rPr>
              <w:t>No indexed report corpus</w:t>
            </w:r>
          </w:p>
        </w:tc>
        <w:tc>
          <w:tcPr>
            <w:tcW w:type="dxa" w:w="3100"/>
            <w:vAlign w:val="top"/>
            <w:tcMar>
              <w:top w:w="80" w:type="dxa"/>
              <w:start w:w="120" w:type="dxa"/>
              <w:bottom w:w="80" w:type="dxa"/>
              <w:end w:w="120" w:type="dxa"/>
            </w:tcMar>
          </w:tcPr>
          <w:p>
            <w:pPr>
              <w:spacing w:after="0" w:line="240" w:lineRule="auto"/>
            </w:pPr>
            <w:r>
              <w:rPr>
                <w:rFonts w:ascii="Calibri" w:hAnsi="Calibri"/>
                <w:color w:val="1F2937"/>
                <w:sz w:val="18"/>
              </w:rPr>
              <w:t>data/chunks.jsonl is missing or empty</w:t>
            </w:r>
          </w:p>
        </w:tc>
        <w:tc>
          <w:tcPr>
            <w:tcW w:type="dxa" w:w="3910"/>
            <w:vAlign w:val="top"/>
            <w:tcMar>
              <w:top w:w="80" w:type="dxa"/>
              <w:start w:w="120" w:type="dxa"/>
              <w:bottom w:w="80" w:type="dxa"/>
              <w:end w:w="120" w:type="dxa"/>
            </w:tcMar>
          </w:tcPr>
          <w:p>
            <w:pPr>
              <w:spacing w:after="0" w:line="240" w:lineRule="auto"/>
            </w:pPr>
            <w:r>
              <w:rPr>
                <w:rFonts w:ascii="Calibri" w:hAnsi="Calibri"/>
                <w:color w:val="1F2937"/>
                <w:sz w:val="18"/>
              </w:rPr>
              <w:t>Run local-only or full ingestion, then reload</w:t>
            </w:r>
          </w:p>
        </w:tc>
      </w:tr>
      <w:tr>
        <w:tc>
          <w:tcPr>
            <w:tcW w:type="dxa" w:w="2350"/>
            <w:vAlign w:val="top"/>
            <w:tcMar>
              <w:top w:w="80" w:type="dxa"/>
              <w:start w:w="120" w:type="dxa"/>
              <w:bottom w:w="80" w:type="dxa"/>
              <w:end w:w="120" w:type="dxa"/>
            </w:tcMar>
          </w:tcPr>
          <w:p>
            <w:pPr>
              <w:spacing w:after="0" w:line="240" w:lineRule="auto"/>
            </w:pPr>
            <w:r>
              <w:rPr>
                <w:rFonts w:ascii="Calibri" w:hAnsi="Calibri"/>
                <w:color w:val="1F2937"/>
                <w:sz w:val="18"/>
              </w:rPr>
              <w:t>No matches</w:t>
            </w:r>
          </w:p>
        </w:tc>
        <w:tc>
          <w:tcPr>
            <w:tcW w:type="dxa" w:w="3100"/>
            <w:vAlign w:val="top"/>
            <w:tcMar>
              <w:top w:w="80" w:type="dxa"/>
              <w:start w:w="120" w:type="dxa"/>
              <w:bottom w:w="80" w:type="dxa"/>
              <w:end w:w="120" w:type="dxa"/>
            </w:tcMar>
          </w:tcPr>
          <w:p>
            <w:pPr>
              <w:spacing w:after="0" w:line="240" w:lineRule="auto"/>
            </w:pPr>
            <w:r>
              <w:rPr>
                <w:rFonts w:ascii="Calibri" w:hAnsi="Calibri"/>
                <w:color w:val="1F2937"/>
                <w:sz w:val="18"/>
              </w:rPr>
              <w:t>Metadata differs from indexed values</w:t>
            </w:r>
          </w:p>
        </w:tc>
        <w:tc>
          <w:tcPr>
            <w:tcW w:type="dxa" w:w="3910"/>
            <w:vAlign w:val="top"/>
            <w:tcMar>
              <w:top w:w="80" w:type="dxa"/>
              <w:start w:w="120" w:type="dxa"/>
              <w:bottom w:w="80" w:type="dxa"/>
              <w:end w:w="120" w:type="dxa"/>
            </w:tcMar>
          </w:tcPr>
          <w:p>
            <w:pPr>
              <w:spacing w:after="0" w:line="240" w:lineRule="auto"/>
            </w:pPr>
            <w:r>
              <w:rPr>
                <w:rFonts w:ascii="Calibri" w:hAnsi="Calibri"/>
                <w:color w:val="1F2937"/>
                <w:sz w:val="18"/>
              </w:rPr>
              <w:t>Check company, quarter, and document type</w:t>
            </w:r>
          </w:p>
        </w:tc>
      </w:tr>
      <w:tr>
        <w:tc>
          <w:tcPr>
            <w:tcW w:type="dxa" w:w="2350"/>
            <w:vAlign w:val="top"/>
            <w:tcMar>
              <w:top w:w="80" w:type="dxa"/>
              <w:start w:w="120" w:type="dxa"/>
              <w:bottom w:w="80" w:type="dxa"/>
              <w:end w:w="120" w:type="dxa"/>
            </w:tcMar>
          </w:tcPr>
          <w:p>
            <w:pPr>
              <w:spacing w:after="0" w:line="240" w:lineRule="auto"/>
            </w:pPr>
            <w:r>
              <w:rPr>
                <w:rFonts w:ascii="Calibri" w:hAnsi="Calibri"/>
                <w:color w:val="1F2937"/>
                <w:sz w:val="18"/>
              </w:rPr>
              <w:t>Comparison seems single-quarter</w:t>
            </w:r>
          </w:p>
        </w:tc>
        <w:tc>
          <w:tcPr>
            <w:tcW w:type="dxa" w:w="3100"/>
            <w:vAlign w:val="top"/>
            <w:tcMar>
              <w:top w:w="80" w:type="dxa"/>
              <w:start w:w="120" w:type="dxa"/>
              <w:bottom w:w="80" w:type="dxa"/>
              <w:end w:w="120" w:type="dxa"/>
            </w:tcMar>
          </w:tcPr>
          <w:p>
            <w:pPr>
              <w:spacing w:after="0" w:line="240" w:lineRule="auto"/>
            </w:pPr>
            <w:r>
              <w:rPr>
                <w:rFonts w:ascii="Calibri" w:hAnsi="Calibri"/>
                <w:color w:val="1F2937"/>
                <w:sz w:val="18"/>
              </w:rPr>
              <w:t>Question was not classified as comparison</w:t>
            </w:r>
          </w:p>
        </w:tc>
        <w:tc>
          <w:tcPr>
            <w:tcW w:type="dxa" w:w="3910"/>
            <w:vAlign w:val="top"/>
            <w:tcMar>
              <w:top w:w="80" w:type="dxa"/>
              <w:start w:w="120" w:type="dxa"/>
              <w:bottom w:w="80" w:type="dxa"/>
              <w:end w:w="120" w:type="dxa"/>
            </w:tcMar>
          </w:tcPr>
          <w:p>
            <w:pPr>
              <w:spacing w:after="0" w:line="240" w:lineRule="auto"/>
            </w:pPr>
            <w:r>
              <w:rPr>
                <w:rFonts w:ascii="Calibri" w:hAnsi="Calibri"/>
                <w:color w:val="1F2937"/>
                <w:sz w:val="18"/>
              </w:rPr>
              <w:t>Use explicit compare, QoQ, YoY, or quarter names</w:t>
            </w:r>
          </w:p>
        </w:tc>
      </w:tr>
      <w:tr>
        <w:tc>
          <w:tcPr>
            <w:tcW w:type="dxa" w:w="2350"/>
            <w:vAlign w:val="top"/>
            <w:tcMar>
              <w:top w:w="80" w:type="dxa"/>
              <w:start w:w="120" w:type="dxa"/>
              <w:bottom w:w="80" w:type="dxa"/>
              <w:end w:w="120" w:type="dxa"/>
            </w:tcMar>
          </w:tcPr>
          <w:p>
            <w:pPr>
              <w:spacing w:after="0" w:line="240" w:lineRule="auto"/>
            </w:pPr>
            <w:r>
              <w:rPr>
                <w:rFonts w:ascii="Calibri" w:hAnsi="Calibri"/>
                <w:color w:val="1F2937"/>
                <w:sz w:val="18"/>
              </w:rPr>
              <w:t>Promise status seems weak</w:t>
            </w:r>
          </w:p>
        </w:tc>
        <w:tc>
          <w:tcPr>
            <w:tcW w:type="dxa" w:w="3100"/>
            <w:vAlign w:val="top"/>
            <w:tcMar>
              <w:top w:w="80" w:type="dxa"/>
              <w:start w:w="120" w:type="dxa"/>
              <w:bottom w:w="80" w:type="dxa"/>
              <w:end w:w="120" w:type="dxa"/>
            </w:tcMar>
          </w:tcPr>
          <w:p>
            <w:pPr>
              <w:spacing w:after="0" w:line="240" w:lineRule="auto"/>
            </w:pPr>
            <w:r>
              <w:rPr>
                <w:rFonts w:ascii="Calibri" w:hAnsi="Calibri"/>
                <w:color w:val="1F2937"/>
                <w:sz w:val="18"/>
              </w:rPr>
              <w:t>Seeded record or insufficient later evidence</w:t>
            </w:r>
          </w:p>
        </w:tc>
        <w:tc>
          <w:tcPr>
            <w:tcW w:type="dxa" w:w="3910"/>
            <w:vAlign w:val="top"/>
            <w:tcMar>
              <w:top w:w="80" w:type="dxa"/>
              <w:start w:w="120" w:type="dxa"/>
              <w:bottom w:w="80" w:type="dxa"/>
              <w:end w:w="120" w:type="dxa"/>
            </w:tcMar>
          </w:tcPr>
          <w:p>
            <w:pPr>
              <w:spacing w:after="0" w:line="240" w:lineRule="auto"/>
            </w:pPr>
            <w:r>
              <w:rPr>
                <w:rFonts w:ascii="Calibri" w:hAnsi="Calibri"/>
                <w:color w:val="1F2937"/>
                <w:sz w:val="18"/>
              </w:rPr>
              <w:t>Run AI review and inspect citations; use Pending when needed</w:t>
            </w:r>
          </w:p>
        </w:tc>
      </w:tr>
      <w:tr>
        <w:tc>
          <w:tcPr>
            <w:tcW w:type="dxa" w:w="2350"/>
            <w:vAlign w:val="top"/>
            <w:tcMar>
              <w:top w:w="80" w:type="dxa"/>
              <w:start w:w="120" w:type="dxa"/>
              <w:bottom w:w="80" w:type="dxa"/>
              <w:end w:w="120" w:type="dxa"/>
            </w:tcMar>
          </w:tcPr>
          <w:p>
            <w:pPr>
              <w:spacing w:after="0" w:line="240" w:lineRule="auto"/>
            </w:pPr>
            <w:r>
              <w:rPr>
                <w:rFonts w:ascii="Calibri" w:hAnsi="Calibri"/>
                <w:color w:val="1F2937"/>
                <w:sz w:val="18"/>
              </w:rPr>
              <w:t>PDF yields no pages</w:t>
            </w:r>
          </w:p>
        </w:tc>
        <w:tc>
          <w:tcPr>
            <w:tcW w:type="dxa" w:w="3100"/>
            <w:vAlign w:val="top"/>
            <w:tcMar>
              <w:top w:w="80" w:type="dxa"/>
              <w:start w:w="120" w:type="dxa"/>
              <w:bottom w:w="80" w:type="dxa"/>
              <w:end w:w="120" w:type="dxa"/>
            </w:tcMar>
          </w:tcPr>
          <w:p>
            <w:pPr>
              <w:spacing w:after="0" w:line="240" w:lineRule="auto"/>
            </w:pPr>
            <w:r>
              <w:rPr>
                <w:rFonts w:ascii="Calibri" w:hAnsi="Calibri"/>
                <w:color w:val="1F2937"/>
                <w:sz w:val="18"/>
              </w:rPr>
              <w:t>Image-only or unextractable report</w:t>
            </w:r>
          </w:p>
        </w:tc>
        <w:tc>
          <w:tcPr>
            <w:tcW w:type="dxa" w:w="3910"/>
            <w:vAlign w:val="top"/>
            <w:tcMar>
              <w:top w:w="80" w:type="dxa"/>
              <w:start w:w="120" w:type="dxa"/>
              <w:bottom w:w="80" w:type="dxa"/>
              <w:end w:w="120" w:type="dxa"/>
            </w:tcMar>
          </w:tcPr>
          <w:p>
            <w:pPr>
              <w:spacing w:after="0" w:line="240" w:lineRule="auto"/>
            </w:pPr>
            <w:r>
              <w:rPr>
                <w:rFonts w:ascii="Calibri" w:hAnsi="Calibri"/>
                <w:color w:val="1F2937"/>
                <w:sz w:val="18"/>
              </w:rPr>
              <w:t>Use an OCR preprocessing step before ingestion</w:t>
            </w:r>
          </w:p>
        </w:tc>
      </w:tr>
    </w:tbl>
    <w:p>
      <w:pPr>
        <w:spacing w:after="0"/>
      </w:pPr>
    </w:p>
    <w:p>
      <w:pPr>
        <w:pStyle w:val="Heading2"/>
        <w:keepNext/>
      </w:pPr>
      <w:r>
        <w:t>Before presenting</w:t>
      </w:r>
    </w:p>
    <w:p>
      <w:pPr>
        <w:pStyle w:val="ListBullet"/>
        <w:spacing w:after="80" w:line="300" w:lineRule="auto"/>
        <w:ind w:left="540" w:hanging="271"/>
      </w:pPr>
      <w:r>
        <w:rPr>
          <w:rFonts w:ascii="Calibri" w:hAnsi="Calibri"/>
          <w:color w:val="1F2937"/>
          <w:sz w:val="22"/>
        </w:rPr>
        <w:t>Confirm the app opens and system status shows Ready for questions.</w:t>
      </w:r>
    </w:p>
    <w:p>
      <w:pPr>
        <w:pStyle w:val="ListBullet"/>
        <w:spacing w:after="80" w:line="300" w:lineRule="auto"/>
        <w:ind w:left="540" w:hanging="271"/>
      </w:pPr>
      <w:r>
        <w:rPr>
          <w:rFonts w:ascii="Calibri" w:hAnsi="Calibri"/>
          <w:color w:val="1F2937"/>
          <w:sz w:val="22"/>
        </w:rPr>
        <w:t>Run one private smoke query and confirm citations map to the shown PDF pages.</w:t>
      </w:r>
    </w:p>
    <w:p>
      <w:pPr>
        <w:pStyle w:val="ListBullet"/>
        <w:spacing w:after="80" w:line="300" w:lineRule="auto"/>
        <w:ind w:left="540" w:hanging="271"/>
      </w:pPr>
      <w:r>
        <w:rPr>
          <w:rFonts w:ascii="Calibri" w:hAnsi="Calibri"/>
          <w:color w:val="1F2937"/>
          <w:sz w:val="22"/>
        </w:rPr>
        <w:t>Keep the .env file and terminal history containing secrets out of view.</w:t>
      </w:r>
    </w:p>
    <w:p>
      <w:pPr>
        <w:pStyle w:val="ListBullet"/>
        <w:spacing w:after="80" w:line="300" w:lineRule="auto"/>
        <w:ind w:left="540" w:hanging="271"/>
      </w:pPr>
      <w:r>
        <w:rPr>
          <w:rFonts w:ascii="Calibri" w:hAnsi="Calibri"/>
          <w:color w:val="1F2937"/>
          <w:sz w:val="22"/>
        </w:rPr>
        <w:t>Have the Financial Snapshot and Sources tabs ready as deterministic fallbacks.</w:t>
      </w:r>
    </w:p>
    <w:p>
      <w:pPr>
        <w:pStyle w:val="ListBullet"/>
        <w:spacing w:after="80" w:line="300" w:lineRule="auto"/>
        <w:ind w:left="540" w:hanging="271"/>
      </w:pPr>
      <w:r>
        <w:rPr>
          <w:rFonts w:ascii="Calibri" w:hAnsi="Calibri"/>
          <w:color w:val="1F2937"/>
          <w:sz w:val="22"/>
        </w:rPr>
        <w:t>State the limitations before Q&amp;A, especially OCR and seeded promise records.</w:t>
      </w:r>
    </w:p>
    <w:p>
      <w:pPr>
        <w:pStyle w:val="Heading1"/>
        <w:keepNext/>
      </w:pPr>
      <w:r>
        <w:t>12. Likely evaluator questions</w:t>
      </w:r>
    </w:p>
    <w:p>
      <w:pPr>
        <w:pStyle w:val="Heading2"/>
        <w:keepNext/>
      </w:pPr>
      <w:r>
        <w:t>Why use hybrid retrieval?</w:t>
      </w:r>
    </w:p>
    <w:p>
      <w:pPr/>
      <w:r>
        <w:rPr>
          <w:rFonts w:ascii="Calibri" w:hAnsi="Calibri"/>
          <w:color w:val="1F2937"/>
        </w:rPr>
        <w:t>Dense search captures paraphrased meaning; BM25 preserves exact finance terms, numbers, abbreviations, currency, and percentages. RRF combines ranks without pretending their raw scores share a scale.</w:t>
      </w:r>
    </w:p>
    <w:p>
      <w:pPr>
        <w:pStyle w:val="Heading2"/>
        <w:keepNext/>
      </w:pPr>
      <w:r>
        <w:t>What makes it agentic?</w:t>
      </w:r>
    </w:p>
    <w:p>
      <w:pPr/>
      <w:r>
        <w:rPr>
          <w:rFonts w:ascii="Calibri" w:hAnsi="Calibri"/>
          <w:color w:val="1F2937"/>
        </w:rPr>
        <w:t>LangGraph controls the route and retrieval scope based on the question. The design is deliberately small and inspectable rather than a multi-agent system.</w:t>
      </w:r>
    </w:p>
    <w:p>
      <w:pPr>
        <w:pStyle w:val="Heading2"/>
        <w:keepNext/>
      </w:pPr>
      <w:r>
        <w:t>How are hallucinations reduced?</w:t>
      </w:r>
    </w:p>
    <w:p>
      <w:pPr/>
      <w:r>
        <w:rPr>
          <w:rFonts w:ascii="Calibri" w:hAnsi="Calibri"/>
          <w:color w:val="1F2937"/>
        </w:rPr>
        <w:t>Generation is limited to labeled source excerpts, unsupported claims are prohibited, temperature is zero, and every factual claim should cite an evidence label.</w:t>
      </w:r>
    </w:p>
    <w:p>
      <w:pPr>
        <w:pStyle w:val="Heading2"/>
        <w:keepNext/>
      </w:pPr>
      <w:r>
        <w:t>Why stable chunk IDs?</w:t>
      </w:r>
    </w:p>
    <w:p>
      <w:pPr/>
      <w:r>
        <w:rPr>
          <w:rFonts w:ascii="Calibri" w:hAnsi="Calibri"/>
          <w:color w:val="1F2937"/>
        </w:rPr>
        <w:t>The same identity links dense and sparse records, supports deterministic merging, and enables duplicate removal during fusion.</w:t>
      </w:r>
    </w:p>
    <w:p>
      <w:pPr>
        <w:pStyle w:val="Heading2"/>
        <w:keepNext/>
      </w:pPr>
      <w:r>
        <w:t>Why keep KPIs outside RAG?</w:t>
      </w:r>
    </w:p>
    <w:p>
      <w:pPr/>
      <w:r>
        <w:rPr>
          <w:rFonts w:ascii="Calibri" w:hAnsi="Calibri"/>
          <w:color w:val="1F2937"/>
        </w:rPr>
        <w:t>Structured values are more reliable for obvious metrics; RAG is reserved for commentary, risks, guidance, and comparisons that require document evidence.</w:t>
      </w:r>
    </w:p>
    <w:p>
      <w:pPr>
        <w:pStyle w:val="Heading2"/>
        <w:keepNext/>
      </w:pPr>
      <w:r>
        <w:t>What would you productionize first?</w:t>
      </w:r>
    </w:p>
    <w:p>
      <w:pPr/>
      <w:r>
        <w:rPr>
          <w:rFonts w:ascii="Calibri" w:hAnsi="Calibri"/>
          <w:color w:val="1F2937"/>
        </w:rPr>
        <w:t>OCR, multi-company structured data, automated source acquisition, authentication, live evaluation, monitoring, and a governed promise-review workflow.</w:t>
      </w:r>
    </w:p>
    <w:p>
      <w:pPr>
        <w:pStyle w:val="LeadCallout"/>
        <w:shd w:fill="E8EEF5"/>
        <w:pBdr>
          <w:left w:val="single" w:sz="16" w:space="8" w:color="2E74B5"/>
        </w:pBdr>
      </w:pPr>
      <w:r>
        <w:rPr>
          <w:rFonts w:ascii="Calibri" w:hAnsi="Calibri"/>
          <w:b/>
          <w:color w:val="0B2545"/>
          <w:sz w:val="21"/>
        </w:rPr>
        <w:t xml:space="preserve">Closing statement: </w:t>
      </w:r>
      <w:r>
        <w:rPr>
          <w:rFonts w:ascii="Calibri" w:hAnsi="Calibri"/>
          <w:color w:val="1F2937"/>
          <w:sz w:val="21"/>
        </w:rPr>
        <w:t>EarningsIQ demonstrates a practical RAG principle: retrieval is only useful when its scope, ranking, evidence, and limitations remain visible to the user.</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7085"/>
        <w:sz w:val="18"/>
      </w:rPr>
      <w:t xml:space="preserve">Page </w:t>
    </w:r>
    <w:r>
      <w:rPr>
        <w:rFonts w:ascii="Calibri" w:hAnsi="Calibri"/>
        <w:color w:val="667085"/>
        <w:sz w:val="18"/>
      </w:rPr>
      <w:fldChar w:fldCharType="begin"/>
      <w:instrText xml:space="preserve">PAGE</w:instrText>
      <w:fldChar w:fldCharType="separate"/>
      <w:t>1</w:t>
      <w:fldChar w:fldCharType="end"/>
    </w:r>
    <w:r>
      <w:rPr>
        <w:rFonts w:ascii="Calibri" w:hAnsi="Calibri"/>
        <w:color w:val="667085"/>
        <w:sz w:val="18"/>
      </w:rPr>
      <w:t xml:space="preserve">Page </w:t>
    </w:r>
    <w:r>
      <w:rPr>
        <w:rFonts w:ascii="Calibri" w:hAnsi="Calibri"/>
        <w:color w:val="66708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EARNINGSIQ  |  PROJECT WORKING &amp; DEMO GUIDE</w:t>
    </w:r>
    <w:r>
      <w:rPr>
        <w:rFonts w:ascii="Calibri" w:hAnsi="Calibri"/>
        <w:b/>
        <w:color w:val="667085"/>
        <w:sz w:val="17"/>
      </w:rPr>
      <w:t>EARNINGSIQ  |  PROJECT WORKING &amp; DEMO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basedOn w:val="Normal"/>
    <w:pPr>
      <w:spacing w:before="120" w:after="200" w:line="276" w:lineRule="auto"/>
      <w:ind w:left="230" w:right="173"/>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EarningsIQ - Project Working, Architecture and Live Demo Guide</dc:title>
  <dc:subject>Agentic Hybrid RAG project documentation</dc:subject>
  <dc:creator>EarningsIQ Project Team</dc:creator>
  <cp:keywords>RAG, hybrid retrieval, LangGraph, Pinecone, BM25, Streamlit</cp:keywords>
  <dc:description>Prepared from the validated local repository state on 24 August 2026.</dc:description>
  <cp:lastModifiedBy/>
  <cp:revision>1</cp:revision>
  <dcterms:created xsi:type="dcterms:W3CDTF">2013-12-23T23:15:00Z</dcterms:created>
  <dcterms:modified xsi:type="dcterms:W3CDTF">2013-12-23T23:15:00Z</dcterms:modified>
  <cp:category/>
</cp:coreProperties>
</file>