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07AC" w:rsidRPr="00A207AC" w:rsidRDefault="00A207AC" w:rsidP="00A207AC">
      <w:pPr>
        <w:rPr>
          <w:sz w:val="28"/>
        </w:rPr>
      </w:pPr>
      <w:r w:rsidRPr="00A207AC">
        <w:rPr>
          <w:b/>
          <w:sz w:val="28"/>
        </w:rPr>
        <w:t>Model Specification</w:t>
      </w:r>
    </w:p>
    <w:p w:rsidR="00A207AC" w:rsidRPr="00A207AC" w:rsidRDefault="00A207AC" w:rsidP="00A207AC">
      <w:r w:rsidRPr="00A207AC">
        <w:t xml:space="preserve">The EMOD model is an individual-based stochastic model of disease transmission, with support for campaign implementation, heterogeneous transmission, and spatially segregated populations coupled by individual-level migration; the software also includes sub-packages implementing “generic”, vector-borne, water-borne, airborne, and sexual disease transmission.  The EMOD software is available for </w:t>
      </w:r>
      <w:bookmarkStart w:id="0" w:name="_GoBack"/>
      <w:bookmarkEnd w:id="0"/>
      <w:r w:rsidRPr="00A207AC">
        <w:t xml:space="preserve">download at </w:t>
      </w:r>
      <w:hyperlink r:id="rId5" w:anchor="EMOD/EMODBuildAndRegression/BuildingEMODTOC.htm" w:history="1">
        <w:r w:rsidRPr="00A207AC">
          <w:rPr>
            <w:rStyle w:val="Hyperlink"/>
          </w:rPr>
          <w:t>http://idmod.org/idmdoc/#EMOD/EMODBuildAndRegression/BuildingEMODTOC.htm</w:t>
        </w:r>
      </w:hyperlink>
      <w:r w:rsidRPr="00A207AC">
        <w:t xml:space="preserve">. The model presented in this manuscript was developed within the EMOD “generic” simulation framework, implementing a discrete-time, individual-based form of </w:t>
      </w:r>
      <w:r>
        <w:t xml:space="preserve">a </w:t>
      </w:r>
      <w:r w:rsidRPr="00A207AC">
        <w:t>susceptible-exp</w:t>
      </w:r>
      <w:r>
        <w:t xml:space="preserve">osed-infectious-susceptible </w:t>
      </w:r>
      <w:r w:rsidRPr="00A207AC">
        <w:t>model.  Below, we review th</w:t>
      </w:r>
      <w:r>
        <w:t>e adjustments to a simple SEIS</w:t>
      </w:r>
      <w:r w:rsidRPr="00A207AC">
        <w:t xml:space="preserve"> model that were implemented in this model</w:t>
      </w:r>
      <w:r>
        <w:t xml:space="preserve"> to reflect polio immunology and</w:t>
      </w:r>
      <w:r w:rsidRPr="00A207AC">
        <w:t xml:space="preserve"> specify the model in terms of the individual-level state transition dynamics</w:t>
      </w:r>
      <w:r>
        <w:t>.</w:t>
      </w:r>
    </w:p>
    <w:p w:rsidR="00B941A2" w:rsidRDefault="00A207AC" w:rsidP="00A207AC">
      <w:r>
        <w:t xml:space="preserve">Individuals in the model exist in susceptible, exposed, and infectious states, with individuals returning to the susceptible state immediately upon clearance of an infection.  </w:t>
      </w:r>
      <w:r w:rsidR="00B941A2">
        <w:t>However, infections with wild or Sabin-strain attenuated poliovirus, as well as vaccination with the inactivated polio vaccine, are known to confer partial immunity to individuals.  Immunity in this model is characterized by two individual-level properties: acquisition-moderating immunity (</w:t>
      </w:r>
      <w:r w:rsidR="00B941A2" w:rsidRPr="00B941A2">
        <w:rPr>
          <w:b/>
        </w:rPr>
        <w:t>α</w:t>
      </w:r>
      <w:r w:rsidR="00B941A2">
        <w:t>), which modulates the probability of infection given exposure to infectivity, and applies in the susceptible state; and transmission-moderating immunity (</w:t>
      </w:r>
      <w:r w:rsidR="00B941A2" w:rsidRPr="00B941A2">
        <w:rPr>
          <w:b/>
        </w:rPr>
        <w:t>τ</w:t>
      </w:r>
      <w:r w:rsidR="00B941A2">
        <w:t xml:space="preserve">), which reduces the infectivity of an infectious individual.  Both </w:t>
      </w:r>
      <w:r w:rsidR="00B941A2" w:rsidRPr="00B941A2">
        <w:rPr>
          <w:b/>
        </w:rPr>
        <w:t>α</w:t>
      </w:r>
      <w:r w:rsidR="00B941A2">
        <w:rPr>
          <w:b/>
        </w:rPr>
        <w:t xml:space="preserve"> </w:t>
      </w:r>
      <w:r w:rsidR="00B941A2">
        <w:t xml:space="preserve">and </w:t>
      </w:r>
      <w:r w:rsidR="00B941A2" w:rsidRPr="00B941A2">
        <w:rPr>
          <w:b/>
        </w:rPr>
        <w:t>τ</w:t>
      </w:r>
      <w:r w:rsidR="00B941A2">
        <w:rPr>
          <w:b/>
        </w:rPr>
        <w:t xml:space="preserve"> </w:t>
      </w:r>
      <w:r w:rsidR="00B941A2">
        <w:t xml:space="preserve">are defined on [0, 1], and are defined such that a completely naïve individual has both properties equal to 1.  At </w:t>
      </w:r>
      <w:r w:rsidR="00B941A2" w:rsidRPr="00B941A2">
        <w:rPr>
          <w:b/>
        </w:rPr>
        <w:t>α</w:t>
      </w:r>
      <w:r w:rsidR="00B941A2" w:rsidRPr="00B941A2">
        <w:t>=0</w:t>
      </w:r>
      <w:r w:rsidR="00B941A2">
        <w:t xml:space="preserve">, an individual cannot be infected by any amount of exposure; at </w:t>
      </w:r>
      <w:r w:rsidR="00B941A2" w:rsidRPr="00B941A2">
        <w:rPr>
          <w:b/>
        </w:rPr>
        <w:t>τ</w:t>
      </w:r>
      <w:r w:rsidR="00B941A2" w:rsidRPr="00B941A2">
        <w:t>=0</w:t>
      </w:r>
      <w:r w:rsidR="00B941A2">
        <w:t xml:space="preserve">, an individual who becomes infected will not shed. </w:t>
      </w:r>
    </w:p>
    <w:p w:rsidR="001E23D9" w:rsidRPr="005D5906" w:rsidRDefault="001E23D9" w:rsidP="00A207AC">
      <w:r>
        <w:t xml:space="preserve">The parameters governing individual immunity are updated upon clearance of OPV infection or successful IPV vaccination.  In the event of multiple vaccinations or infections, the </w:t>
      </w:r>
      <w:r w:rsidRPr="00B941A2">
        <w:rPr>
          <w:b/>
        </w:rPr>
        <w:t>α</w:t>
      </w:r>
      <w:r>
        <w:rPr>
          <w:b/>
        </w:rPr>
        <w:t xml:space="preserve"> </w:t>
      </w:r>
      <w:r>
        <w:t xml:space="preserve">and </w:t>
      </w:r>
      <w:r w:rsidRPr="00B941A2">
        <w:rPr>
          <w:b/>
        </w:rPr>
        <w:t>τ</w:t>
      </w:r>
      <w:r>
        <w:rPr>
          <w:b/>
        </w:rPr>
        <w:t xml:space="preserve"> </w:t>
      </w:r>
      <w:r>
        <w:t xml:space="preserve">parameters stack multiplicatively; these parameters thus aim to model a per-infection effect on acquisition- and transmission-modulating immunity.  </w:t>
      </w:r>
      <w:r w:rsidR="00072AAC">
        <w:t>I</w:t>
      </w:r>
      <w:r w:rsidR="00151ECC">
        <w:t xml:space="preserve">PV vaccination behaves similarly, with per-dose effects on the two immunity channels, but IPV can provide two sets of effects; for individuals without a history of OPV infection, an IPV vaccination provides an individual with a small priming effect in each immunity channel, but for individuals with a history of OPV infection, IPV provides a larger boosting effect on immunity.  </w:t>
      </w:r>
      <w:r w:rsidR="005D5906">
        <w:t xml:space="preserve">As noted in the main text, </w:t>
      </w:r>
      <w:r w:rsidR="000A5003">
        <w:t>current support for an incremental</w:t>
      </w:r>
      <w:r w:rsidR="005D5906">
        <w:t xml:space="preserve"> effect </w:t>
      </w:r>
      <w:r w:rsidR="000A5003">
        <w:t xml:space="preserve">of additional IPV doses </w:t>
      </w:r>
      <w:r w:rsidR="005D5906">
        <w:t xml:space="preserve">on </w:t>
      </w:r>
      <w:r w:rsidR="000A5003">
        <w:t xml:space="preserve">the </w:t>
      </w:r>
      <w:r w:rsidR="005D5906">
        <w:t xml:space="preserve">mucosal immunity </w:t>
      </w:r>
      <w:r w:rsidR="000A5003">
        <w:t>of</w:t>
      </w:r>
      <w:r w:rsidR="005D5906">
        <w:t xml:space="preserve"> bOPV-exposed, OPV2-naïve children</w:t>
      </w:r>
      <w:r w:rsidR="000A5003">
        <w:t xml:space="preserve"> is not immediately apparent from the published literature. One recent study supports a dose-dependent effect while another finds no difference, though the two studies are in different settings and use different schedules</w:t>
      </w:r>
      <w:r w:rsidR="005D5906">
        <w:t>.</w:t>
      </w:r>
      <w:r w:rsidR="000A5003">
        <w:fldChar w:fldCharType="begin" w:fldLock="1"/>
      </w:r>
      <w:r w:rsidR="00BB43B9">
        <w:instrText>ADDIN CSL_CITATION { "citationItems" : [ { "id" : "ITEM-1",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"ITEM-1",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"mendeley" : { "formattedCitation" : "[1, 2]", "plainTextFormattedCitation" : "[1, 2]", "previouslyFormattedCitation" : "&lt;sup&gt;1,2&lt;/sup&gt;" }, "properties" : { "noteIndex" : 0 }, "schema" : "https://github.com/citation-style-language/schema/raw/master/csl-citation.json" }</w:instrText>
      </w:r>
      <w:r w:rsidR="000A5003">
        <w:fldChar w:fldCharType="separate"/>
      </w:r>
      <w:r w:rsidR="00BB43B9" w:rsidRPr="00BB43B9">
        <w:rPr>
          <w:noProof/>
        </w:rPr>
        <w:t>[1, 2]</w:t>
      </w:r>
      <w:r w:rsidR="000A5003">
        <w:fldChar w:fldCharType="end"/>
      </w:r>
      <w:r w:rsidR="005D5906">
        <w:t xml:space="preserve">  This model does in fact implement a dose-dependent response, as it is simpler to implement and it should not affect the results - only a single dose of IPV in RI is modeled and compared against zero doses.  A small subset of children in the model may receive the RI IPV, be missed by the subsequent OPV campaigns, but receive a second dose of IPV in outbreak response; this cohort is sufficiently small that its effects are overwhelmed by the uncertainties in other model features (Sabin 2 R</w:t>
      </w:r>
      <w:r w:rsidR="005D5906">
        <w:rPr>
          <w:vertAlign w:val="subscript"/>
        </w:rPr>
        <w:t>0</w:t>
      </w:r>
      <w:r w:rsidR="005D5906">
        <w:t xml:space="preserve">, overall demographics of immunity, migration rates and connections).  </w:t>
      </w:r>
    </w:p>
    <w:p w:rsidR="00A207AC" w:rsidRPr="00A207AC" w:rsidRDefault="00A207AC" w:rsidP="00A207AC">
      <w:r w:rsidRPr="00A207AC">
        <w:lastRenderedPageBreak/>
        <w:t>The infectious and incubation periods (γ and σ, respectively) were modeled using constant times spent in a compartment, rather than the exponential distribution implied by the rate parameters</w:t>
      </w:r>
      <w:r>
        <w:t xml:space="preserve"> in a standard SEIS</w:t>
      </w:r>
      <w:r w:rsidRPr="00A207AC">
        <w:t xml:space="preserve"> model, changing the parameters from rates to delays in the equations.  The mortality rate ν is implemented as a function of age ν(</w:t>
      </w:r>
      <w:r w:rsidRPr="00A207AC">
        <w:rPr>
          <w:i/>
        </w:rPr>
        <w:t>a</w:t>
      </w:r>
      <w:r w:rsidRPr="00A207AC">
        <w:t xml:space="preserve">), with values obtained from </w:t>
      </w:r>
      <w:r>
        <w:t>DHS</w:t>
      </w:r>
      <w:r w:rsidR="00A15A1B">
        <w:fldChar w:fldCharType="begin" w:fldLock="1"/>
      </w:r>
      <w:r w:rsidR="00BB43B9">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"[3]", "plainTextFormattedCitation" : "[3]", "previouslyFormattedCitation" : "&lt;sup&gt;3&lt;/sup&gt;" }, "properties" : { "noteIndex" : 0 }, "schema" : "https://github.com/citation-style-language/schema/raw/master/csl-citation.json" }</w:instrText>
      </w:r>
      <w:r w:rsidR="00A15A1B">
        <w:fldChar w:fldCharType="separate"/>
      </w:r>
      <w:r w:rsidR="00BB43B9" w:rsidRPr="00BB43B9">
        <w:rPr>
          <w:noProof/>
        </w:rPr>
        <w:t>[3]</w:t>
      </w:r>
      <w:r w:rsidR="00A15A1B">
        <w:fldChar w:fldCharType="end"/>
      </w:r>
      <w:r w:rsidRPr="00A207AC">
        <w:t xml:space="preserve">.  </w:t>
      </w:r>
      <w:r w:rsidR="002D7CA8">
        <w:t xml:space="preserve"> The model tracks only 0-5 year olds, as ~98% of all cVDPV2 paralysis cases in the AFRO region have arisen in this cohort.</w:t>
      </w:r>
      <w:r w:rsidR="00C0563C">
        <w:fldChar w:fldCharType="begin" w:fldLock="1"/>
      </w:r>
      <w:r w:rsidR="00BB43B9">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"[4]", "plainTextFormattedCitation" : "[4]", "previouslyFormattedCitation" : "&lt;sup&gt;4&lt;/sup&gt;" }, "properties" : { "noteIndex" : 0 }, "schema" : "https://github.com/citation-style-language/schema/raw/master/csl-citation.json" }</w:instrText>
      </w:r>
      <w:r w:rsidR="00C0563C">
        <w:fldChar w:fldCharType="separate"/>
      </w:r>
      <w:r w:rsidR="00BB43B9" w:rsidRPr="00BB43B9">
        <w:rPr>
          <w:noProof/>
        </w:rPr>
        <w:t>[4]</w:t>
      </w:r>
      <w:r w:rsidR="00C0563C">
        <w:fldChar w:fldCharType="end"/>
      </w:r>
      <w:r w:rsidR="002D7CA8">
        <w:t xml:space="preserve">  As the case load is concentrated in this age group, the authors think it likely that virus transmission is also highly concentrated in this cohort.  To the extent that silent circulation occurs in older cohorts, for the purposes of modeling, outbound and inbound transmission from the observable cohort to the silent cohort can be reduced to an effective transmission rate within the observable cohort.  The effective birth rate is adjusted to produce a population growth rate of 2.8% </w:t>
      </w:r>
      <w:r w:rsidR="00A15A1B">
        <w:t>per year</w:t>
      </w:r>
      <w:r w:rsidR="00A15A1B">
        <w:fldChar w:fldCharType="begin" w:fldLock="1"/>
      </w:r>
      <w:r w:rsidR="00BB43B9">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"[3]", "plainTextFormattedCitation" : "[3]", "previouslyFormattedCitation" : "&lt;sup&gt;3&lt;/sup&gt;" }, "properties" : { "noteIndex" : 0 }, "schema" : "https://github.com/citation-style-language/schema/raw/master/csl-citation.json" }</w:instrText>
      </w:r>
      <w:r w:rsidR="00A15A1B">
        <w:fldChar w:fldCharType="separate"/>
      </w:r>
      <w:r w:rsidR="00BB43B9" w:rsidRPr="00BB43B9">
        <w:rPr>
          <w:noProof/>
        </w:rPr>
        <w:t>[3]</w:t>
      </w:r>
      <w:r w:rsidR="00A15A1B">
        <w:fldChar w:fldCharType="end"/>
      </w:r>
      <w:r w:rsidR="00A15A1B">
        <w:t>.</w:t>
      </w:r>
    </w:p>
    <w:p w:rsidR="00A207AC" w:rsidRDefault="00A207AC" w:rsidP="00A207AC">
      <w:r w:rsidRPr="00A207AC">
        <w:t>The model includes a linear rising exp</w:t>
      </w:r>
      <w:r w:rsidR="00CE17CE">
        <w:t>osure to infectiousness with age.  This term is based on previous work modeling WPV1 paralysis cases in Kano state, Nigeria (reference), where the number of paralysis c</w:t>
      </w:r>
      <w:r w:rsidR="002D7CA8">
        <w:t xml:space="preserve">ases peaked at 2 years of age, and the age distribution of cVDPV2 cases in AFRO exhibits a similar shape.  </w:t>
      </w:r>
      <w:r w:rsidR="00CE17CE">
        <w:t>This apparent protection lasts too long to be solely the effect of maternal antibodies, and so this rising susceptibility was developed to incorporate the effects of both maternal antibodies and reduced overall mixing with older children</w:t>
      </w:r>
      <w:r w:rsidRPr="00A207AC">
        <w:t xml:space="preserve">.  </w:t>
      </w:r>
      <w:r w:rsidR="009C67B9">
        <w:t>Individual susceptibility vs. age is governed by the following equation:</w:t>
      </w:r>
    </w:p>
    <w:p w:rsidR="009C67B9" w:rsidRPr="009C67B9" w:rsidRDefault="00BB43B9" w:rsidP="009C67B9">
      <w:pPr>
        <w:jc w:val="center"/>
        <w:rPr>
          <w:rFonts w:eastAsiaTheme="minorEastAsia"/>
          <w:sz w:val="20"/>
          <w:szCs w:val="20"/>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 xml:space="preserve"> 0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a≤0</m:t>
                        </m:r>
                      </m:e>
                    </m:mr>
                    <m:m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     , 0&lt;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a&lt;1 </m:t>
                        </m:r>
                      </m:e>
                    </m:mr>
                    <m:mr>
                      <m:e>
                        <m:r>
                          <w:rPr>
                            <w:rFonts w:ascii="Cambria Math" w:eastAsia="Calibri" w:hAnsi="Cambria Math" w:cs="Times New Roman"/>
                          </w:rPr>
                          <m:t xml:space="preserve">1  </m:t>
                        </m:r>
                        <m:sSub>
                          <m:sSubPr>
                            <m:ctrlPr>
                              <w:rPr>
                                <w:rFonts w:ascii="Cambria Math" w:eastAsia="Calibri" w:hAnsi="Cambria Math" w:cs="Times New Roman"/>
                                <w:i/>
                              </w:rPr>
                            </m:ctrlPr>
                          </m:sSubPr>
                          <m:e>
                            <m:r>
                              <w:rPr>
                                <w:rFonts w:ascii="Cambria Math" w:eastAsia="Calibri" w:hAnsi="Cambria Math" w:cs="Times New Roman"/>
                              </w:rPr>
                              <m:t xml:space="preserve">             , 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a≥1</m:t>
                        </m:r>
                      </m:e>
                    </m:mr>
                  </m:m>
                </m:e>
              </m:d>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1</m:t>
                  </m:r>
                </m:e>
              </m:d>
            </m:e>
          </m:eqArr>
        </m:oMath>
      </m:oMathPara>
    </w:p>
    <w:p w:rsidR="009C67B9" w:rsidRDefault="00533CA4" w:rsidP="00A207AC">
      <w:r>
        <w:t>Secondary infections arising from individual campaigns are not separately tracked, preventing the tracking of separate VDPV lineages undergoing independent reversion.  R</w:t>
      </w:r>
      <w:r w:rsidR="009C67B9">
        <w:t>ather, infectivity is described as a function of time, held constant through the initial campaigns in the outbreak response and beginning to rise after the final campaign:</w:t>
      </w:r>
    </w:p>
    <w:p w:rsidR="009C67B9" w:rsidRPr="009C67B9" w:rsidRDefault="00BB43B9" w:rsidP="009C67B9">
      <w:pPr>
        <w:rPr>
          <w:rFonts w:eastAsiaTheme="minorEastAsia"/>
        </w:rPr>
      </w:pPr>
      <m:oMathPara>
        <m:oMath>
          <m:eqArr>
            <m:eqArrPr>
              <m:maxDist m:val="1"/>
              <m:ctrlPr>
                <w:rPr>
                  <w:rFonts w:ascii="Cambria Math" w:hAnsi="Cambria Math"/>
                  <w:i/>
                </w:rPr>
              </m:ctrlPr>
            </m:eqArr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r>
                <w:rPr>
                  <w:rFonts w:ascii="Cambria Math" w:hAnsi="Cambria Math"/>
                </w:rPr>
                <m:t>#</m:t>
              </m:r>
              <m:d>
                <m:dPr>
                  <m:ctrlPr>
                    <w:rPr>
                      <w:rFonts w:ascii="Cambria Math" w:hAnsi="Cambria Math"/>
                      <w:i/>
                    </w:rPr>
                  </m:ctrlPr>
                </m:dPr>
                <m:e>
                  <m:r>
                    <w:rPr>
                      <w:rFonts w:ascii="Cambria Math" w:hAnsi="Cambria Math"/>
                    </w:rPr>
                    <m:t>2</m:t>
                  </m:r>
                </m:e>
              </m:d>
            </m:e>
          </m:eqArr>
        </m:oMath>
      </m:oMathPara>
    </w:p>
    <w:p w:rsidR="00A207AC" w:rsidRPr="00840C9E" w:rsidRDefault="00A207AC" w:rsidP="00840C9E">
      <w:pPr>
        <w:autoSpaceDE w:val="0"/>
        <w:autoSpaceDN w:val="0"/>
        <w:adjustRightInd w:val="0"/>
        <w:spacing w:after="0" w:line="240" w:lineRule="auto"/>
        <w:rPr>
          <w:rFonts w:cs="Courier New"/>
          <w:color w:val="000000" w:themeColor="text1"/>
          <w:sz w:val="28"/>
          <w:szCs w:val="24"/>
        </w:rPr>
      </w:pPr>
      <w:r w:rsidRPr="00A207AC">
        <w:t>Individuals of any disease state and age migrate between metapopulations (nodes)</w:t>
      </w:r>
      <w:r w:rsidR="00CE17CE">
        <w:t xml:space="preserve">, which represent AdminL1 (provinces) of </w:t>
      </w:r>
      <w:r w:rsidR="00840C9E">
        <w:t>16</w:t>
      </w:r>
      <w:r w:rsidR="00CE17CE">
        <w:t xml:space="preserve"> West African countries</w:t>
      </w:r>
      <w:r w:rsidR="00840C9E">
        <w:t xml:space="preserve"> (</w:t>
      </w:r>
      <w:r w:rsidR="00840C9E" w:rsidRPr="00840C9E">
        <w:rPr>
          <w:rFonts w:cs="Courier New"/>
          <w:color w:val="000000" w:themeColor="text1"/>
          <w:szCs w:val="20"/>
        </w:rPr>
        <w:t xml:space="preserve">Senegal, Mauritania, Sierra Leone, Guinea, Liberia, </w:t>
      </w:r>
      <w:r w:rsidR="00840C9E">
        <w:rPr>
          <w:rFonts w:cs="Courier New"/>
          <w:color w:val="000000" w:themeColor="text1"/>
          <w:szCs w:val="20"/>
        </w:rPr>
        <w:t>Cote d’Ivoire,</w:t>
      </w:r>
      <w:r w:rsidR="00840C9E" w:rsidRPr="00840C9E">
        <w:rPr>
          <w:rFonts w:cs="Courier New"/>
          <w:color w:val="000000" w:themeColor="text1"/>
          <w:szCs w:val="20"/>
        </w:rPr>
        <w:t xml:space="preserve"> Mali, Burkina Faso, Ghana, Togo, Benin, Niger, Nigeria, Cameroon, Chad, Central African Republic</w:t>
      </w:r>
      <w:r w:rsidR="00840C9E">
        <w:t>)</w:t>
      </w:r>
      <w:r w:rsidRPr="00A207AC">
        <w:t>.</w:t>
      </w:r>
      <w:r w:rsidR="0009078D">
        <w:t xml:space="preserve">  </w:t>
      </w:r>
      <w:r w:rsidRPr="00A207AC">
        <w:t xml:space="preserve">  The infection process in a given node and at a given timestep is governed by individuals in that node at that timestep only.  Individuals migrate between nodes (from a home node </w:t>
      </w:r>
      <w:r w:rsidRPr="00A207AC">
        <w:rPr>
          <w:i/>
        </w:rPr>
        <w:t>i</w:t>
      </w:r>
      <w:r w:rsidRPr="00A207AC">
        <w:t xml:space="preserve"> to destination node </w:t>
      </w:r>
      <w:r w:rsidRPr="00A207AC">
        <w:rPr>
          <w:i/>
        </w:rPr>
        <w:t>j</w:t>
      </w:r>
      <w:r w:rsidRPr="00A207AC">
        <w:t>) with relative destination node rates according to a gravity-like model of migration; migration is modeled as one-day round-trips to prevent unrealistic population accumulation in the largest nodes.</w:t>
      </w:r>
    </w:p>
    <w:p w:rsidR="00007992" w:rsidRPr="009C67B9" w:rsidRDefault="00BB43B9" w:rsidP="00A207AC">
      <w:pPr>
        <w:rPr>
          <w:rFonts w:eastAsiaTheme="minorEastAsia"/>
        </w:rPr>
      </w:pPr>
      <m:oMathPara>
        <m:oMath>
          <m:eqArr>
            <m:eqArrPr>
              <m:maxDist m:val="1"/>
              <m:ctrlPr>
                <w:rPr>
                  <w:rFonts w:ascii="Cambria Math" w:eastAsiaTheme="minorEastAsia" w:hAnsi="Cambria Math"/>
                  <w:i/>
                </w:rPr>
              </m:ctrlPr>
            </m:eqArrPr>
            <m:e>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r>
                <w:rPr>
                  <w:rFonts w:ascii="Cambria Math" w:eastAsia="Calibri" w:hAnsi="Cambria Math" w:cs="Times New Roman"/>
                </w:rPr>
                <m:t>#</m:t>
              </m:r>
              <m:d>
                <m:dPr>
                  <m:ctrlPr>
                    <w:rPr>
                      <w:rFonts w:ascii="Cambria Math" w:eastAsiaTheme="minorEastAsia" w:hAnsi="Cambria Math"/>
                      <w:i/>
                    </w:rPr>
                  </m:ctrlPr>
                </m:dPr>
                <m:e>
                  <m:r>
                    <w:rPr>
                      <w:rFonts w:ascii="Cambria Math" w:eastAsiaTheme="minorEastAsia" w:hAnsi="Cambria Math"/>
                    </w:rPr>
                    <m:t>3</m:t>
                  </m:r>
                </m:e>
              </m:d>
              <m:ctrlPr>
                <w:rPr>
                  <w:rFonts w:ascii="Cambria Math" w:eastAsia="Calibri" w:hAnsi="Cambria Math" w:cs="Times New Roman"/>
                  <w:i/>
                </w:rPr>
              </m:ctrlPr>
            </m:e>
          </m:eqArr>
        </m:oMath>
      </m:oMathPara>
    </w:p>
    <w:p w:rsidR="00007992" w:rsidRPr="00007992" w:rsidRDefault="00305062" w:rsidP="00A207AC">
      <w:pPr>
        <w:rPr>
          <w:rFonts w:eastAsiaTheme="minorEastAsia"/>
        </w:rPr>
      </w:pPr>
      <w:r>
        <w:rPr>
          <w:rFonts w:eastAsiaTheme="minorEastAsia"/>
        </w:rPr>
        <w:t xml:space="preserve">Where </w:t>
      </w:r>
      <m:oMath>
        <m:r>
          <w:rPr>
            <w:rFonts w:ascii="Cambria Math" w:eastAsia="Calibri" w:hAnsi="Cambria Math" w:cs="Times New Roman"/>
          </w:rPr>
          <m:t>c</m:t>
        </m:r>
      </m:oMath>
      <w:r>
        <w:rPr>
          <w:rFonts w:eastAsiaTheme="minorEastAsia"/>
        </w:rPr>
        <w:t xml:space="preserve"> = 1 or 2 for the scenarios tested</w:t>
      </w:r>
      <w:r w:rsidR="00A15A1B">
        <w:rPr>
          <w:rFonts w:eastAsiaTheme="minorEastAsia"/>
        </w:rPr>
        <w:t>.</w:t>
      </w:r>
    </w:p>
    <w:p w:rsidR="00A207AC" w:rsidRPr="00A207AC" w:rsidRDefault="00A207AC" w:rsidP="00A207AC">
      <w:r w:rsidRPr="00A207AC">
        <w:rPr>
          <w:b/>
        </w:rPr>
        <w:t>Individual-level transitions</w:t>
      </w:r>
    </w:p>
    <w:p w:rsidR="00007992" w:rsidRDefault="00A207AC" w:rsidP="00E52227">
      <w:r w:rsidRPr="00A207AC">
        <w:lastRenderedPageBreak/>
        <w:t xml:space="preserve">With all of this in hand, individuals can be specified by a state space of {disease state </w:t>
      </w:r>
      <w:r w:rsidRPr="00A207AC">
        <w:rPr>
          <w:i/>
        </w:rPr>
        <w:t>X</w:t>
      </w:r>
      <w:r w:rsidRPr="00A207AC">
        <w:t xml:space="preserve">, age </w:t>
      </w:r>
      <w:r w:rsidRPr="00A207AC">
        <w:rPr>
          <w:i/>
        </w:rPr>
        <w:t>a</w:t>
      </w:r>
      <w:r w:rsidRPr="00A207AC">
        <w:t xml:space="preserve">, time in disease state </w:t>
      </w:r>
      <w:r w:rsidRPr="00A207AC">
        <w:rPr>
          <w:i/>
        </w:rPr>
        <w:t>t</w:t>
      </w:r>
      <w:r w:rsidRPr="00A207AC">
        <w:rPr>
          <w:i/>
          <w:vertAlign w:val="subscript"/>
        </w:rPr>
        <w:t>X</w:t>
      </w:r>
      <w:r w:rsidRPr="00A207AC">
        <w:rPr>
          <w:i/>
        </w:rPr>
        <w:t>,</w:t>
      </w:r>
      <w:r w:rsidRPr="00A207AC">
        <w:t xml:space="preserve"> home node </w:t>
      </w:r>
      <w:r w:rsidRPr="00A207AC">
        <w:rPr>
          <w:i/>
        </w:rPr>
        <w:t>i</w:t>
      </w:r>
      <w:r w:rsidRPr="00A207AC">
        <w:t xml:space="preserve">, current node </w:t>
      </w:r>
      <w:r w:rsidRPr="00A207AC">
        <w:rPr>
          <w:i/>
        </w:rPr>
        <w:t>j</w:t>
      </w:r>
      <w:r w:rsidR="004E4643">
        <w:rPr>
          <w:i/>
        </w:rPr>
        <w:t>,</w:t>
      </w:r>
      <w:r w:rsidR="004E4643">
        <w:t xml:space="preserve"> acquisition-modulating immunity α, transmission-modulating immunity τ</w:t>
      </w:r>
      <w:r w:rsidRPr="00A207AC">
        <w:t xml:space="preserve">}. The absolute simulation time </w:t>
      </w:r>
      <w:r w:rsidRPr="00A207AC">
        <w:rPr>
          <w:i/>
        </w:rPr>
        <w:t>t</w:t>
      </w:r>
      <w:r w:rsidRPr="00A207AC">
        <w:t xml:space="preserve"> also plays a role due to immunization campaigns on specific dates and seasonal dynamics; this simulation state variable is shared by all individuals.  Disease state transitions, vital dynamic transitions, and migration transitions are treated independently from one another, simplifying the specification of the transition space.  The individual-level state transitions are presented below in the order in which they are processed in simulation.</w:t>
      </w:r>
      <w:r w:rsidR="004E4643">
        <w:t xml:space="preserve">  </w:t>
      </w:r>
    </w:p>
    <w:p w:rsidR="00A207AC" w:rsidRPr="00A207AC" w:rsidRDefault="004E4643" w:rsidP="00A207AC">
      <w:r>
        <w:t>For the sake of readability, elements of the full state</w:t>
      </w:r>
      <m:oMath>
        <m:r>
          <w:rPr>
            <w:rFonts w:ascii="Cambria Math" w:hAnsi="Cambria Math"/>
          </w:rPr>
          <m:t xml:space="preserve"> {X,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oMath>
      <w:r>
        <w:rPr>
          <w:rFonts w:eastAsiaTheme="minorEastAsia"/>
        </w:rPr>
        <w:t xml:space="preserve"> that do not chan</w:t>
      </w:r>
      <w:r w:rsidR="000C101C">
        <w:rPr>
          <w:rFonts w:eastAsiaTheme="minorEastAsia"/>
        </w:rPr>
        <w:t>g</w:t>
      </w:r>
      <w:r>
        <w:rPr>
          <w:rFonts w:eastAsiaTheme="minorEastAsia"/>
        </w:rPr>
        <w:t>e in a given transition will be suppressed</w:t>
      </w:r>
      <w:r w:rsidR="00E52227">
        <w:rPr>
          <w:rFonts w:eastAsiaTheme="minorEastAsia"/>
        </w:rPr>
        <w:t xml:space="preserve">.  </w:t>
      </w:r>
      <w:r w:rsidR="00EE2918">
        <w:rPr>
          <w:i/>
        </w:rPr>
        <w:t xml:space="preserve">S, E, </w:t>
      </w:r>
      <w:r w:rsidR="00EE2918">
        <w:t xml:space="preserve">and </w:t>
      </w:r>
      <w:r w:rsidR="00EE2918">
        <w:rPr>
          <w:i/>
        </w:rPr>
        <w:t xml:space="preserve">I </w:t>
      </w:r>
      <w:r w:rsidR="00E52227" w:rsidRPr="00A207AC">
        <w:t xml:space="preserve">without subscripts </w:t>
      </w:r>
      <w:r w:rsidR="00E52227">
        <w:t xml:space="preserve">will </w:t>
      </w:r>
      <w:r w:rsidR="00E52227" w:rsidRPr="00A207AC">
        <w:t xml:space="preserve">indicate </w:t>
      </w:r>
      <w:r w:rsidR="00EE2918">
        <w:t>an individual’s disease state</w:t>
      </w:r>
      <w:r w:rsidR="00E52227" w:rsidRPr="00A207AC">
        <w:t xml:space="preserve">, and with subscripts </w:t>
      </w:r>
      <w:r w:rsidR="00E52227" w:rsidRPr="00A207AC">
        <w:rPr>
          <w:i/>
        </w:rPr>
        <w:t>j</w:t>
      </w:r>
      <w:r w:rsidR="00E52227" w:rsidRPr="00A207AC">
        <w:t xml:space="preserve"> </w:t>
      </w:r>
      <w:r w:rsidR="00E52227">
        <w:t xml:space="preserve">will </w:t>
      </w:r>
      <w:r w:rsidR="00E52227" w:rsidRPr="00A207AC">
        <w:t xml:space="preserve">indicate the total population in state </w:t>
      </w:r>
      <w:r w:rsidR="00E52227" w:rsidRPr="00A207AC">
        <w:rPr>
          <w:i/>
        </w:rPr>
        <w:t>X</w:t>
      </w:r>
      <w:r w:rsidR="00E52227" w:rsidRPr="00A207AC">
        <w:t xml:space="preserve"> in node </w:t>
      </w:r>
      <w:r w:rsidR="00E52227" w:rsidRPr="00A207AC">
        <w:rPr>
          <w:i/>
        </w:rPr>
        <w:t>j</w:t>
      </w:r>
      <w:r w:rsidR="00E52227" w:rsidRPr="00A207AC">
        <w:t xml:space="preserve">. </w:t>
      </w:r>
      <w:r w:rsidR="00E52227" w:rsidRPr="00A207AC">
        <w:rPr>
          <w:i/>
        </w:rPr>
        <w:t>N</w:t>
      </w:r>
      <w:r w:rsidR="00E52227" w:rsidRPr="00A207AC">
        <w:rPr>
          <w:i/>
        </w:rPr>
        <w:softHyphen/>
      </w:r>
      <w:r w:rsidR="00E52227" w:rsidRPr="00A207AC">
        <w:rPr>
          <w:i/>
          <w:vertAlign w:val="subscript"/>
        </w:rPr>
        <w:t>j</w:t>
      </w:r>
      <w:r w:rsidR="00E52227" w:rsidRPr="00A207AC">
        <w:rPr>
          <w:i/>
        </w:rPr>
        <w:t xml:space="preserve"> </w:t>
      </w:r>
      <w:r w:rsidR="00E52227" w:rsidRPr="00A207AC">
        <w:t xml:space="preserve">indicates the total population of node </w:t>
      </w:r>
      <w:r w:rsidR="00E52227" w:rsidRPr="00A207AC">
        <w:rPr>
          <w:i/>
        </w:rPr>
        <w:t>j</w:t>
      </w:r>
      <w:r w:rsidR="00E52227" w:rsidRPr="00A207AC">
        <w:t xml:space="preserve">.  </w:t>
      </w:r>
    </w:p>
    <w:p w:rsidR="00A207AC" w:rsidRDefault="00A207AC" w:rsidP="00A207AC">
      <w:r w:rsidRPr="00A207AC">
        <w:t>The first transition in a given timestep is aging:</w:t>
      </w:r>
    </w:p>
    <w:p w:rsidR="00007992" w:rsidRPr="00007992" w:rsidRDefault="00BB43B9" w:rsidP="00A207AC">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r>
                        <w:rPr>
                          <w:rFonts w:ascii="Cambria Math" w:hAnsi="Cambria Math"/>
                        </w:rPr>
                        <m:t>a+</m:t>
                      </m:r>
                      <m:r>
                        <m:rPr>
                          <m:sty m:val="p"/>
                        </m:rPr>
                        <w:rPr>
                          <w:rFonts w:ascii="Cambria Math" w:hAnsi="Cambria Math"/>
                        </w:rPr>
                        <m:t>Δ</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r>
                        <m:rPr>
                          <m:sty m:val="p"/>
                        </m:rPr>
                        <w:rPr>
                          <w:rFonts w:ascii="Cambria Math" w:hAnsi="Cambria Math"/>
                        </w:rPr>
                        <m:t>Δ</m:t>
                      </m:r>
                    </m:e>
                  </m:d>
                </m:e>
              </m:d>
              <m:r>
                <w:rPr>
                  <w:rFonts w:ascii="Cambria Math" w:hAnsi="Cambria Math"/>
                </w:rPr>
                <m:t>=1#</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rsidR="00A207AC" w:rsidRPr="00A207AC" w:rsidRDefault="00A207AC" w:rsidP="00A207AC">
      <w:r w:rsidRPr="00A207AC">
        <w:t>Next,</w:t>
      </w:r>
      <w:r w:rsidR="004E4643">
        <w:t xml:space="preserve"> OPV and IPV</w:t>
      </w:r>
      <w:r w:rsidRPr="00A207AC">
        <w:t xml:space="preserve"> immunization interventions are processed:</w:t>
      </w:r>
    </w:p>
    <w:tbl>
      <w:tblPr>
        <w:tblStyle w:val="TableGrid"/>
        <w:tblW w:w="9445" w:type="dxa"/>
        <w:tblLook w:val="04A0" w:firstRow="1" w:lastRow="0" w:firstColumn="1" w:lastColumn="0" w:noHBand="0" w:noVBand="1"/>
      </w:tblPr>
      <w:tblGrid>
        <w:gridCol w:w="2155"/>
        <w:gridCol w:w="7290"/>
      </w:tblGrid>
      <w:tr w:rsidR="00007992" w:rsidRPr="00A207AC" w:rsidTr="000C101C">
        <w:tc>
          <w:tcPr>
            <w:tcW w:w="2155" w:type="dxa"/>
          </w:tcPr>
          <w:p w:rsidR="00007992" w:rsidRPr="00A207AC" w:rsidRDefault="000C101C" w:rsidP="00305062">
            <w:pPr>
              <w:rPr>
                <w:rFonts w:ascii="Calibri" w:eastAsia="Calibri" w:hAnsi="Calibri" w:cs="Times New Roman"/>
              </w:rPr>
            </w:pPr>
            <w:r>
              <w:rPr>
                <w:rFonts w:ascii="Calibri" w:eastAsia="Calibri" w:hAnsi="Calibri" w:cs="Times New Roman"/>
              </w:rPr>
              <w:t>IPV immunization:</w:t>
            </w:r>
          </w:p>
        </w:tc>
        <w:tc>
          <w:tcPr>
            <w:tcW w:w="7290" w:type="dxa"/>
          </w:tcPr>
          <w:p w:rsidR="00007992" w:rsidRPr="000C101C" w:rsidRDefault="00BB43B9" w:rsidP="009C67B9">
            <w:pPr>
              <w:rPr>
                <w:rFonts w:ascii="Calibri" w:eastAsia="Calibri" w:hAnsi="Calibri" w:cs="Times New Roman"/>
              </w:rPr>
            </w:pPr>
            <m:oMathPara>
              <m:oMathParaPr>
                <m:jc m:val="left"/>
              </m:oMathParaPr>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α, τ</m:t>
                            </m:r>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α</m:t>
                                </m:r>
                                <m:ctrlPr>
                                  <w:rPr>
                                    <w:rFonts w:ascii="Cambria Math" w:hAnsi="Cambria Math"/>
                                    <w:i/>
                                  </w:rPr>
                                </m:ctrlPr>
                              </m:e>
                              <m:sup>
                                <m:r>
                                  <m:rPr>
                                    <m:sty m:val="p"/>
                                  </m:rP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xml:space="preserve"> </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r>
                      <w:rPr>
                        <w:rFonts w:ascii="Cambria Math" w:hAnsi="Cambria Math"/>
                      </w:rPr>
                      <m:t xml:space="preserve">                                        #(5)##</m:t>
                    </m:r>
                    <m:ctrlPr>
                      <w:rPr>
                        <w:rFonts w:ascii="Cambria Math" w:hAnsi="Cambria Math"/>
                        <w:i/>
                      </w:rPr>
                    </m:ctrlPr>
                  </m:e>
                </m:eqArr>
              </m:oMath>
            </m:oMathPara>
          </w:p>
        </w:tc>
      </w:tr>
      <w:tr w:rsidR="00007992" w:rsidRPr="00A207AC" w:rsidTr="000C101C">
        <w:tc>
          <w:tcPr>
            <w:tcW w:w="2155" w:type="dxa"/>
          </w:tcPr>
          <w:p w:rsidR="00007992" w:rsidRDefault="00007992" w:rsidP="00305062">
            <w:pPr>
              <w:rPr>
                <w:rFonts w:ascii="Calibri" w:eastAsia="Calibri" w:hAnsi="Calibri" w:cs="Times New Roman"/>
              </w:rPr>
            </w:pPr>
            <w:r>
              <w:rPr>
                <w:rFonts w:ascii="Calibri" w:eastAsia="Calibri" w:hAnsi="Calibri" w:cs="Times New Roman"/>
              </w:rPr>
              <w:t>OPV immunization</w:t>
            </w:r>
            <w:r w:rsidR="000C101C">
              <w:rPr>
                <w:rFonts w:ascii="Calibri" w:eastAsia="Calibri" w:hAnsi="Calibri" w:cs="Times New Roman"/>
              </w:rPr>
              <w:t>:</w:t>
            </w:r>
          </w:p>
        </w:tc>
        <w:tc>
          <w:tcPr>
            <w:tcW w:w="7290" w:type="dxa"/>
          </w:tcPr>
          <w:p w:rsidR="000C101C" w:rsidRPr="000C101C" w:rsidRDefault="00BB43B9"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E,0</m:t>
                            </m:r>
                          </m:e>
                        </m:d>
                      </m:e>
                    </m:d>
                    <m:r>
                      <w:rPr>
                        <w:rFonts w:ascii="Cambria Math" w:eastAsia="Calibri" w:hAnsi="Cambria Math" w:cs="Times New Roman"/>
                      </w:rPr>
                      <m:t>=τ</m:t>
                    </m:r>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kj</m:t>
                        </m:r>
                      </m:sub>
                    </m:sSub>
                    <m:r>
                      <w:rPr>
                        <w:rFonts w:ascii="Cambria Math" w:eastAsia="Calibri" w:hAnsi="Cambria Math" w:cs="Times New Roman"/>
                      </w:rPr>
                      <m:t>δ</m:t>
                    </m:r>
                    <m:d>
                      <m:dPr>
                        <m:ctrlPr>
                          <w:rPr>
                            <w:rFonts w:ascii="Cambria Math" w:eastAsia="Calibri" w:hAnsi="Cambria Math" w:cs="Times New Roman"/>
                            <w:i/>
                          </w:rPr>
                        </m:ctrlPr>
                      </m:dPr>
                      <m:e>
                        <m:r>
                          <w:rPr>
                            <w:rFonts w:ascii="Cambria Math" w:eastAsia="Calibri" w:hAnsi="Cambria Math" w:cs="Times New Roman"/>
                          </w:rPr>
                          <m:t>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k</m:t>
                            </m:r>
                          </m:sub>
                        </m:sSub>
                      </m:e>
                    </m:d>
                    <m:r>
                      <w:rPr>
                        <w:rFonts w:ascii="Cambria Math" w:eastAsia="Calibri" w:hAnsi="Cambria Math" w:cs="Times New Roman"/>
                      </w:rPr>
                      <m:t xml:space="preserve">                                         #</m:t>
                    </m:r>
                    <m:d>
                      <m:dPr>
                        <m:ctrlPr>
                          <w:rPr>
                            <w:rFonts w:ascii="Cambria Math" w:eastAsia="Calibri" w:hAnsi="Cambria Math" w:cs="Times New Roman"/>
                            <w:i/>
                          </w:rPr>
                        </m:ctrlPr>
                      </m:dPr>
                      <m:e>
                        <m:r>
                          <w:rPr>
                            <w:rFonts w:ascii="Cambria Math" w:eastAsia="Calibri" w:hAnsi="Cambria Math" w:cs="Times New Roman"/>
                          </w:rPr>
                          <m:t>6</m:t>
                        </m:r>
                      </m:e>
                    </m:d>
                  </m:e>
                </m:eqArr>
              </m:oMath>
            </m:oMathPara>
          </w:p>
        </w:tc>
      </w:tr>
    </w:tbl>
    <w:p w:rsidR="000C101C" w:rsidRPr="00A207AC" w:rsidRDefault="00A207AC" w:rsidP="00A207AC">
      <w:pPr>
        <w:rPr>
          <w:rFonts w:eastAsiaTheme="minorEastAsia"/>
        </w:rPr>
      </w:pPr>
      <w:r w:rsidRPr="00A207AC">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kj</m:t>
            </m:r>
          </m:sub>
        </m:sSub>
      </m:oMath>
      <w:r w:rsidRPr="00A207AC">
        <w:rPr>
          <w:rFonts w:eastAsiaTheme="minorEastAsia"/>
        </w:rPr>
        <w:t xml:space="preserve"> indicates the effective coverage of </w:t>
      </w:r>
      <w:r w:rsidR="004E4643">
        <w:rPr>
          <w:rFonts w:eastAsiaTheme="minorEastAsia"/>
        </w:rPr>
        <w:t xml:space="preserve">the </w:t>
      </w:r>
      <w:r w:rsidRPr="00A207AC">
        <w:rPr>
          <w:rFonts w:eastAsiaTheme="minorEastAsia"/>
        </w:rPr>
        <w:t xml:space="preserve">campaign </w:t>
      </w:r>
      <w:r w:rsidRPr="00A207AC">
        <w:rPr>
          <w:rFonts w:eastAsiaTheme="minorEastAsia"/>
          <w:i/>
        </w:rPr>
        <w:t xml:space="preserve">k </w:t>
      </w:r>
      <w:r w:rsidRPr="00A207AC">
        <w:rPr>
          <w:rFonts w:eastAsiaTheme="minorEastAsia"/>
        </w:rPr>
        <w:t xml:space="preserve">in node </w:t>
      </w:r>
      <w:r w:rsidRPr="00A207AC">
        <w:rPr>
          <w:rFonts w:eastAsiaTheme="minorEastAsia"/>
          <w:i/>
        </w:rPr>
        <w:t>j</w:t>
      </w:r>
      <w:r w:rsidR="004E4643">
        <w:rPr>
          <w:rFonts w:eastAsiaTheme="minorEastAsia"/>
          <w:i/>
        </w:rPr>
        <w:t xml:space="preserve"> </w:t>
      </w:r>
      <w:r w:rsidR="004E4643">
        <w:rPr>
          <w:rFonts w:eastAsiaTheme="minorEastAsia"/>
        </w:rPr>
        <w:t>(accounting for the effective take of OPV)</w:t>
      </w:r>
      <w:r w:rsidRPr="00A207AC">
        <w:rPr>
          <w:rFonts w:eastAsiaTheme="minorEastAsia"/>
        </w:rPr>
        <w:t xml:space="preserve">, </w:t>
      </w:r>
      <m:oMath>
        <m:r>
          <w:rPr>
            <w:rFonts w:ascii="Cambria Math" w:eastAsiaTheme="minorEastAsia" w:hAnsi="Cambria Math"/>
          </w:rPr>
          <m:t>δ</m:t>
        </m:r>
      </m:oMath>
      <w:r w:rsidRPr="00A207AC">
        <w:rPr>
          <w:rFonts w:eastAsiaTheme="minorEastAsia"/>
        </w:rPr>
        <w:t xml:space="preserve"> is the Kronecker delta function,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oMath>
      <w:r w:rsidRPr="00A207AC">
        <w:rPr>
          <w:rFonts w:eastAsiaTheme="minorEastAsia"/>
        </w:rPr>
        <w:t xml:space="preserve"> is the date of campaign </w:t>
      </w:r>
      <w:r w:rsidRPr="00A207AC">
        <w:rPr>
          <w:rFonts w:eastAsiaTheme="minorEastAsia"/>
          <w:i/>
        </w:rPr>
        <w:t>k</w:t>
      </w:r>
      <w:r w:rsidRPr="00A207AC">
        <w:rPr>
          <w:rFonts w:eastAsiaTheme="minorEastAsia"/>
        </w:rPr>
        <w:t xml:space="preserve">. </w:t>
      </w:r>
    </w:p>
    <w:p w:rsidR="00A207AC" w:rsidRDefault="00A207AC" w:rsidP="00A207AC">
      <w:pPr>
        <w:rPr>
          <w:rFonts w:eastAsiaTheme="minorEastAsia"/>
        </w:rPr>
      </w:pPr>
      <w:r w:rsidRPr="00A207AC">
        <w:rPr>
          <w:rFonts w:eastAsiaTheme="minorEastAsia"/>
        </w:rPr>
        <w:t xml:space="preserve">The infectious dynamics </w:t>
      </w:r>
      <w:r w:rsidR="00E52227">
        <w:rPr>
          <w:rFonts w:eastAsiaTheme="minorEastAsia"/>
        </w:rPr>
        <w:t>follow:</w:t>
      </w:r>
    </w:p>
    <w:p w:rsidR="00E52227" w:rsidRPr="00E52227" w:rsidRDefault="00E52227" w:rsidP="00A207AC">
      <w:pPr>
        <w:rPr>
          <w:rFonts w:eastAsiaTheme="minorEastAsia"/>
        </w:rPr>
      </w:pPr>
      <w:r>
        <w:rPr>
          <w:rFonts w:eastAsiaTheme="minorEastAsia"/>
        </w:rPr>
        <w:t xml:space="preserve">The total infectiousness in node </w:t>
      </w:r>
      <w:r>
        <w:rPr>
          <w:rFonts w:eastAsiaTheme="minorEastAsia"/>
          <w:i/>
        </w:rPr>
        <w:t xml:space="preserve">j </w:t>
      </w:r>
      <w:r>
        <w:rPr>
          <w:rFonts w:eastAsiaTheme="minorEastAsia"/>
        </w:rPr>
        <w:t xml:space="preserve">is given by the sum over infectious individuals </w:t>
      </w:r>
      <w:r>
        <w:rPr>
          <w:rFonts w:eastAsiaTheme="minorEastAsia"/>
          <w:i/>
        </w:rPr>
        <w:t>k</w:t>
      </w:r>
      <w:r>
        <w:rPr>
          <w:rFonts w:eastAsiaTheme="minorEastAsia"/>
        </w:rPr>
        <w:t xml:space="preserve"> in node </w:t>
      </w:r>
      <w:r>
        <w:rPr>
          <w:rFonts w:eastAsiaTheme="minorEastAsia"/>
          <w:i/>
        </w:rPr>
        <w:t>j:</w:t>
      </w:r>
    </w:p>
    <w:p w:rsidR="00E52227" w:rsidRPr="00E52227" w:rsidRDefault="00BB43B9" w:rsidP="00A207AC">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β</m:t>
                  </m:r>
                </m:e>
                <m:sub>
                  <m:r>
                    <w:rPr>
                      <w:rFonts w:ascii="Cambria Math" w:eastAsiaTheme="minorEastAsia" w:hAnsi="Cambria Math"/>
                    </w:rPr>
                    <m:t>tot, 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up>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k</m:t>
                      </m:r>
                    </m:sub>
                  </m:sSub>
                  <m:r>
                    <w:rPr>
                      <w:rFonts w:ascii="Cambria Math" w:eastAsiaTheme="minorEastAsia" w:hAnsi="Cambria Math"/>
                    </w:rPr>
                    <m:t>*β</m:t>
                  </m:r>
                </m:e>
              </m:nary>
              <m:r>
                <w:rPr>
                  <w:rFonts w:ascii="Cambria Math" w:eastAsiaTheme="minorEastAsia" w:hAnsi="Cambria Math"/>
                </w:rPr>
                <m:t>#</m:t>
              </m:r>
            </m:e>
          </m:eqArr>
          <m:d>
            <m:dPr>
              <m:ctrlPr>
                <w:rPr>
                  <w:rFonts w:ascii="Cambria Math" w:eastAsiaTheme="minorEastAsia" w:hAnsi="Cambria Math"/>
                  <w:i/>
                </w:rPr>
              </m:ctrlPr>
            </m:dPr>
            <m:e>
              <m:r>
                <w:rPr>
                  <w:rFonts w:ascii="Cambria Math" w:eastAsiaTheme="minorEastAsia" w:hAnsi="Cambria Math"/>
                </w:rPr>
                <m:t>7</m:t>
              </m:r>
            </m:e>
          </m:d>
        </m:oMath>
      </m:oMathPara>
    </w:p>
    <w:p w:rsidR="00E52227" w:rsidRPr="00E52227" w:rsidRDefault="00E52227" w:rsidP="00A207AC">
      <w:pPr>
        <w:rPr>
          <w:rFonts w:eastAsiaTheme="minorEastAsia"/>
        </w:rPr>
      </w:pPr>
    </w:p>
    <w:tbl>
      <w:tblPr>
        <w:tblStyle w:val="TableGrid"/>
        <w:tblW w:w="9805" w:type="dxa"/>
        <w:tblLook w:val="04A0" w:firstRow="1" w:lastRow="0" w:firstColumn="1" w:lastColumn="0" w:noHBand="0" w:noVBand="1"/>
      </w:tblPr>
      <w:tblGrid>
        <w:gridCol w:w="9805"/>
      </w:tblGrid>
      <w:tr w:rsidR="000C101C" w:rsidRPr="00A207AC" w:rsidTr="000C101C">
        <w:trPr>
          <w:trHeight w:val="530"/>
        </w:trPr>
        <w:tc>
          <w:tcPr>
            <w:tcW w:w="9805" w:type="dxa"/>
          </w:tcPr>
          <w:p w:rsidR="000C101C" w:rsidRPr="000C101C" w:rsidRDefault="00BB43B9"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 0</m:t>
                            </m:r>
                          </m:e>
                        </m:d>
                      </m:e>
                    </m:d>
                    <m:r>
                      <w:rPr>
                        <w:rFonts w:ascii="Cambria Math" w:eastAsia="Calibri" w:hAnsi="Cambria Math" w:cs="Times New Roman"/>
                      </w:rPr>
                      <m:t>=1-ex</m:t>
                    </m:r>
                    <m:func>
                      <m:funcPr>
                        <m:ctrlPr>
                          <w:rPr>
                            <w:rFonts w:ascii="Cambria Math" w:eastAsia="Calibri" w:hAnsi="Cambria Math" w:cs="Times New Roman"/>
                            <w:i/>
                          </w:rPr>
                        </m:ctrlPr>
                      </m:funcPr>
                      <m:fName>
                        <m:r>
                          <w:rPr>
                            <w:rFonts w:ascii="Cambria Math" w:eastAsia="Calibri" w:hAnsi="Cambria Math" w:cs="Times New Roman"/>
                          </w:rPr>
                          <m:t>p</m:t>
                        </m:r>
                      </m:fName>
                      <m:e>
                        <m:d>
                          <m:dPr>
                            <m:ctrlPr>
                              <w:rPr>
                                <w:rFonts w:ascii="Cambria Math" w:eastAsia="Calibri" w:hAnsi="Cambria Math" w:cs="Times New Roman"/>
                                <w:i/>
                              </w:rPr>
                            </m:ctrlPr>
                          </m:dPr>
                          <m:e>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Δ</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tot, j</m:t>
                                    </m:r>
                                  </m:sub>
                                </m:sSub>
                                <m:r>
                                  <w:rPr>
                                    <w:rFonts w:ascii="Cambria Math" w:eastAsia="Calibri" w:hAnsi="Cambria Math" w:cs="Times New Roman"/>
                                  </w:rPr>
                                  <m:t>*α</m:t>
                                </m:r>
                              </m:num>
                              <m:den>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j</m:t>
                                    </m:r>
                                  </m:sub>
                                </m:sSub>
                                <m:d>
                                  <m:dPr>
                                    <m:ctrlPr>
                                      <w:rPr>
                                        <w:rFonts w:ascii="Cambria Math" w:eastAsia="Calibri" w:hAnsi="Cambria Math" w:cs="Times New Roman"/>
                                        <w:i/>
                                      </w:rPr>
                                    </m:ctrlPr>
                                  </m:dPr>
                                  <m:e>
                                    <m:r>
                                      <w:rPr>
                                        <w:rFonts w:ascii="Cambria Math" w:eastAsia="Calibri" w:hAnsi="Cambria Math" w:cs="Times New Roman"/>
                                      </w:rPr>
                                      <m:t>t</m:t>
                                    </m:r>
                                  </m:e>
                                </m:d>
                              </m:den>
                            </m:f>
                          </m:e>
                        </m:d>
                      </m:e>
                    </m:func>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8</m:t>
                        </m:r>
                      </m:e>
                    </m:d>
                  </m:e>
                </m:eqArr>
              </m:oMath>
            </m:oMathPara>
          </w:p>
        </w:tc>
      </w:tr>
      <w:tr w:rsidR="000C101C" w:rsidRPr="00A207AC" w:rsidTr="000C101C">
        <w:tc>
          <w:tcPr>
            <w:tcW w:w="9805" w:type="dxa"/>
          </w:tcPr>
          <w:p w:rsidR="000C101C" w:rsidRPr="000C101C" w:rsidRDefault="00BB43B9" w:rsidP="009C67B9">
            <w:pPr>
              <w:rPr>
                <w:rFonts w:ascii="Calibri" w:eastAsia="Calibri" w:hAnsi="Calibri" w:cs="Times New Roman"/>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tc>
      </w:tr>
      <w:tr w:rsidR="000C101C" w:rsidRPr="00A207AC" w:rsidTr="000C101C">
        <w:trPr>
          <w:trHeight w:val="467"/>
        </w:trPr>
        <w:tc>
          <w:tcPr>
            <w:tcW w:w="9805" w:type="dxa"/>
          </w:tcPr>
          <w:p w:rsidR="000C101C" w:rsidRPr="000C101C" w:rsidRDefault="00BB43B9"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r>
                      <w:rPr>
                        <w:rFonts w:ascii="Cambria Math" w:hAnsi="Cambria Math"/>
                      </w:rPr>
                      <m:t>#</m:t>
                    </m:r>
                    <m:d>
                      <m:dPr>
                        <m:ctrlPr>
                          <w:rPr>
                            <w:rFonts w:ascii="Cambria Math" w:eastAsia="Calibri" w:hAnsi="Cambria Math" w:cs="Times New Roman"/>
                            <w:i/>
                          </w:rPr>
                        </m:ctrlPr>
                      </m:dPr>
                      <m:e>
                        <m:r>
                          <w:rPr>
                            <w:rFonts w:ascii="Cambria Math" w:eastAsia="Calibri" w:hAnsi="Cambria Math" w:cs="Times New Roman"/>
                          </w:rPr>
                          <m:t>10</m:t>
                        </m:r>
                      </m:e>
                    </m:d>
                    <m:ctrlPr>
                      <w:rPr>
                        <w:rFonts w:ascii="Cambria Math" w:hAnsi="Cambria Math"/>
                        <w:i/>
                      </w:rPr>
                    </m:ctrlPr>
                  </m:e>
                </m:eqArr>
              </m:oMath>
            </m:oMathPara>
          </w:p>
        </w:tc>
      </w:tr>
    </w:tbl>
    <w:p w:rsidR="00A207AC" w:rsidRPr="00A207AC" w:rsidRDefault="00A207AC" w:rsidP="00A207AC">
      <w:r w:rsidRPr="00A207AC">
        <w:t xml:space="preserve">Deaths are processed next: </w:t>
      </w:r>
    </w:p>
    <w:tbl>
      <w:tblPr>
        <w:tblStyle w:val="TableGrid"/>
        <w:tblW w:w="9805" w:type="dxa"/>
        <w:tblLook w:val="04A0" w:firstRow="1" w:lastRow="0" w:firstColumn="1" w:lastColumn="0" w:noHBand="0" w:noVBand="1"/>
      </w:tblPr>
      <w:tblGrid>
        <w:gridCol w:w="9805"/>
      </w:tblGrid>
      <w:tr w:rsidR="000C101C" w:rsidRPr="00A207AC" w:rsidTr="000C101C">
        <w:trPr>
          <w:trHeight w:val="458"/>
        </w:trPr>
        <w:tc>
          <w:tcPr>
            <w:tcW w:w="9805" w:type="dxa"/>
          </w:tcPr>
          <w:p w:rsidR="000C101C" w:rsidRPr="000C101C" w:rsidRDefault="00BB43B9"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e>
                        </m:d>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m:t>
                    </m:r>
                    <m:r>
                      <m:rPr>
                        <m:sty m:val="p"/>
                      </m:rPr>
                      <w:rPr>
                        <w:rFonts w:ascii="Cambria Math" w:hAnsi="Cambria Math"/>
                      </w:rPr>
                      <m:t>Δ</m:t>
                    </m:r>
                    <m:r>
                      <w:rPr>
                        <w:rFonts w:ascii="Cambria Math" w:hAnsi="Cambria Math"/>
                      </w:rPr>
                      <m:t>ν</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tc>
      </w:tr>
    </w:tbl>
    <w:p w:rsidR="00A207AC" w:rsidRPr="00A207AC" w:rsidRDefault="00A207AC" w:rsidP="00A207AC">
      <w:r w:rsidRPr="00A207AC">
        <w:lastRenderedPageBreak/>
        <w:t xml:space="preserve">Followed by migration – again, outbound migration follows the rates in Eq. </w:t>
      </w:r>
      <w:r w:rsidR="00305BEA">
        <w:fldChar w:fldCharType="begin"/>
      </w:r>
      <w:r w:rsidR="00305BEA">
        <w:instrText xml:space="preserve"> REF _Ref456038182 \h </w:instrText>
      </w:r>
      <w:r w:rsidR="00305BEA">
        <w:fldChar w:fldCharType="separate"/>
      </w:r>
      <w:r w:rsidR="00305BEA" w:rsidRPr="00A207AC">
        <w:t xml:space="preserve">( </w:t>
      </w:r>
      <w:r w:rsidR="00305BEA" w:rsidRPr="00A207AC">
        <w:rPr>
          <w:noProof/>
        </w:rPr>
        <w:t>2</w:t>
      </w:r>
      <w:r w:rsidR="00305BEA" w:rsidRPr="00A207AC">
        <w:t xml:space="preserve"> )</w:t>
      </w:r>
      <w:r w:rsidR="00305BEA">
        <w:fldChar w:fldCharType="end"/>
      </w:r>
      <w:r w:rsidR="00305BEA">
        <w:t xml:space="preserve">, </w:t>
      </w:r>
      <w:r w:rsidR="00890691">
        <w:t>and</w:t>
      </w:r>
      <w:r w:rsidRPr="00A207AC">
        <w:t xml:space="preserve"> homebound migration always takes place the following </w:t>
      </w:r>
      <w:r w:rsidR="00305BEA">
        <w:t>timestep</w:t>
      </w:r>
      <w:r w:rsidRPr="00A207AC">
        <w:t>:</w:t>
      </w:r>
    </w:p>
    <w:tbl>
      <w:tblPr>
        <w:tblStyle w:val="TableGrid"/>
        <w:tblW w:w="9805" w:type="dxa"/>
        <w:tblLook w:val="04A0" w:firstRow="1" w:lastRow="0" w:firstColumn="1" w:lastColumn="0" w:noHBand="0" w:noVBand="1"/>
      </w:tblPr>
      <w:tblGrid>
        <w:gridCol w:w="9805"/>
      </w:tblGrid>
      <w:tr w:rsidR="000C101C" w:rsidRPr="00A207AC" w:rsidTr="000C101C">
        <w:tc>
          <w:tcPr>
            <w:tcW w:w="9805" w:type="dxa"/>
          </w:tcPr>
          <w:p w:rsidR="000C101C" w:rsidRPr="000C101C" w:rsidRDefault="00BB43B9"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i, i</m:t>
                            </m:r>
                          </m:e>
                        </m:d>
                        <m:r>
                          <w:rPr>
                            <w:rFonts w:ascii="Cambria Math" w:hAnsi="Cambria Math"/>
                          </w:rPr>
                          <m:t>→</m:t>
                        </m:r>
                        <m:d>
                          <m:dPr>
                            <m:begChr m:val="{"/>
                            <m:endChr m:val="}"/>
                            <m:ctrlPr>
                              <w:rPr>
                                <w:rFonts w:ascii="Cambria Math" w:hAnsi="Cambria Math"/>
                                <w:i/>
                              </w:rPr>
                            </m:ctrlPr>
                          </m:dPr>
                          <m:e>
                            <m:r>
                              <w:rPr>
                                <w:rFonts w:ascii="Cambria Math" w:hAnsi="Cambria Math"/>
                              </w:rPr>
                              <m:t>i, j≠i</m:t>
                            </m:r>
                          </m:e>
                        </m:d>
                      </m:e>
                    </m:d>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M</m:t>
                        </m:r>
                      </m:e>
                      <m:sub>
                        <m:r>
                          <w:rPr>
                            <w:rFonts w:ascii="Cambria Math"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12</m:t>
                        </m:r>
                      </m:e>
                    </m:d>
                    <m:ctrlPr>
                      <w:rPr>
                        <w:rFonts w:ascii="Cambria Math" w:hAnsi="Cambria Math"/>
                        <w:i/>
                      </w:rPr>
                    </m:ctrlPr>
                  </m:e>
                </m:eqArr>
              </m:oMath>
            </m:oMathPara>
          </w:p>
        </w:tc>
      </w:tr>
      <w:tr w:rsidR="000C101C" w:rsidRPr="00A207AC" w:rsidTr="000C101C">
        <w:trPr>
          <w:trHeight w:val="485"/>
        </w:trPr>
        <w:tc>
          <w:tcPr>
            <w:tcW w:w="9805" w:type="dxa"/>
          </w:tcPr>
          <w:p w:rsidR="000C101C" w:rsidRPr="000C101C" w:rsidRDefault="00BB43B9" w:rsidP="009C67B9">
            <w:pPr>
              <w:rPr>
                <w:rFonts w:eastAsiaTheme="minorEastAsia"/>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i, j≠i</m:t>
                            </m:r>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i, i</m:t>
                            </m:r>
                          </m:e>
                        </m:d>
                      </m:e>
                    </m:d>
                    <m:r>
                      <w:rPr>
                        <w:rFonts w:ascii="Cambria Math" w:eastAsia="Calibri" w:hAnsi="Cambria Math" w:cs="Times New Roman"/>
                      </w:rPr>
                      <m:t>=1#</m:t>
                    </m:r>
                    <m:d>
                      <m:dPr>
                        <m:ctrlPr>
                          <w:rPr>
                            <w:rFonts w:ascii="Cambria Math" w:eastAsia="Calibri" w:hAnsi="Cambria Math" w:cs="Times New Roman"/>
                            <w:i/>
                          </w:rPr>
                        </m:ctrlPr>
                      </m:dPr>
                      <m:e>
                        <m:r>
                          <w:rPr>
                            <w:rFonts w:ascii="Cambria Math" w:eastAsia="Calibri" w:hAnsi="Cambria Math" w:cs="Times New Roman"/>
                          </w:rPr>
                          <m:t>13</m:t>
                        </m:r>
                      </m:e>
                    </m:d>
                  </m:e>
                </m:eqArr>
              </m:oMath>
            </m:oMathPara>
          </w:p>
        </w:tc>
      </w:tr>
    </w:tbl>
    <w:p w:rsidR="00A207AC" w:rsidRPr="00A207AC" w:rsidRDefault="00A207AC" w:rsidP="00A207AC">
      <w:r w:rsidRPr="00A207AC">
        <w:t>Finally, new births are processed:</w:t>
      </w:r>
    </w:p>
    <w:tbl>
      <w:tblPr>
        <w:tblStyle w:val="TableGrid"/>
        <w:tblW w:w="9805" w:type="dxa"/>
        <w:tblLook w:val="04A0" w:firstRow="1" w:lastRow="0" w:firstColumn="1" w:lastColumn="0" w:noHBand="0" w:noVBand="1"/>
      </w:tblPr>
      <w:tblGrid>
        <w:gridCol w:w="9805"/>
      </w:tblGrid>
      <w:tr w:rsidR="000C101C" w:rsidRPr="00A207AC" w:rsidTr="000C101C">
        <w:trPr>
          <w:trHeight w:val="467"/>
        </w:trPr>
        <w:tc>
          <w:tcPr>
            <w:tcW w:w="9805" w:type="dxa"/>
          </w:tcPr>
          <w:p w:rsidR="000C101C" w:rsidRPr="000C101C" w:rsidRDefault="00BB43B9"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N</m:t>
                    </m:r>
                    <m:d>
                      <m:dPr>
                        <m:ctrlPr>
                          <w:rPr>
                            <w:rFonts w:ascii="Cambria Math" w:hAnsi="Cambria Math"/>
                            <w:i/>
                          </w:rPr>
                        </m:ctrlPr>
                      </m:dPr>
                      <m:e>
                        <m:d>
                          <m:dPr>
                            <m:begChr m:val="{"/>
                            <m:endChr m:val="}"/>
                            <m:ctrlPr>
                              <w:rPr>
                                <w:rFonts w:ascii="Cambria Math" w:hAnsi="Cambria Math"/>
                                <w:i/>
                              </w:rPr>
                            </m:ctrlPr>
                          </m:dPr>
                          <m:e>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S, 0, 0, i, i, 0, 0</m:t>
                            </m:r>
                          </m:e>
                        </m:d>
                      </m:e>
                    </m:d>
                    <m:r>
                      <w:rPr>
                        <w:rFonts w:ascii="Cambria Math" w:hAnsi="Cambria Math"/>
                      </w:rPr>
                      <m:t>=Poiss</m:t>
                    </m:r>
                    <m:d>
                      <m:dPr>
                        <m:ctrlPr>
                          <w:rPr>
                            <w:rFonts w:ascii="Cambria Math" w:hAnsi="Cambria Math"/>
                            <w:i/>
                          </w:rPr>
                        </m:ctrlPr>
                      </m:dPr>
                      <m:e>
                        <m:r>
                          <m:rPr>
                            <m:sty m:val="p"/>
                          </m:rPr>
                          <w:rPr>
                            <w:rFonts w:ascii="Cambria Math" w:hAnsi="Cambria Math"/>
                          </w:rPr>
                          <m:t>Δ</m:t>
                        </m:r>
                        <m:r>
                          <w:rPr>
                            <w:rFonts w:ascii="Cambria Math" w:hAnsi="Cambria Math"/>
                          </w:rPr>
                          <m:t>μ</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ctrlPr>
                      <w:rPr>
                        <w:rFonts w:ascii="Cambria Math" w:hAnsi="Cambria Math"/>
                        <w:i/>
                      </w:rPr>
                    </m:ctrlPr>
                  </m:e>
                </m:eqArr>
              </m:oMath>
            </m:oMathPara>
          </w:p>
        </w:tc>
      </w:tr>
    </w:tbl>
    <w:p w:rsidR="00A207AC" w:rsidRDefault="00A207AC" w:rsidP="00A207AC">
      <w:r w:rsidRPr="00A207AC">
        <w:t xml:space="preserve">Equations </w:t>
      </w:r>
      <w:r w:rsidRPr="00A207AC">
        <w:fldChar w:fldCharType="begin"/>
      </w:r>
      <w:r w:rsidRPr="00A207AC">
        <w:instrText xml:space="preserve"> REF _Ref449621993 \h  \* MERGEFORMAT </w:instrText>
      </w:r>
      <w:r w:rsidRPr="00A207AC">
        <w:fldChar w:fldCharType="separate"/>
      </w:r>
      <w:r w:rsidRPr="00A207AC">
        <w:t xml:space="preserve">( </w:t>
      </w:r>
      <w:r w:rsidR="009C67B9">
        <w:rPr>
          <w:noProof/>
        </w:rPr>
        <w:t>1-14</w:t>
      </w:r>
      <w:r w:rsidRPr="00A207AC">
        <w:t xml:space="preserve"> )</w:t>
      </w:r>
      <w:r w:rsidRPr="00A207AC">
        <w:fldChar w:fldCharType="end"/>
      </w:r>
      <w:r w:rsidRPr="00A207AC">
        <w:t xml:space="preserve"> combine to specify the agent-based model as implemented. This specification can also be converted into a set of stochastic difference equations; the resulting equations are rather unwieldy and somewhat difficult to read, limiting how informative they are to the reader. </w:t>
      </w:r>
      <w:r w:rsidR="002D5939">
        <w:t xml:space="preserve"> The relevant model parameters are summarized in </w:t>
      </w:r>
      <w:r w:rsidR="00226F59">
        <w:rPr>
          <w:highlight w:val="yellow"/>
        </w:rPr>
        <w:fldChar w:fldCharType="begin"/>
      </w:r>
      <w:r w:rsidR="00226F59">
        <w:instrText xml:space="preserve"> REF _Ref458507313 \h </w:instrText>
      </w:r>
      <w:r w:rsidR="00226F59">
        <w:rPr>
          <w:highlight w:val="yellow"/>
        </w:rPr>
      </w:r>
      <w:r w:rsidR="00226F59">
        <w:rPr>
          <w:highlight w:val="yellow"/>
        </w:rPr>
        <w:fldChar w:fldCharType="separate"/>
      </w:r>
      <w:r w:rsidR="00226F59">
        <w:t xml:space="preserve">Table </w:t>
      </w:r>
      <w:r w:rsidR="00226F59">
        <w:rPr>
          <w:noProof/>
        </w:rPr>
        <w:t>1</w:t>
      </w:r>
      <w:r w:rsidR="00226F59">
        <w:rPr>
          <w:highlight w:val="yellow"/>
        </w:rPr>
        <w:fldChar w:fldCharType="end"/>
      </w:r>
      <w:r w:rsidR="00226F59">
        <w:t>.</w:t>
      </w:r>
    </w:p>
    <w:p w:rsidR="002D5939" w:rsidRDefault="002D5939" w:rsidP="00A207AC"/>
    <w:tbl>
      <w:tblPr>
        <w:tblStyle w:val="TableGrid"/>
        <w:tblW w:w="10620" w:type="dxa"/>
        <w:tblInd w:w="-545" w:type="dxa"/>
        <w:tblLayout w:type="fixed"/>
        <w:tblLook w:val="04A0" w:firstRow="1" w:lastRow="0" w:firstColumn="1" w:lastColumn="0" w:noHBand="0" w:noVBand="1"/>
      </w:tblPr>
      <w:tblGrid>
        <w:gridCol w:w="3330"/>
        <w:gridCol w:w="1530"/>
        <w:gridCol w:w="4320"/>
        <w:gridCol w:w="1440"/>
      </w:tblGrid>
      <w:tr w:rsidR="00A15A1B" w:rsidTr="00A15A1B">
        <w:tc>
          <w:tcPr>
            <w:tcW w:w="3330" w:type="dxa"/>
          </w:tcPr>
          <w:p w:rsidR="00A15A1B" w:rsidRPr="002D5939" w:rsidRDefault="00A15A1B" w:rsidP="00A207AC">
            <w:r>
              <w:t>Parameter description (symbol)</w:t>
            </w:r>
          </w:p>
        </w:tc>
        <w:tc>
          <w:tcPr>
            <w:tcW w:w="1530" w:type="dxa"/>
          </w:tcPr>
          <w:p w:rsidR="00A15A1B" w:rsidRPr="002D5939" w:rsidRDefault="00A15A1B" w:rsidP="00A207AC">
            <w:r>
              <w:t>Value(s)</w:t>
            </w:r>
          </w:p>
        </w:tc>
        <w:tc>
          <w:tcPr>
            <w:tcW w:w="4320" w:type="dxa"/>
          </w:tcPr>
          <w:p w:rsidR="00A15A1B" w:rsidRPr="002D5939" w:rsidRDefault="00A15A1B" w:rsidP="00A207AC">
            <w:r>
              <w:t>Relevant effect or equation</w:t>
            </w:r>
          </w:p>
        </w:tc>
        <w:tc>
          <w:tcPr>
            <w:tcW w:w="1440" w:type="dxa"/>
          </w:tcPr>
          <w:p w:rsidR="00A15A1B" w:rsidRDefault="00A15A1B" w:rsidP="00A207AC">
            <w:r>
              <w:t>Comparison references</w:t>
            </w:r>
          </w:p>
        </w:tc>
      </w:tr>
      <w:tr w:rsidR="00A15A1B" w:rsidTr="00A15A1B">
        <w:tc>
          <w:tcPr>
            <w:tcW w:w="3330" w:type="dxa"/>
          </w:tcPr>
          <w:p w:rsidR="00A15A1B" w:rsidRPr="002D5939" w:rsidRDefault="00A15A1B" w:rsidP="00305062">
            <w:r>
              <w:t>OPV transmission modifier (</w:t>
            </w:r>
            <m:oMath>
              <m:sSub>
                <m:sSubPr>
                  <m:ctrlPr>
                    <w:rPr>
                      <w:rFonts w:ascii="Cambria Math" w:hAnsi="Cambria Math"/>
                      <w:i/>
                    </w:rPr>
                  </m:ctrlPr>
                </m:sSubPr>
                <m:e>
                  <m:r>
                    <w:rPr>
                      <w:rFonts w:ascii="Cambria Math" w:hAnsi="Cambria Math"/>
                    </w:rPr>
                    <m:t>τ</m:t>
                  </m:r>
                </m:e>
                <m:sub>
                  <m:r>
                    <w:rPr>
                      <w:rFonts w:ascii="Cambria Math" w:hAnsi="Cambria Math"/>
                    </w:rPr>
                    <m:t>OPV</m:t>
                  </m:r>
                </m:sub>
              </m:sSub>
            </m:oMath>
            <w:r>
              <w:t>)</w:t>
            </w:r>
          </w:p>
        </w:tc>
        <w:tc>
          <w:tcPr>
            <w:tcW w:w="1530" w:type="dxa"/>
          </w:tcPr>
          <w:p w:rsidR="00A15A1B" w:rsidRPr="002D5939" w:rsidRDefault="00A15A1B" w:rsidP="00A207AC">
            <w:r>
              <w:t>0.9</w:t>
            </w:r>
          </w:p>
        </w:tc>
        <w:tc>
          <w:tcPr>
            <w:tcW w:w="4320" w:type="dxa"/>
          </w:tcPr>
          <w:p w:rsidR="00A15A1B" w:rsidRPr="002D5939" w:rsidRDefault="00A15A1B" w:rsidP="002D5939">
            <w:pPr>
              <w:rPr>
                <w:rFonts w:eastAsiaTheme="minorEastAsia"/>
              </w:rPr>
            </w:pPr>
            <w:r>
              <w:rPr>
                <w:rFonts w:ascii="Calibri" w:eastAsia="Calibri" w:hAnsi="Calibri" w:cs="Times New Roman"/>
              </w:rPr>
              <w:t xml:space="preserve">Upon clearance of OPV infection or IPV immunization in OPV-exposed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OPV</m:t>
                  </m:r>
                </m:sub>
              </m:sSub>
              <m:r>
                <w:rPr>
                  <w:rFonts w:ascii="Cambria Math" w:hAnsi="Cambria Math"/>
                </w:rPr>
                <m:t>)</m:t>
              </m:r>
            </m:oMath>
          </w:p>
        </w:tc>
        <w:tc>
          <w:tcPr>
            <w:tcW w:w="1440" w:type="dxa"/>
          </w:tcPr>
          <w:p w:rsidR="00A15A1B" w:rsidRDefault="00A15A1B" w:rsidP="000A5003">
            <w:pPr>
              <w:rPr>
                <w:rFonts w:ascii="Calibri" w:eastAsia="Calibri" w:hAnsi="Calibri" w:cs="Times New Roman"/>
              </w:rPr>
            </w:pPr>
            <w:r>
              <w:rPr>
                <w:rFonts w:ascii="Calibri" w:eastAsia="Calibri" w:hAnsi="Calibri" w:cs="Times New Roman"/>
              </w:rPr>
              <w:fldChar w:fldCharType="begin" w:fldLock="1"/>
            </w:r>
            <w:r w:rsidR="00BB43B9">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"[5\u20137]", "plainTextFormattedCitation" : "[5\u20137]", "previouslyFormattedCitation" : "&lt;sup&gt;5\u20137&lt;/sup&gt;" }, "properties" : { "noteIndex" : 0 }, "schema" : "https://github.com/citation-style-language/schema/raw/master/csl-citation.json" }</w:instrText>
            </w:r>
            <w:r>
              <w:rPr>
                <w:rFonts w:ascii="Calibri" w:eastAsia="Calibri" w:hAnsi="Calibri" w:cs="Times New Roman"/>
              </w:rPr>
              <w:fldChar w:fldCharType="separate"/>
            </w:r>
            <w:r w:rsidR="00BB43B9" w:rsidRPr="00BB43B9">
              <w:rPr>
                <w:rFonts w:ascii="Calibri" w:eastAsia="Calibri" w:hAnsi="Calibri" w:cs="Times New Roman"/>
                <w:noProof/>
              </w:rPr>
              <w:t>[5–7]</w:t>
            </w:r>
            <w:r>
              <w:rPr>
                <w:rFonts w:ascii="Calibri" w:eastAsia="Calibri" w:hAnsi="Calibri" w:cs="Times New Roman"/>
              </w:rPr>
              <w:fldChar w:fldCharType="end"/>
            </w:r>
          </w:p>
        </w:tc>
      </w:tr>
      <w:tr w:rsidR="00A15A1B" w:rsidTr="00A15A1B">
        <w:tc>
          <w:tcPr>
            <w:tcW w:w="3330" w:type="dxa"/>
          </w:tcPr>
          <w:p w:rsidR="00A15A1B" w:rsidRPr="002D5939" w:rsidRDefault="00A15A1B" w:rsidP="002D5939">
            <w:r>
              <w:t>OPV acquisition modifier (</w:t>
            </w:r>
            <m:oMath>
              <m:sSub>
                <m:sSubPr>
                  <m:ctrlPr>
                    <w:rPr>
                      <w:rFonts w:ascii="Cambria Math" w:hAnsi="Cambria Math"/>
                      <w:i/>
                    </w:rPr>
                  </m:ctrlPr>
                </m:sSubPr>
                <m:e>
                  <m:r>
                    <w:rPr>
                      <w:rFonts w:ascii="Cambria Math" w:hAnsi="Cambria Math"/>
                    </w:rPr>
                    <m:t>α</m:t>
                  </m:r>
                </m:e>
                <m:sub>
                  <m:r>
                    <w:rPr>
                      <w:rFonts w:ascii="Cambria Math" w:hAnsi="Cambria Math"/>
                    </w:rPr>
                    <m:t>OPV</m:t>
                  </m:r>
                </m:sub>
              </m:sSub>
            </m:oMath>
            <w:r>
              <w:t>)</w:t>
            </w:r>
          </w:p>
        </w:tc>
        <w:tc>
          <w:tcPr>
            <w:tcW w:w="1530" w:type="dxa"/>
          </w:tcPr>
          <w:p w:rsidR="00A15A1B" w:rsidRPr="002D5939" w:rsidRDefault="00A15A1B" w:rsidP="00A207AC">
            <w:r>
              <w:t>0.6</w:t>
            </w:r>
          </w:p>
        </w:tc>
        <w:tc>
          <w:tcPr>
            <w:tcW w:w="4320" w:type="dxa"/>
          </w:tcPr>
          <w:p w:rsidR="00A15A1B" w:rsidRPr="002D5939" w:rsidRDefault="00A15A1B" w:rsidP="002D5939">
            <w:r>
              <w:rPr>
                <w:rFonts w:ascii="Calibri" w:eastAsia="Calibri" w:hAnsi="Calibri" w:cs="Times New Roman"/>
              </w:rPr>
              <w:t xml:space="preserve">Upon clearance of OPV infection or IPV immunization in OPV-exposed individuals: </w:t>
            </w:r>
            <m:oMath>
              <m:r>
                <w:rPr>
                  <w:rFonts w:ascii="Cambria Math" w:eastAsia="Calibri" w:hAnsi="Cambria Math" w:cs="Times New Roman"/>
                </w:rPr>
                <m:t xml:space="preserve">   </m:t>
              </m:r>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OPV</m:t>
                  </m:r>
                </m:sub>
              </m:sSub>
              <m:r>
                <w:rPr>
                  <w:rFonts w:ascii="Cambria Math" w:hAnsi="Cambria Math"/>
                </w:rPr>
                <m:t>)</m:t>
              </m:r>
            </m:oMath>
          </w:p>
        </w:tc>
        <w:tc>
          <w:tcPr>
            <w:tcW w:w="1440" w:type="dxa"/>
          </w:tcPr>
          <w:p w:rsidR="00A15A1B" w:rsidRDefault="00A15A1B" w:rsidP="000A5003">
            <w:pPr>
              <w:rPr>
                <w:rFonts w:ascii="Calibri" w:eastAsia="Calibri" w:hAnsi="Calibri" w:cs="Times New Roman"/>
              </w:rPr>
            </w:pPr>
            <w:r>
              <w:rPr>
                <w:rFonts w:ascii="Calibri" w:eastAsia="Calibri" w:hAnsi="Calibri" w:cs="Times New Roman"/>
              </w:rPr>
              <w:fldChar w:fldCharType="begin" w:fldLock="1"/>
            </w:r>
            <w:r w:rsidR="00BB43B9">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"[5\u20137]", "plainTextFormattedCitation" : "[5\u20137]", "previouslyFormattedCitation" : "&lt;sup&gt;5\u20137&lt;/sup&gt;" }, "properties" : { "noteIndex" : 0 }, "schema" : "https://github.com/citation-style-language/schema/raw/master/csl-citation.json" }</w:instrText>
            </w:r>
            <w:r>
              <w:rPr>
                <w:rFonts w:ascii="Calibri" w:eastAsia="Calibri" w:hAnsi="Calibri" w:cs="Times New Roman"/>
              </w:rPr>
              <w:fldChar w:fldCharType="separate"/>
            </w:r>
            <w:r w:rsidR="00BB43B9" w:rsidRPr="00BB43B9">
              <w:rPr>
                <w:rFonts w:ascii="Calibri" w:eastAsia="Calibri" w:hAnsi="Calibri" w:cs="Times New Roman"/>
                <w:noProof/>
              </w:rPr>
              <w:t>[5–7]</w:t>
            </w:r>
            <w:r>
              <w:rPr>
                <w:rFonts w:ascii="Calibri" w:eastAsia="Calibri" w:hAnsi="Calibri" w:cs="Times New Roman"/>
              </w:rPr>
              <w:fldChar w:fldCharType="end"/>
            </w:r>
          </w:p>
        </w:tc>
      </w:tr>
      <w:tr w:rsidR="00A15A1B" w:rsidRPr="002D5939" w:rsidTr="00A15A1B">
        <w:tc>
          <w:tcPr>
            <w:tcW w:w="3330" w:type="dxa"/>
          </w:tcPr>
          <w:p w:rsidR="00A15A1B" w:rsidRPr="002D5939" w:rsidRDefault="00A15A1B" w:rsidP="002D5939">
            <w:r>
              <w:t>IPV transmission modifier (</w:t>
            </w:r>
            <m:oMath>
              <m:sSub>
                <m:sSubPr>
                  <m:ctrlPr>
                    <w:rPr>
                      <w:rFonts w:ascii="Cambria Math" w:hAnsi="Cambria Math"/>
                      <w:i/>
                    </w:rPr>
                  </m:ctrlPr>
                </m:sSubPr>
                <m:e>
                  <m:r>
                    <w:rPr>
                      <w:rFonts w:ascii="Cambria Math" w:hAnsi="Cambria Math"/>
                    </w:rPr>
                    <m:t>τ</m:t>
                  </m:r>
                </m:e>
                <m:sub>
                  <m:r>
                    <w:rPr>
                      <w:rFonts w:ascii="Cambria Math" w:hAnsi="Cambria Math"/>
                    </w:rPr>
                    <m:t>IPV</m:t>
                  </m:r>
                </m:sub>
              </m:sSub>
            </m:oMath>
            <w:r>
              <w:t>)</w:t>
            </w:r>
          </w:p>
        </w:tc>
        <w:tc>
          <w:tcPr>
            <w:tcW w:w="1530" w:type="dxa"/>
          </w:tcPr>
          <w:p w:rsidR="00A15A1B" w:rsidRPr="002D5939" w:rsidRDefault="00A15A1B" w:rsidP="00A207AC">
            <w:r>
              <w:t>0.1</w:t>
            </w:r>
          </w:p>
        </w:tc>
        <w:tc>
          <w:tcPr>
            <w:tcW w:w="4320" w:type="dxa"/>
          </w:tcPr>
          <w:p w:rsidR="00A15A1B" w:rsidRPr="00305062" w:rsidRDefault="00A15A1B" w:rsidP="002D5939">
            <w:pPr>
              <w:rPr>
                <w:rFonts w:eastAsiaTheme="minorEastAsia"/>
              </w:rPr>
            </w:pPr>
            <w:r>
              <w:rPr>
                <w:rFonts w:eastAsiaTheme="minorEastAsia"/>
              </w:rPr>
              <w:t xml:space="preserve">Upon IPV immunization in OPV-naïve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IPV</m:t>
                  </m:r>
                </m:sub>
              </m:sSub>
              <m:r>
                <w:rPr>
                  <w:rFonts w:ascii="Cambria Math" w:hAnsi="Cambria Math"/>
                </w:rPr>
                <m:t>)</m:t>
              </m:r>
            </m:oMath>
          </w:p>
        </w:tc>
        <w:tc>
          <w:tcPr>
            <w:tcW w:w="1440" w:type="dxa"/>
          </w:tcPr>
          <w:p w:rsidR="00A15A1B" w:rsidRDefault="00A15A1B" w:rsidP="000A5003">
            <w:pPr>
              <w:rPr>
                <w:rFonts w:eastAsiaTheme="minorEastAsia"/>
              </w:rPr>
            </w:pPr>
            <w:r>
              <w:rPr>
                <w:rFonts w:ascii="Calibri" w:eastAsia="Calibri" w:hAnsi="Calibri" w:cs="Times New Roman"/>
              </w:rPr>
              <w:fldChar w:fldCharType="begin" w:fldLock="1"/>
            </w:r>
            <w:r w:rsidR="00BB43B9">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"[5\u20137]", "plainTextFormattedCitation" : "[5\u20137]", "previouslyFormattedCitation" : "&lt;sup&gt;5\u20137&lt;/sup&gt;" }, "properties" : { "noteIndex" : 0 }, "schema" : "https://github.com/citation-style-language/schema/raw/master/csl-citation.json" }</w:instrText>
            </w:r>
            <w:r>
              <w:rPr>
                <w:rFonts w:ascii="Calibri" w:eastAsia="Calibri" w:hAnsi="Calibri" w:cs="Times New Roman"/>
              </w:rPr>
              <w:fldChar w:fldCharType="separate"/>
            </w:r>
            <w:r w:rsidR="00BB43B9" w:rsidRPr="00BB43B9">
              <w:rPr>
                <w:rFonts w:ascii="Calibri" w:eastAsia="Calibri" w:hAnsi="Calibri" w:cs="Times New Roman"/>
                <w:noProof/>
              </w:rPr>
              <w:t>[5–7]</w:t>
            </w:r>
            <w:r>
              <w:rPr>
                <w:rFonts w:ascii="Calibri" w:eastAsia="Calibri" w:hAnsi="Calibri" w:cs="Times New Roman"/>
              </w:rPr>
              <w:fldChar w:fldCharType="end"/>
            </w:r>
          </w:p>
        </w:tc>
      </w:tr>
      <w:tr w:rsidR="00A15A1B" w:rsidRPr="002D5939" w:rsidTr="00A15A1B">
        <w:tc>
          <w:tcPr>
            <w:tcW w:w="3330" w:type="dxa"/>
          </w:tcPr>
          <w:p w:rsidR="00A15A1B" w:rsidRPr="002D5939" w:rsidRDefault="00A15A1B" w:rsidP="002D5939">
            <w:r>
              <w:t>IPV acquisition modifier (</w:t>
            </w:r>
            <m:oMath>
              <m:sSub>
                <m:sSubPr>
                  <m:ctrlPr>
                    <w:rPr>
                      <w:rFonts w:ascii="Cambria Math" w:hAnsi="Cambria Math"/>
                      <w:i/>
                    </w:rPr>
                  </m:ctrlPr>
                </m:sSubPr>
                <m:e>
                  <m:r>
                    <w:rPr>
                      <w:rFonts w:ascii="Cambria Math" w:hAnsi="Cambria Math"/>
                    </w:rPr>
                    <m:t>α</m:t>
                  </m:r>
                </m:e>
                <m:sub>
                  <m:r>
                    <w:rPr>
                      <w:rFonts w:ascii="Cambria Math" w:hAnsi="Cambria Math"/>
                    </w:rPr>
                    <m:t>IPV</m:t>
                  </m:r>
                </m:sub>
              </m:sSub>
            </m:oMath>
            <w:r>
              <w:t>)</w:t>
            </w:r>
          </w:p>
        </w:tc>
        <w:tc>
          <w:tcPr>
            <w:tcW w:w="1530" w:type="dxa"/>
          </w:tcPr>
          <w:p w:rsidR="00A15A1B" w:rsidRPr="002D5939" w:rsidRDefault="00A15A1B" w:rsidP="00A207AC">
            <w:r>
              <w:t>0.1</w:t>
            </w:r>
          </w:p>
        </w:tc>
        <w:tc>
          <w:tcPr>
            <w:tcW w:w="4320" w:type="dxa"/>
          </w:tcPr>
          <w:p w:rsidR="00A15A1B" w:rsidRPr="002D5939" w:rsidRDefault="00A15A1B" w:rsidP="002D5939">
            <w:r>
              <w:rPr>
                <w:rFonts w:eastAsiaTheme="minorEastAsia"/>
              </w:rPr>
              <w:t xml:space="preserve">Upon IPV immunization in OPV-naïve individuals:                  </w:t>
            </w:r>
            <m:oMath>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IPV</m:t>
                  </m:r>
                </m:sub>
              </m:sSub>
              <m:r>
                <w:rPr>
                  <w:rFonts w:ascii="Cambria Math" w:hAnsi="Cambria Math"/>
                </w:rPr>
                <m:t>)</m:t>
              </m:r>
            </m:oMath>
          </w:p>
        </w:tc>
        <w:tc>
          <w:tcPr>
            <w:tcW w:w="1440" w:type="dxa"/>
          </w:tcPr>
          <w:p w:rsidR="00A15A1B" w:rsidRDefault="00A15A1B" w:rsidP="000A5003">
            <w:pPr>
              <w:rPr>
                <w:rFonts w:eastAsiaTheme="minorEastAsia"/>
              </w:rPr>
            </w:pPr>
            <w:r>
              <w:rPr>
                <w:rFonts w:ascii="Calibri" w:eastAsia="Calibri" w:hAnsi="Calibri" w:cs="Times New Roman"/>
              </w:rPr>
              <w:fldChar w:fldCharType="begin" w:fldLock="1"/>
            </w:r>
            <w:r w:rsidR="00BB43B9">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"[5\u20137]", "plainTextFormattedCitation" : "[5\u20137]", "previouslyFormattedCitation" : "&lt;sup&gt;5\u20137&lt;/sup&gt;" }, "properties" : { "noteIndex" : 0 }, "schema" : "https://github.com/citation-style-language/schema/raw/master/csl-citation.json" }</w:instrText>
            </w:r>
            <w:r>
              <w:rPr>
                <w:rFonts w:ascii="Calibri" w:eastAsia="Calibri" w:hAnsi="Calibri" w:cs="Times New Roman"/>
              </w:rPr>
              <w:fldChar w:fldCharType="separate"/>
            </w:r>
            <w:r w:rsidR="00BB43B9" w:rsidRPr="00BB43B9">
              <w:rPr>
                <w:rFonts w:ascii="Calibri" w:eastAsia="Calibri" w:hAnsi="Calibri" w:cs="Times New Roman"/>
                <w:noProof/>
              </w:rPr>
              <w:t>[5–7]</w:t>
            </w:r>
            <w:r>
              <w:rPr>
                <w:rFonts w:ascii="Calibri" w:eastAsia="Calibri" w:hAnsi="Calibri" w:cs="Times New Roman"/>
              </w:rPr>
              <w:fldChar w:fldCharType="end"/>
            </w:r>
          </w:p>
        </w:tc>
      </w:tr>
      <w:tr w:rsidR="00A15A1B" w:rsidRPr="002D5939" w:rsidTr="00A15A1B">
        <w:tc>
          <w:tcPr>
            <w:tcW w:w="3330" w:type="dxa"/>
          </w:tcPr>
          <w:p w:rsidR="00A15A1B" w:rsidRPr="00305062" w:rsidRDefault="00A15A1B" w:rsidP="00A207AC">
            <w:r>
              <w:t>Age-dependent susceptibility intercept (</w:t>
            </w:r>
            <w:r>
              <w:rPr>
                <w:i/>
              </w:rPr>
              <w:t>f</w:t>
            </w:r>
            <w:r>
              <w:rPr>
                <w:i/>
                <w:vertAlign w:val="subscript"/>
              </w:rPr>
              <w:t>0</w:t>
            </w:r>
            <w:r>
              <w:t>)</w:t>
            </w:r>
          </w:p>
        </w:tc>
        <w:tc>
          <w:tcPr>
            <w:tcW w:w="1530" w:type="dxa"/>
          </w:tcPr>
          <w:p w:rsidR="00A15A1B" w:rsidRPr="002D5939" w:rsidRDefault="00A15A1B" w:rsidP="00A207AC">
            <w:r>
              <w:t>0.0</w:t>
            </w:r>
          </w:p>
        </w:tc>
        <w:tc>
          <w:tcPr>
            <w:tcW w:w="4320" w:type="dxa"/>
          </w:tcPr>
          <w:p w:rsidR="00A15A1B" w:rsidRPr="002D5939" w:rsidRDefault="00A15A1B" w:rsidP="00A207AC">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Pr="00305062" w:rsidRDefault="00A15A1B" w:rsidP="00A207AC">
            <w:r>
              <w:t>Age-dependent susceptibility slope (</w:t>
            </w:r>
            <w:r>
              <w:rPr>
                <w:i/>
              </w:rPr>
              <w:t>f</w:t>
            </w:r>
            <w:r>
              <w:rPr>
                <w:i/>
                <w:vertAlign w:val="subscript"/>
              </w:rPr>
              <w:t>1</w:t>
            </w:r>
            <w:r>
              <w:t>)</w:t>
            </w:r>
          </w:p>
        </w:tc>
        <w:tc>
          <w:tcPr>
            <w:tcW w:w="1530" w:type="dxa"/>
          </w:tcPr>
          <w:p w:rsidR="00A15A1B" w:rsidRDefault="00A15A1B" w:rsidP="00A207AC">
            <w:r>
              <w:t>0.5</w:t>
            </w:r>
          </w:p>
        </w:tc>
        <w:tc>
          <w:tcPr>
            <w:tcW w:w="4320" w:type="dxa"/>
          </w:tcPr>
          <w:p w:rsidR="00A15A1B" w:rsidRDefault="00A15A1B" w:rsidP="00A207AC">
            <w:pPr>
              <w:rPr>
                <w:rFonts w:ascii="Calibri" w:eastAsia="Calibri" w:hAnsi="Calibri" w:cs="Times New Roman"/>
              </w:rPr>
            </w:pPr>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Default="00A15A1B" w:rsidP="00A207AC">
            <w:r>
              <w:t>Migration rate scalar (</w:t>
            </w:r>
            <m:oMath>
              <m:r>
                <w:rPr>
                  <w:rFonts w:ascii="Cambria Math" w:eastAsia="Calibri" w:hAnsi="Cambria Math" w:cs="Times New Roman"/>
                </w:rPr>
                <m:t>κ</m:t>
              </m:r>
            </m:oMath>
            <w:r>
              <w:t>)</w:t>
            </w:r>
          </w:p>
        </w:tc>
        <w:tc>
          <w:tcPr>
            <w:tcW w:w="1530" w:type="dxa"/>
          </w:tcPr>
          <w:p w:rsidR="00A15A1B" w:rsidRDefault="00A15A1B" w:rsidP="00A207AC">
            <w:r>
              <w:t>Varied in separatrix</w:t>
            </w:r>
          </w:p>
        </w:tc>
        <w:tc>
          <w:tcPr>
            <w:tcW w:w="4320" w:type="dxa"/>
          </w:tcPr>
          <w:p w:rsidR="00A15A1B" w:rsidRDefault="00A15A1B" w:rsidP="00305062">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A15A1B" w:rsidRPr="009C67B9" w:rsidRDefault="00716908" w:rsidP="000A5003">
            <w:pPr>
              <w:rPr>
                <w:rFonts w:ascii="Calibri" w:eastAsia="Calibri" w:hAnsi="Calibri" w:cs="Times New Roman"/>
              </w:rPr>
            </w:pPr>
            <w:r>
              <w:rPr>
                <w:rFonts w:ascii="Calibri" w:eastAsia="Calibri" w:hAnsi="Calibri" w:cs="Times New Roman"/>
              </w:rPr>
              <w:fldChar w:fldCharType="begin" w:fldLock="1"/>
            </w:r>
            <w:r w:rsidR="00BB43B9">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"[8]", "plainTextFormattedCitation" : "[8]", "previouslyFormattedCitation" : "&lt;sup&gt;8&lt;/sup&gt;" }, "properties" : { "noteIndex" : 0 }, "schema" : "https://github.com/citation-style-language/schema/raw/master/csl-citation.json" }</w:instrText>
            </w:r>
            <w:r>
              <w:rPr>
                <w:rFonts w:ascii="Calibri" w:eastAsia="Calibri" w:hAnsi="Calibri" w:cs="Times New Roman"/>
              </w:rPr>
              <w:fldChar w:fldCharType="separate"/>
            </w:r>
            <w:r w:rsidR="00BB43B9" w:rsidRPr="00BB43B9">
              <w:rPr>
                <w:rFonts w:ascii="Calibri" w:eastAsia="Calibri" w:hAnsi="Calibri" w:cs="Times New Roman"/>
                <w:noProof/>
              </w:rPr>
              <w:t>[8]</w:t>
            </w:r>
            <w:r>
              <w:rPr>
                <w:rFonts w:ascii="Calibri" w:eastAsia="Calibri" w:hAnsi="Calibri" w:cs="Times New Roman"/>
              </w:rPr>
              <w:fldChar w:fldCharType="end"/>
            </w:r>
          </w:p>
        </w:tc>
      </w:tr>
      <w:tr w:rsidR="00A15A1B" w:rsidRPr="002D5939" w:rsidTr="00A15A1B">
        <w:tc>
          <w:tcPr>
            <w:tcW w:w="3330" w:type="dxa"/>
          </w:tcPr>
          <w:p w:rsidR="00A15A1B" w:rsidRDefault="00A15A1B" w:rsidP="00A207AC">
            <w:r>
              <w:t>Migration rate distance dependence (</w:t>
            </w:r>
            <m:oMath>
              <m:r>
                <w:rPr>
                  <w:rFonts w:ascii="Cambria Math" w:hAnsi="Cambria Math"/>
                </w:rPr>
                <m:t>c</m:t>
              </m:r>
              <m:r>
                <w:rPr>
                  <w:rFonts w:ascii="Cambria Math" w:eastAsia="Calibri" w:hAnsi="Cambria Math" w:cs="Times New Roman"/>
                </w:rPr>
                <m:t>)</m:t>
              </m:r>
            </m:oMath>
          </w:p>
        </w:tc>
        <w:tc>
          <w:tcPr>
            <w:tcW w:w="1530" w:type="dxa"/>
          </w:tcPr>
          <w:p w:rsidR="00A15A1B" w:rsidRDefault="00A15A1B" w:rsidP="00A207AC">
            <w:r>
              <w:t>{1, 2}</w:t>
            </w:r>
          </w:p>
        </w:tc>
        <w:tc>
          <w:tcPr>
            <w:tcW w:w="4320" w:type="dxa"/>
          </w:tcPr>
          <w:p w:rsidR="00A15A1B" w:rsidRDefault="00A15A1B" w:rsidP="00305062">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A15A1B" w:rsidRPr="009C67B9" w:rsidRDefault="00716908" w:rsidP="000A5003">
            <w:pPr>
              <w:rPr>
                <w:rFonts w:ascii="Calibri" w:eastAsia="Calibri" w:hAnsi="Calibri" w:cs="Times New Roman"/>
              </w:rPr>
            </w:pPr>
            <w:r>
              <w:rPr>
                <w:rFonts w:ascii="Calibri" w:eastAsia="Calibri" w:hAnsi="Calibri" w:cs="Times New Roman"/>
              </w:rPr>
              <w:fldChar w:fldCharType="begin" w:fldLock="1"/>
            </w:r>
            <w:r w:rsidR="00BB43B9">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"[8]", "plainTextFormattedCitation" : "[8]", "previouslyFormattedCitation" : "&lt;sup&gt;8&lt;/sup&gt;" }, "properties" : { "noteIndex" : 0 }, "schema" : "https://github.com/citation-style-language/schema/raw/master/csl-citation.json" }</w:instrText>
            </w:r>
            <w:r>
              <w:rPr>
                <w:rFonts w:ascii="Calibri" w:eastAsia="Calibri" w:hAnsi="Calibri" w:cs="Times New Roman"/>
              </w:rPr>
              <w:fldChar w:fldCharType="separate"/>
            </w:r>
            <w:r w:rsidR="00BB43B9" w:rsidRPr="00BB43B9">
              <w:rPr>
                <w:rFonts w:ascii="Calibri" w:eastAsia="Calibri" w:hAnsi="Calibri" w:cs="Times New Roman"/>
                <w:noProof/>
              </w:rPr>
              <w:t>[8]</w:t>
            </w:r>
            <w:r>
              <w:rPr>
                <w:rFonts w:ascii="Calibri" w:eastAsia="Calibri" w:hAnsi="Calibri" w:cs="Times New Roman"/>
              </w:rPr>
              <w:fldChar w:fldCharType="end"/>
            </w:r>
          </w:p>
        </w:tc>
      </w:tr>
      <w:tr w:rsidR="00A15A1B" w:rsidRPr="002D5939" w:rsidTr="00A15A1B">
        <w:tc>
          <w:tcPr>
            <w:tcW w:w="3330" w:type="dxa"/>
          </w:tcPr>
          <w:p w:rsidR="00A15A1B" w:rsidRDefault="00A15A1B" w:rsidP="00A207AC">
            <w:r>
              <w:lastRenderedPageBreak/>
              <w:t>Duration of exposed state (</w:t>
            </w:r>
            <m:oMath>
              <m:r>
                <w:rPr>
                  <w:rFonts w:ascii="Cambria Math" w:eastAsiaTheme="minorEastAsia" w:hAnsi="Cambria Math"/>
                </w:rPr>
                <m:t>σ)</m:t>
              </m:r>
            </m:oMath>
          </w:p>
        </w:tc>
        <w:tc>
          <w:tcPr>
            <w:tcW w:w="1530" w:type="dxa"/>
          </w:tcPr>
          <w:p w:rsidR="00A15A1B" w:rsidRDefault="00A15A1B" w:rsidP="00A207AC">
            <w:r>
              <w:t>3</w:t>
            </w:r>
          </w:p>
        </w:tc>
        <w:tc>
          <w:tcPr>
            <w:tcW w:w="4320" w:type="dxa"/>
          </w:tcPr>
          <w:p w:rsidR="00A15A1B" w:rsidRDefault="00A15A1B" w:rsidP="00A207AC">
            <w:pPr>
              <w:rPr>
                <w:rFonts w:ascii="Calibri" w:eastAsia="Calibri" w:hAnsi="Calibri" w:cs="Times New Roman"/>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oMath>
            </m:oMathPara>
          </w:p>
        </w:tc>
        <w:tc>
          <w:tcPr>
            <w:tcW w:w="1440" w:type="dxa"/>
          </w:tcPr>
          <w:p w:rsidR="00A15A1B" w:rsidRDefault="00716908" w:rsidP="000A5003">
            <w:pPr>
              <w:rPr>
                <w:rFonts w:ascii="Calibri" w:eastAsia="Calibri" w:hAnsi="Calibri" w:cs="Times New Roman"/>
              </w:rPr>
            </w:pPr>
            <w:r>
              <w:rPr>
                <w:rFonts w:ascii="Calibri" w:eastAsia="Calibri" w:hAnsi="Calibri" w:cs="Times New Roman"/>
              </w:rPr>
              <w:fldChar w:fldCharType="begin" w:fldLock="1"/>
            </w:r>
            <w:r w:rsidR="00BB43B9">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"[5, 6]", "plainTextFormattedCitation" : "[5, 6]", "previouslyFormattedCitation" : "&lt;sup&gt;5,6&lt;/sup&gt;" }, "properties" : { "noteIndex" : 0 }, "schema" : "https://github.com/citation-style-language/schema/raw/master/csl-citation.json" }</w:instrText>
            </w:r>
            <w:r>
              <w:rPr>
                <w:rFonts w:ascii="Calibri" w:eastAsia="Calibri" w:hAnsi="Calibri" w:cs="Times New Roman"/>
              </w:rPr>
              <w:fldChar w:fldCharType="separate"/>
            </w:r>
            <w:r w:rsidR="00BB43B9" w:rsidRPr="00BB43B9">
              <w:rPr>
                <w:rFonts w:ascii="Calibri" w:eastAsia="Calibri" w:hAnsi="Calibri" w:cs="Times New Roman"/>
                <w:noProof/>
              </w:rPr>
              <w:t>[5, 6]</w:t>
            </w:r>
            <w:r>
              <w:rPr>
                <w:rFonts w:ascii="Calibri" w:eastAsia="Calibri" w:hAnsi="Calibri" w:cs="Times New Roman"/>
              </w:rPr>
              <w:fldChar w:fldCharType="end"/>
            </w:r>
          </w:p>
        </w:tc>
      </w:tr>
      <w:tr w:rsidR="00A15A1B" w:rsidRPr="002D5939" w:rsidTr="00A15A1B">
        <w:tc>
          <w:tcPr>
            <w:tcW w:w="3330" w:type="dxa"/>
          </w:tcPr>
          <w:p w:rsidR="00A15A1B" w:rsidRDefault="00A15A1B" w:rsidP="00A207AC">
            <w:r>
              <w:t>Duration of infectious state (</w:t>
            </w:r>
            <m:oMath>
              <m:r>
                <w:rPr>
                  <w:rFonts w:ascii="Cambria Math" w:eastAsiaTheme="minorEastAsia" w:hAnsi="Cambria Math"/>
                </w:rPr>
                <m:t xml:space="preserve">γ) </m:t>
              </m:r>
            </m:oMath>
          </w:p>
        </w:tc>
        <w:tc>
          <w:tcPr>
            <w:tcW w:w="1530" w:type="dxa"/>
          </w:tcPr>
          <w:p w:rsidR="00A15A1B" w:rsidRDefault="00A15A1B" w:rsidP="00A207AC">
            <w:r>
              <w:t>27</w:t>
            </w:r>
          </w:p>
        </w:tc>
        <w:tc>
          <w:tcPr>
            <w:tcW w:w="4320" w:type="dxa"/>
          </w:tcPr>
          <w:p w:rsidR="00A15A1B" w:rsidRDefault="00A15A1B" w:rsidP="00A207AC">
            <w:pPr>
              <w:rPr>
                <w:rFonts w:ascii="Calibri" w:eastAsia="Calibri" w:hAnsi="Calibri" w:cs="Times New Roman"/>
              </w:rPr>
            </w:pPr>
            <m:oMathPara>
              <m:oMath>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oMath>
            </m:oMathPara>
          </w:p>
        </w:tc>
        <w:tc>
          <w:tcPr>
            <w:tcW w:w="1440" w:type="dxa"/>
          </w:tcPr>
          <w:p w:rsidR="00A15A1B" w:rsidRDefault="00716908" w:rsidP="000A5003">
            <w:pPr>
              <w:rPr>
                <w:rFonts w:ascii="Calibri" w:eastAsia="Calibri" w:hAnsi="Calibri" w:cs="Times New Roman"/>
              </w:rPr>
            </w:pPr>
            <w:r>
              <w:rPr>
                <w:rFonts w:ascii="Calibri" w:eastAsia="Calibri" w:hAnsi="Calibri" w:cs="Times New Roman"/>
              </w:rPr>
              <w:fldChar w:fldCharType="begin" w:fldLock="1"/>
            </w:r>
            <w:r w:rsidR="00BB43B9">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"[5, 6]", "plainTextFormattedCitation" : "[5, 6]", "previouslyFormattedCitation" : "&lt;sup&gt;5,6&lt;/sup&gt;" }, "properties" : { "noteIndex" : 0 }, "schema" : "https://github.com/citation-style-language/schema/raw/master/csl-citation.json" }</w:instrText>
            </w:r>
            <w:r>
              <w:rPr>
                <w:rFonts w:ascii="Calibri" w:eastAsia="Calibri" w:hAnsi="Calibri" w:cs="Times New Roman"/>
              </w:rPr>
              <w:fldChar w:fldCharType="separate"/>
            </w:r>
            <w:r w:rsidR="00BB43B9" w:rsidRPr="00BB43B9">
              <w:rPr>
                <w:rFonts w:ascii="Calibri" w:eastAsia="Calibri" w:hAnsi="Calibri" w:cs="Times New Roman"/>
                <w:noProof/>
              </w:rPr>
              <w:t>[5, 6]</w:t>
            </w:r>
            <w:r>
              <w:rPr>
                <w:rFonts w:ascii="Calibri" w:eastAsia="Calibri" w:hAnsi="Calibri" w:cs="Times New Roman"/>
              </w:rPr>
              <w:fldChar w:fldCharType="end"/>
            </w:r>
          </w:p>
        </w:tc>
      </w:tr>
      <w:tr w:rsidR="00A15A1B" w:rsidRPr="002D5939" w:rsidTr="00A15A1B">
        <w:tc>
          <w:tcPr>
            <w:tcW w:w="3330" w:type="dxa"/>
          </w:tcPr>
          <w:p w:rsidR="00A15A1B" w:rsidRDefault="00A15A1B" w:rsidP="00716908">
            <w:r>
              <w:t>Initial infectiousness of Sabin 2 relative to fully-reverted (</w:t>
            </w:r>
            <m:oMath>
              <m:r>
                <w:rPr>
                  <w:rFonts w:ascii="Cambria Math" w:hAnsi="Cambria Math"/>
                </w:rPr>
                <m:t>f)</m:t>
              </m:r>
            </m:oMath>
          </w:p>
        </w:tc>
        <w:tc>
          <w:tcPr>
            <w:tcW w:w="1530" w:type="dxa"/>
          </w:tcPr>
          <w:p w:rsidR="00A15A1B" w:rsidRDefault="00A15A1B" w:rsidP="00A207AC">
            <w:r>
              <w:t xml:space="preserve">{0.25, 0.5} </w:t>
            </w:r>
          </w:p>
        </w:tc>
        <w:tc>
          <w:tcPr>
            <w:tcW w:w="4320" w:type="dxa"/>
          </w:tcPr>
          <w:p w:rsidR="00A15A1B" w:rsidRDefault="00A15A1B" w:rsidP="00716908">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1-f</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716908" w:rsidP="000A5003">
            <w:pPr>
              <w:rPr>
                <w:rFonts w:ascii="Calibri" w:eastAsia="Calibri" w:hAnsi="Calibri" w:cs="Times New Roman"/>
              </w:rPr>
            </w:pPr>
            <w:r>
              <w:rPr>
                <w:rFonts w:ascii="Calibri" w:eastAsia="Calibri" w:hAnsi="Calibri" w:cs="Times New Roman"/>
              </w:rPr>
              <w:fldChar w:fldCharType="begin" w:fldLock="1"/>
            </w:r>
            <w:r w:rsidR="00BB43B9">
              <w:rPr>
                <w:rFonts w:ascii="Calibri" w:eastAsia="Calibri" w:hAnsi="Calibri" w:cs="Times New Roman"/>
              </w:rPr>
              <w:instrText>ADDIN CSL_CITATION { "citationItems" : [ { "id" : "ITEM-1",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"[6]", "plainTextFormattedCitation" : "[6]",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00BB43B9" w:rsidRPr="00BB43B9">
              <w:rPr>
                <w:rFonts w:ascii="Calibri" w:eastAsia="Calibri" w:hAnsi="Calibri" w:cs="Times New Roman"/>
                <w:noProof/>
              </w:rPr>
              <w:t>[6]</w:t>
            </w:r>
            <w:r>
              <w:rPr>
                <w:rFonts w:ascii="Calibri" w:eastAsia="Calibri" w:hAnsi="Calibri" w:cs="Times New Roman"/>
              </w:rPr>
              <w:fldChar w:fldCharType="end"/>
            </w:r>
          </w:p>
        </w:tc>
      </w:tr>
      <w:tr w:rsidR="00A15A1B" w:rsidRPr="002D5939" w:rsidTr="00A15A1B">
        <w:tc>
          <w:tcPr>
            <w:tcW w:w="3330" w:type="dxa"/>
          </w:tcPr>
          <w:p w:rsidR="00A15A1B" w:rsidRDefault="00A15A1B" w:rsidP="00A207AC">
            <w:r>
              <w:t>Final R</w:t>
            </w:r>
            <w:r>
              <w:softHyphen/>
            </w:r>
            <w:r>
              <w:rPr>
                <w:vertAlign w:val="subscript"/>
              </w:rPr>
              <w:t>0</w:t>
            </w:r>
            <w:r>
              <w:t xml:space="preserve"> of reverted Sabin 2</w:t>
            </w:r>
          </w:p>
        </w:tc>
        <w:tc>
          <w:tcPr>
            <w:tcW w:w="1530" w:type="dxa"/>
          </w:tcPr>
          <w:p w:rsidR="00A15A1B" w:rsidRDefault="00A15A1B" w:rsidP="00A207AC">
            <w:r>
              <w:t>{1.2, 1.5, 2, 3}</w:t>
            </w:r>
          </w:p>
        </w:tc>
        <w:tc>
          <w:tcPr>
            <w:tcW w:w="4320" w:type="dxa"/>
          </w:tcPr>
          <w:p w:rsidR="00A15A1B" w:rsidRPr="006F704B" w:rsidRDefault="00BB43B9" w:rsidP="006F704B">
            <w:pPr>
              <w:rPr>
                <w:rFonts w:ascii="Calibri" w:eastAsia="Calibri" w:hAnsi="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r>
                      <w:rPr>
                        <w:rFonts w:ascii="Cambria Math" w:eastAsia="Calibri" w:hAnsi="Cambria Math" w:cs="Times New Roman"/>
                      </w:rPr>
                      <m:t>γ</m:t>
                    </m:r>
                  </m:num>
                  <m:den>
                    <m:nary>
                      <m:naryPr>
                        <m:limLoc m:val="undOvr"/>
                        <m:subHide m:val="1"/>
                        <m:supHide m:val="1"/>
                        <m:ctrlPr>
                          <w:rPr>
                            <w:rFonts w:ascii="Cambria Math" w:hAnsi="Cambria Math"/>
                            <w:i/>
                          </w:rPr>
                        </m:ctrlPr>
                      </m:naryPr>
                      <m:sub/>
                      <m:sup/>
                      <m:e>
                        <m:r>
                          <w:rPr>
                            <w:rFonts w:ascii="Cambria Math" w:hAnsi="Cambria Math"/>
                          </w:rPr>
                          <m:t>α</m:t>
                        </m:r>
                        <m:d>
                          <m:dPr>
                            <m:ctrlPr>
                              <w:rPr>
                                <w:rFonts w:ascii="Cambria Math" w:hAnsi="Cambria Math"/>
                                <w:i/>
                              </w:rPr>
                            </m:ctrlPr>
                          </m:dPr>
                          <m:e>
                            <m:r>
                              <w:rPr>
                                <w:rFonts w:ascii="Cambria Math" w:hAnsi="Cambria Math"/>
                              </w:rPr>
                              <m:t>a</m:t>
                            </m:r>
                          </m:e>
                        </m:d>
                        <m:r>
                          <w:rPr>
                            <w:rFonts w:ascii="Cambria Math" w:hAnsi="Cambria Math"/>
                          </w:rPr>
                          <m:t xml:space="preserve"> * f</m:t>
                        </m:r>
                        <m:d>
                          <m:dPr>
                            <m:ctrlPr>
                              <w:rPr>
                                <w:rFonts w:ascii="Cambria Math" w:hAnsi="Cambria Math"/>
                                <w:i/>
                              </w:rPr>
                            </m:ctrlPr>
                          </m:dPr>
                          <m:e>
                            <m:r>
                              <w:rPr>
                                <w:rFonts w:ascii="Cambria Math" w:hAnsi="Cambria Math"/>
                              </w:rPr>
                              <m:t>a</m:t>
                            </m:r>
                          </m:e>
                        </m:d>
                        <m:r>
                          <w:rPr>
                            <w:rFonts w:ascii="Cambria Math" w:hAnsi="Cambria Math"/>
                          </w:rPr>
                          <m:t>da</m:t>
                        </m:r>
                      </m:e>
                    </m:nary>
                  </m:den>
                </m:f>
              </m:oMath>
            </m:oMathPara>
          </w:p>
          <w:p w:rsidR="00A15A1B" w:rsidRPr="006F704B" w:rsidRDefault="00A15A1B" w:rsidP="006F704B">
            <w:pPr>
              <w:rPr>
                <w:rFonts w:ascii="Calibri" w:eastAsia="Calibri" w:hAnsi="Calibri" w:cs="Times New Roman"/>
              </w:rPr>
            </w:pPr>
            <w:r>
              <w:rPr>
                <w:rFonts w:ascii="Calibri" w:eastAsia="Calibri" w:hAnsi="Calibri" w:cs="Times New Roman"/>
              </w:rPr>
              <w:t xml:space="preserve">Denominator indicates correction for age-dependent susceptibility, with </w:t>
            </w:r>
            <m:oMath>
              <m:r>
                <w:rPr>
                  <w:rFonts w:ascii="Cambria Math" w:hAnsi="Cambria Math"/>
                </w:rPr>
                <m:t>α</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defined as in (1) and </w:t>
            </w:r>
            <m:oMath>
              <m:r>
                <w:rPr>
                  <w:rFonts w:ascii="Cambria Math" w:hAnsi="Cambria Math"/>
                </w:rPr>
                <m:t>f</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the population age distribution.</w:t>
            </w:r>
          </w:p>
        </w:tc>
        <w:tc>
          <w:tcPr>
            <w:tcW w:w="1440" w:type="dxa"/>
          </w:tcPr>
          <w:p w:rsidR="00A15A1B" w:rsidRDefault="00A15A1B" w:rsidP="006F704B">
            <w:pPr>
              <w:rPr>
                <w:rFonts w:ascii="Calibri" w:eastAsia="Calibri" w:hAnsi="Calibri" w:cs="Times New Roman"/>
              </w:rPr>
            </w:pPr>
          </w:p>
        </w:tc>
      </w:tr>
      <w:tr w:rsidR="00A15A1B" w:rsidRPr="002D5939" w:rsidTr="00A15A1B">
        <w:tc>
          <w:tcPr>
            <w:tcW w:w="3330" w:type="dxa"/>
          </w:tcPr>
          <w:p w:rsidR="00A15A1B" w:rsidRDefault="00A15A1B" w:rsidP="00A207AC">
            <w:r>
              <w:t>Delay before Sabin reversion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p>
        </w:tc>
        <w:tc>
          <w:tcPr>
            <w:tcW w:w="1530" w:type="dxa"/>
          </w:tcPr>
          <w:p w:rsidR="00A15A1B" w:rsidRDefault="00A15A1B" w:rsidP="006F704B">
            <w:r>
              <w:t>86 (time of final outbreak response campaign)</w:t>
            </w:r>
          </w:p>
        </w:tc>
        <w:tc>
          <w:tcPr>
            <w:tcW w:w="4320" w:type="dxa"/>
          </w:tcPr>
          <w:p w:rsidR="00A15A1B" w:rsidRDefault="00A15A1B" w:rsidP="00A207AC">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Default="00A15A1B" w:rsidP="00A207AC">
            <w:r>
              <w:t>Timescale of Sabin reversion (</w:t>
            </w:r>
            <m:oMath>
              <m:r>
                <w:rPr>
                  <w:rFonts w:ascii="Cambria Math" w:hAnsi="Cambria Math"/>
                </w:rPr>
                <m:t>λ)</m:t>
              </m:r>
            </m:oMath>
          </w:p>
        </w:tc>
        <w:tc>
          <w:tcPr>
            <w:tcW w:w="1530" w:type="dxa"/>
          </w:tcPr>
          <w:p w:rsidR="00A15A1B" w:rsidRDefault="00A15A1B" w:rsidP="006F704B">
            <w:r>
              <w:t>{60, 150}</w:t>
            </w:r>
          </w:p>
        </w:tc>
        <w:tc>
          <w:tcPr>
            <w:tcW w:w="4320" w:type="dxa"/>
          </w:tcPr>
          <w:p w:rsidR="00A15A1B" w:rsidRDefault="00A15A1B" w:rsidP="00226F59">
            <w:pPr>
              <w:keepNext/>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716908" w:rsidP="000A5003">
            <w:pPr>
              <w:keepNext/>
              <w:rPr>
                <w:rFonts w:ascii="Calibri" w:eastAsia="Calibri" w:hAnsi="Calibri" w:cs="Times New Roman"/>
              </w:rPr>
            </w:pPr>
            <w:r>
              <w:rPr>
                <w:rFonts w:ascii="Calibri" w:eastAsia="Calibri" w:hAnsi="Calibri" w:cs="Times New Roman"/>
              </w:rPr>
              <w:fldChar w:fldCharType="begin" w:fldLock="1"/>
            </w:r>
            <w:r w:rsidR="00BB43B9">
              <w:rPr>
                <w:rFonts w:ascii="Calibri" w:eastAsia="Calibri" w:hAnsi="Calibri" w:cs="Times New Roman"/>
              </w:rPr>
              <w:instrText>ADDIN CSL_CITATION { "citationItems" : [ { "id" : "ITEM-1", "itemData" : { "DOI" : "10.1111/risa.12022", "ISSN" : "1539-6924", "PMID" : "23470192", "abstract" : "The live, attenuated oral poliovirus vaccine (OPV) provides a powerful tool for controlling and stopping the transmission of wild polioviruses (WPVs), although the risks of vaccine-associated paralytic polio (VAPP) and circulating vaccine-derived poliovirus (cVDPV) outbreaks exist as long as OPV remains in use. Understanding the dynamics of cVDPV emergence and outbreaks as a function of population immunity and other risk factors may help to improve risk management and the development of strategies to respond to possible outbreaks. We performed a comprehensive review of the literature related to the process of OPV evolution and information available from actual experiences with cVDPV outbreaks. Only a relatively small fraction of poliovirus infections cause symptoms, which makes direct observation of the trajectory of OPV evolution within a population impractical and leads to significant uncertainty. Despite a large global surveillance system, the existing genetic sequence data largely provide information about transmitted virulent polioviruses that caused acute flaccid paralysis, and essentially no data track the changes that occur in OPV sequences as the viruses transmit largely asymptomatically through real populations with suboptimal immunity. We updated estimates of cVDPV risks based on actual experiences and identified the many limitations in the existing data on poliovirus transmission and immunity and OPV virus evolution that complicate modeling. Modelers should explore the space of potential model formulations and inputs consistent with the available evidence and future studies should seek to improve our understanding of the OPV virus evolution process to provide better information for policymakers working to manage cVDPV risks.", "author" : [ { "dropping-particle" : "", "family" : "Duintjer Tebbens", "given" : "Radboud J", "non-dropping-particle" : "", "parse-names" : false, "suffix" : "" }, { "dropping-particle" : "", "family" : "Pallansch", "given" : "Mark A", "non-dropping-particle" : "", "parse-names" : false, "suffix" : "" }, { "dropping-particle" : "", "family" : "Kim", "given" : "Jong-Hoon", "non-dropping-particle" : "", "parse-names" : false, "suffix" : "" }, { "dropping-particle" : "", "family" : "Burns", "given" : "Cara C", "non-dropping-particle" : "", "parse-names" : false, "suffix" : "" }, { "dropping-particle" : "", "family" : "Kew", "given" : "Olen M", "non-dropping-particle" : "", "parse-names" : false, "suffix" : "" }, { "dropping-particle" : "", "family" : "Oberste", "given" : "M Steven", "non-dropping-particle" : "", "parse-names" : false, "suffix" : "" }, { "dropping-particle" : "", "family" : "Diop", "given" : "Ousmane M",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"680-702", "title" : "Oral poliovirus vaccine evolution and insights relevant to modeling the risks of circulating vaccine-derived polioviruses (cVDPVs).", "type" : "article-journal", "volume" : "33" }, "uris" : [ "http://www.mendeley.com/documents/?uuid=60c59e46-ee49-3212-9bf3-c478c538342f" ] } ], "mendeley" : { "formattedCitation" : "[9]", "plainTextFormattedCitation" : "[9]", "previouslyFormattedCitation" : "&lt;sup&gt;9&lt;/sup&gt;" }, "properties" : { "noteIndex" : 0 }, "schema" : "https://github.com/citation-style-language/schema/raw/master/csl-citation.json" }</w:instrText>
            </w:r>
            <w:r>
              <w:rPr>
                <w:rFonts w:ascii="Calibri" w:eastAsia="Calibri" w:hAnsi="Calibri" w:cs="Times New Roman"/>
              </w:rPr>
              <w:fldChar w:fldCharType="separate"/>
            </w:r>
            <w:r w:rsidR="00BB43B9" w:rsidRPr="00BB43B9">
              <w:rPr>
                <w:rFonts w:ascii="Calibri" w:eastAsia="Calibri" w:hAnsi="Calibri" w:cs="Times New Roman"/>
                <w:noProof/>
              </w:rPr>
              <w:t>[9]</w:t>
            </w:r>
            <w:r>
              <w:rPr>
                <w:rFonts w:ascii="Calibri" w:eastAsia="Calibri" w:hAnsi="Calibri" w:cs="Times New Roman"/>
              </w:rPr>
              <w:fldChar w:fldCharType="end"/>
            </w:r>
          </w:p>
        </w:tc>
      </w:tr>
    </w:tbl>
    <w:p w:rsidR="002D5939" w:rsidRPr="002D5939" w:rsidRDefault="00226F59" w:rsidP="00226F59">
      <w:pPr>
        <w:pStyle w:val="Caption"/>
      </w:pPr>
      <w:bookmarkStart w:id="1" w:name="_Ref458507313"/>
      <w:r>
        <w:t xml:space="preserve">Table </w:t>
      </w:r>
      <w:fldSimple w:instr=" SEQ Table \* ARABIC ">
        <w:r>
          <w:rPr>
            <w:noProof/>
          </w:rPr>
          <w:t>1</w:t>
        </w:r>
      </w:fldSimple>
      <w:bookmarkEnd w:id="1"/>
      <w:r>
        <w:t>: Description of all model parameters relevant to the study</w:t>
      </w:r>
    </w:p>
    <w:p w:rsidR="00671627" w:rsidRDefault="00671627" w:rsidP="00DD2597">
      <w:pPr>
        <w:rPr>
          <w:b/>
        </w:rPr>
      </w:pPr>
    </w:p>
    <w:p w:rsidR="00DD2597" w:rsidRPr="00C63835" w:rsidRDefault="00DD2597" w:rsidP="00DD2597">
      <w:r>
        <w:rPr>
          <w:b/>
        </w:rPr>
        <w:t>Calibration</w:t>
      </w:r>
    </w:p>
    <w:p w:rsidR="00FF7A91" w:rsidRDefault="00FF7A91" w:rsidP="00FF7A91">
      <w:r>
        <w:t xml:space="preserve">In 2008, a seasonal peak in endemic transmission in Nigeria apparently seeded outbreaks that propagated over the following two years throughout the West African countries modeled in this work.  Comparing this historical outbreak with the behavior of modeled outbreaks allows for qualitative bounds to be placed on the magnitude of migration rates in the model.  </w:t>
      </w:r>
      <w:r w:rsidR="00555CB6">
        <w:fldChar w:fldCharType="begin"/>
      </w:r>
      <w:r w:rsidR="00555CB6">
        <w:instrText xml:space="preserve"> REF _Ref459891284 \h </w:instrText>
      </w:r>
      <w:r w:rsidR="00555CB6">
        <w:fldChar w:fldCharType="separate"/>
      </w:r>
      <w:r w:rsidR="00555CB6">
        <w:t xml:space="preserve">Figure </w:t>
      </w:r>
      <w:r w:rsidR="00555CB6">
        <w:rPr>
          <w:noProof/>
        </w:rPr>
        <w:t>1</w:t>
      </w:r>
      <w:r w:rsidR="00555CB6">
        <w:fldChar w:fldCharType="end"/>
      </w:r>
      <w:r w:rsidR="00555CB6">
        <w:t xml:space="preserve"> </w:t>
      </w:r>
      <w:r>
        <w:t>presents this historical outbreak, with countries placed into a rough ordering from northwest at the top to southeast at the bottom, producing a striking traveling epidemic pattern.</w:t>
      </w:r>
    </w:p>
    <w:p w:rsidR="000104BD" w:rsidRDefault="00BB43B9" w:rsidP="000104BD">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1.5pt">
            <v:imagedata r:id="rId6" o:title="outbreak_data"/>
          </v:shape>
        </w:pict>
      </w:r>
    </w:p>
    <w:p w:rsidR="000104BD" w:rsidRPr="00E63A02" w:rsidRDefault="000104BD" w:rsidP="000104BD">
      <w:pPr>
        <w:pStyle w:val="Caption"/>
      </w:pPr>
      <w:bookmarkStart w:id="2" w:name="_Ref459891284"/>
      <w:r>
        <w:t xml:space="preserve">Figure </w:t>
      </w:r>
      <w:fldSimple w:instr=" SEQ Figure \* ARABIC ">
        <w:r w:rsidR="00D4305D">
          <w:rPr>
            <w:noProof/>
          </w:rPr>
          <w:t>1</w:t>
        </w:r>
      </w:fldSimple>
      <w:bookmarkEnd w:id="2"/>
      <w:r>
        <w:t xml:space="preserve">: Wild Poliovirus Type 1 outbreak in West Africa, 2008-2010. Countries are roughly ordered northwest to southeast from top to bottom.  </w:t>
      </w:r>
    </w:p>
    <w:p w:rsidR="009C5E9D" w:rsidRDefault="00E63A02">
      <w:r>
        <w:t xml:space="preserve">Calibrating the properties of the </w:t>
      </w:r>
      <w:r w:rsidR="00FF7A91">
        <w:t xml:space="preserve">modeled </w:t>
      </w:r>
      <w:r>
        <w:t xml:space="preserve">migration network to </w:t>
      </w:r>
      <w:r w:rsidR="00FF7A91">
        <w:t xml:space="preserve">this </w:t>
      </w:r>
      <w:r>
        <w:t>past poliovirus outbreak presents inherent difficulties – due to the case-to-infection ratio, the spread of infection is poorly sampled; disease propagation on the network is stochastic</w:t>
      </w:r>
      <w:r w:rsidR="009C5E9D">
        <w:t>, and only a single observation of propagation on the network is observed</w:t>
      </w:r>
      <w:r>
        <w:t>; and the propagation process depends not only on the structure of the migration network, but also on the uncertain transmissibility and immunity conditions in the nodes of the network.  For these reasons, a detailed calibra</w:t>
      </w:r>
      <w:r w:rsidR="00FF7A91">
        <w:t>tion of the migration models to the full spatial infection traces is not attempted.  R</w:t>
      </w:r>
      <w:r>
        <w:t xml:space="preserve">ather, </w:t>
      </w:r>
      <w:r w:rsidR="00FF7A91">
        <w:t xml:space="preserve">calibration </w:t>
      </w:r>
      <w:r w:rsidR="009C5E9D">
        <w:t xml:space="preserve">qualitatively </w:t>
      </w:r>
      <w:r w:rsidR="00FF7A91">
        <w:t xml:space="preserve">targets </w:t>
      </w:r>
      <w:r>
        <w:t xml:space="preserve">the </w:t>
      </w:r>
      <w:r w:rsidR="009C5E9D">
        <w:t xml:space="preserve">temporal behavior of the outbreak, seeking to </w:t>
      </w:r>
      <w:r w:rsidR="00DB2A38">
        <w:t>minimize the differences between</w:t>
      </w:r>
      <w:r w:rsidR="009C5E9D">
        <w:t xml:space="preserve"> a “case-weighted time” in each country from data</w:t>
      </w:r>
      <w:r w:rsidR="00DB2A38">
        <w:t xml:space="preserve"> (Eq. </w:t>
      </w:r>
      <w:r w:rsidR="00555CB6">
        <w:t>15</w:t>
      </w:r>
      <w:r w:rsidR="00DB2A38">
        <w:fldChar w:fldCharType="begin"/>
      </w:r>
      <w:r w:rsidR="00DB2A38">
        <w:instrText xml:space="preserve"> REF _Ref459817352 \h </w:instrText>
      </w:r>
      <w:r w:rsidR="00DB2A38">
        <w:fldChar w:fldCharType="end"/>
      </w:r>
      <w:r w:rsidR="00DB2A38">
        <w:t>)</w:t>
      </w:r>
      <w:r w:rsidR="009C5E9D">
        <w:t xml:space="preserve"> and “incidence-weighted time” from simulation in each country</w:t>
      </w:r>
      <w:r w:rsidR="00DB2A38">
        <w:t xml:space="preserve"> (Eq. </w:t>
      </w:r>
      <w:r w:rsidR="00555CB6">
        <w:t>16</w:t>
      </w:r>
      <w:r w:rsidR="00DB2A38">
        <w:t>)</w:t>
      </w:r>
      <w:r w:rsidR="009C5E9D">
        <w:t>.</w:t>
      </w:r>
      <w:r>
        <w:t xml:space="preserve"> </w:t>
      </w:r>
      <w:r w:rsidR="009C5E9D">
        <w:t xml:space="preserve"> The relative amplitudes of the outbreaks in different countries are not targeted as part of the calibration.</w:t>
      </w:r>
    </w:p>
    <w:tbl>
      <w:tblPr>
        <w:tblStyle w:val="TableGrid"/>
        <w:tblW w:w="0" w:type="auto"/>
        <w:tblLook w:val="04A0" w:firstRow="1" w:lastRow="0" w:firstColumn="1" w:lastColumn="0" w:noHBand="0" w:noVBand="1"/>
      </w:tblPr>
      <w:tblGrid>
        <w:gridCol w:w="8005"/>
        <w:gridCol w:w="1345"/>
      </w:tblGrid>
      <w:tr w:rsidR="00DB2A38" w:rsidTr="00DB2A38">
        <w:tc>
          <w:tcPr>
            <w:tcW w:w="8005" w:type="dxa"/>
          </w:tcPr>
          <w:p w:rsidR="00DB2A38" w:rsidRPr="00555CB6" w:rsidRDefault="00BB43B9" w:rsidP="00DB2A38">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 t</m:t>
                                </m:r>
                              </m:sub>
                            </m:sSub>
                          </m:e>
                        </m:d>
                      </m:e>
                    </m:nary>
                  </m:den>
                </m:f>
                <m:r>
                  <w:rPr>
                    <w:rFonts w:ascii="Cambria Math" w:hAnsi="Cambria Math"/>
                  </w:rPr>
                  <m:t xml:space="preserve"> </m:t>
                </m:r>
              </m:oMath>
            </m:oMathPara>
          </w:p>
        </w:tc>
        <w:tc>
          <w:tcPr>
            <w:tcW w:w="1345" w:type="dxa"/>
          </w:tcPr>
          <w:p w:rsidR="00DB2A38" w:rsidRPr="00555CB6" w:rsidRDefault="00BB43B9" w:rsidP="00555CB6">
            <w:pPr>
              <w:pStyle w:val="Caption"/>
              <w:rPr>
                <w:b w:val="0"/>
                <w:color w:val="auto"/>
              </w:rPr>
            </w:pPr>
            <m:oMathPara>
              <m:oMath>
                <m:d>
                  <m:dPr>
                    <m:ctrlPr>
                      <w:rPr>
                        <w:rFonts w:ascii="Cambria Math" w:eastAsiaTheme="minorEastAsia" w:hAnsi="Cambria Math"/>
                        <w:b w:val="0"/>
                        <w:i/>
                        <w:color w:val="auto"/>
                      </w:rPr>
                    </m:ctrlPr>
                  </m:dPr>
                  <m:e>
                    <m:r>
                      <m:rPr>
                        <m:sty m:val="bi"/>
                      </m:rPr>
                      <w:rPr>
                        <w:rFonts w:ascii="Cambria Math" w:eastAsiaTheme="minorEastAsia" w:hAnsi="Cambria Math"/>
                        <w:color w:val="auto"/>
                      </w:rPr>
                      <m:t>15</m:t>
                    </m:r>
                  </m:e>
                </m:d>
              </m:oMath>
            </m:oMathPara>
          </w:p>
        </w:tc>
      </w:tr>
      <w:tr w:rsidR="00DB2A38" w:rsidTr="00DB2A38">
        <w:tc>
          <w:tcPr>
            <w:tcW w:w="8005" w:type="dxa"/>
          </w:tcPr>
          <w:p w:rsidR="00DB2A38" w:rsidRPr="00555CB6" w:rsidRDefault="00BB43B9" w:rsidP="00DB2A38">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 t</m:t>
                                </m:r>
                              </m:sub>
                            </m:sSub>
                          </m:e>
                        </m:d>
                      </m:e>
                    </m:nary>
                  </m:den>
                </m:f>
                <m:r>
                  <w:rPr>
                    <w:rFonts w:ascii="Cambria Math" w:hAnsi="Cambria Math"/>
                  </w:rPr>
                  <m:t xml:space="preserve"> </m:t>
                </m:r>
              </m:oMath>
            </m:oMathPara>
          </w:p>
        </w:tc>
        <w:tc>
          <w:tcPr>
            <w:tcW w:w="1345" w:type="dxa"/>
          </w:tcPr>
          <w:p w:rsidR="00DB2A38" w:rsidRPr="00555CB6" w:rsidRDefault="00BB43B9" w:rsidP="00555CB6">
            <w:pPr>
              <w:pStyle w:val="Caption"/>
              <w:rPr>
                <w:b w:val="0"/>
                <w:color w:val="auto"/>
              </w:rPr>
            </w:pPr>
            <m:oMathPara>
              <m:oMath>
                <m:d>
                  <m:dPr>
                    <m:ctrlPr>
                      <w:rPr>
                        <w:rFonts w:ascii="Cambria Math" w:eastAsiaTheme="minorEastAsia" w:hAnsi="Cambria Math"/>
                        <w:b w:val="0"/>
                        <w:i/>
                        <w:color w:val="auto"/>
                      </w:rPr>
                    </m:ctrlPr>
                  </m:dPr>
                  <m:e>
                    <m:r>
                      <m:rPr>
                        <m:sty m:val="bi"/>
                      </m:rPr>
                      <w:rPr>
                        <w:rFonts w:ascii="Cambria Math" w:eastAsiaTheme="minorEastAsia" w:hAnsi="Cambria Math"/>
                        <w:color w:val="auto"/>
                      </w:rPr>
                      <m:t>16</m:t>
                    </m:r>
                  </m:e>
                </m:d>
              </m:oMath>
            </m:oMathPara>
          </w:p>
        </w:tc>
      </w:tr>
      <w:tr w:rsidR="00DB2A38" w:rsidTr="00DB2A38">
        <w:tc>
          <w:tcPr>
            <w:tcW w:w="8005" w:type="dxa"/>
          </w:tcPr>
          <w:p w:rsidR="00DB2A38" w:rsidRPr="00555CB6" w:rsidRDefault="00555CB6" w:rsidP="00DB2A38">
            <w:pPr>
              <w:jc w:val="center"/>
              <w:rPr>
                <w:rFonts w:eastAsiaTheme="minorEastAsia"/>
              </w:rPr>
            </w:pPr>
            <m:oMath>
              <m:r>
                <w:rPr>
                  <w:rFonts w:ascii="Cambria Math" w:hAnsi="Cambria Math"/>
                </w:rPr>
                <m:t xml:space="preserve">σ=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 xml:space="preserve">- </m:t>
                              </m:r>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e>
                          </m:d>
                        </m:e>
                        <m:sup>
                          <m:r>
                            <w:rPr>
                              <w:rFonts w:ascii="Cambria Math" w:hAnsi="Cambria Math"/>
                            </w:rPr>
                            <m:t>2</m:t>
                          </m:r>
                        </m:sup>
                      </m:sSup>
                    </m:e>
                  </m:nary>
                </m:e>
              </m:rad>
              <m:r>
                <w:rPr>
                  <w:rFonts w:ascii="Cambria Math" w:hAnsi="Cambria Math"/>
                </w:rPr>
                <m:t xml:space="preserve"> </m:t>
              </m:r>
            </m:oMath>
            <w:r w:rsidR="00DB2A38" w:rsidRPr="00555CB6">
              <w:rPr>
                <w:rFonts w:eastAsiaTheme="minorEastAsia"/>
              </w:rPr>
              <w:t xml:space="preserve">  </w:t>
            </w:r>
            <m:oMath>
              <m:r>
                <w:rPr>
                  <w:rFonts w:ascii="Cambria Math" w:hAnsi="Cambria Math"/>
                </w:rPr>
                <m:t xml:space="preserve"> </m:t>
              </m:r>
            </m:oMath>
          </w:p>
        </w:tc>
        <w:tc>
          <w:tcPr>
            <w:tcW w:w="1345" w:type="dxa"/>
          </w:tcPr>
          <w:p w:rsidR="00DB2A38" w:rsidRPr="00555CB6" w:rsidRDefault="00BB43B9" w:rsidP="00555CB6">
            <w:pPr>
              <w:pStyle w:val="Caption"/>
              <w:rPr>
                <w:b w:val="0"/>
                <w:color w:val="auto"/>
              </w:rPr>
            </w:pPr>
            <m:oMathPara>
              <m:oMath>
                <m:d>
                  <m:dPr>
                    <m:ctrlPr>
                      <w:rPr>
                        <w:rFonts w:ascii="Cambria Math" w:eastAsiaTheme="minorEastAsia" w:hAnsi="Cambria Math"/>
                        <w:b w:val="0"/>
                        <w:i/>
                        <w:color w:val="auto"/>
                      </w:rPr>
                    </m:ctrlPr>
                  </m:dPr>
                  <m:e>
                    <m:r>
                      <m:rPr>
                        <m:sty m:val="bi"/>
                      </m:rPr>
                      <w:rPr>
                        <w:rFonts w:ascii="Cambria Math" w:eastAsiaTheme="minorEastAsia" w:hAnsi="Cambria Math"/>
                        <w:color w:val="auto"/>
                      </w:rPr>
                      <m:t>17</m:t>
                    </m:r>
                  </m:e>
                </m:d>
              </m:oMath>
            </m:oMathPara>
          </w:p>
        </w:tc>
      </w:tr>
    </w:tbl>
    <w:p w:rsidR="00FE45FA" w:rsidRDefault="00FE45FA">
      <w:pPr>
        <w:rPr>
          <w:rFonts w:eastAsiaTheme="minorEastAsia"/>
        </w:rPr>
      </w:pPr>
      <w:r>
        <w:t xml:space="preserve">With </w:t>
      </w:r>
      <w:r>
        <w:rPr>
          <w:i/>
        </w:rPr>
        <w:t xml:space="preserve">t </w:t>
      </w:r>
      <w:r>
        <w:t xml:space="preserve">stepping in 30-day increments beginning on Jan 1, 2008; </w:t>
      </w:r>
      <m:oMath>
        <m:sSub>
          <m:sSubPr>
            <m:ctrlPr>
              <w:rPr>
                <w:rFonts w:ascii="Cambria Math" w:hAnsi="Cambria Math"/>
                <w:i/>
              </w:rPr>
            </m:ctrlPr>
          </m:sSubPr>
          <m:e>
            <m:r>
              <w:rPr>
                <w:rFonts w:ascii="Cambria Math" w:hAnsi="Cambria Math"/>
              </w:rPr>
              <m:t>C</m:t>
            </m:r>
          </m:e>
          <m:sub>
            <m:r>
              <w:rPr>
                <w:rFonts w:ascii="Cambria Math" w:hAnsi="Cambria Math"/>
              </w:rPr>
              <m:t>j,t</m:t>
            </m:r>
          </m:sub>
        </m:sSub>
      </m:oMath>
      <w:r>
        <w:rPr>
          <w:rFonts w:eastAsiaTheme="minorEastAsia"/>
        </w:rPr>
        <w:t xml:space="preserve"> indicating the number of cases in country </w:t>
      </w:r>
      <w:r w:rsidRPr="00FE45FA">
        <w:rPr>
          <w:rFonts w:eastAsiaTheme="minorEastAsia"/>
          <w:i/>
        </w:rPr>
        <w:t>j</w:t>
      </w:r>
      <w:r>
        <w:t xml:space="preserve"> during time bin </w:t>
      </w:r>
      <w:r w:rsidRPr="00FE45FA">
        <w:rPr>
          <w:i/>
        </w:rPr>
        <w:t>t</w:t>
      </w:r>
      <w:r>
        <w:t xml:space="preserve">, </w:t>
      </w:r>
      <w:r>
        <w:rPr>
          <w:rFonts w:eastAsiaTheme="minorEastAsia"/>
        </w:rPr>
        <w:t xml:space="preserve">and </w:t>
      </w:r>
      <m:oMath>
        <m:sSub>
          <m:sSubPr>
            <m:ctrlPr>
              <w:rPr>
                <w:rFonts w:ascii="Cambria Math" w:hAnsi="Cambria Math"/>
                <w:i/>
              </w:rPr>
            </m:ctrlPr>
          </m:sSubPr>
          <m:e>
            <m:r>
              <w:rPr>
                <w:rFonts w:ascii="Cambria Math" w:hAnsi="Cambria Math"/>
              </w:rPr>
              <m:t>I</m:t>
            </m:r>
          </m:e>
          <m:sub>
            <m:r>
              <w:rPr>
                <w:rFonts w:ascii="Cambria Math" w:hAnsi="Cambria Math"/>
              </w:rPr>
              <m:t>j,t</m:t>
            </m:r>
          </m:sub>
        </m:sSub>
      </m:oMath>
      <w:r>
        <w:rPr>
          <w:rFonts w:eastAsiaTheme="minorEastAsia"/>
        </w:rPr>
        <w:t xml:space="preserve"> indicating the number of infections in country </w:t>
      </w:r>
      <w:r>
        <w:rPr>
          <w:rFonts w:eastAsiaTheme="minorEastAsia"/>
          <w:i/>
        </w:rPr>
        <w:t xml:space="preserve">j </w:t>
      </w:r>
      <w:r>
        <w:rPr>
          <w:rFonts w:eastAsiaTheme="minorEastAsia"/>
        </w:rPr>
        <w:t xml:space="preserve">during time bin </w:t>
      </w:r>
      <w:r w:rsidRPr="00FE45FA">
        <w:rPr>
          <w:rFonts w:eastAsiaTheme="minorEastAsia"/>
          <w:i/>
        </w:rPr>
        <w:t>t</w:t>
      </w:r>
      <w:r>
        <w:rPr>
          <w:rFonts w:eastAsiaTheme="minorEastAsia"/>
        </w:rPr>
        <w:t xml:space="preserve">. As the exact peak of the Nigeria outbreak may shift from simulation to simulation,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oMath>
      <w:r>
        <w:rPr>
          <w:rFonts w:eastAsiaTheme="minorEastAsia"/>
        </w:rPr>
        <w:t xml:space="preserve"> is defined relative </w:t>
      </w:r>
      <w:r>
        <w:rPr>
          <w:rFonts w:eastAsiaTheme="minorEastAsia"/>
        </w:rPr>
        <w:lastRenderedPageBreak/>
        <w:t xml:space="preserve">to that peak in each simulation.  </w:t>
      </w:r>
      <w:r w:rsidR="00DB2A38" w:rsidRPr="00FE45FA">
        <w:t>The</w:t>
      </w:r>
      <w:r w:rsidR="00DB2A38">
        <w:t xml:space="preserve"> calibration aims to minimize the term </w:t>
      </w:r>
      <m:oMath>
        <m:r>
          <w:rPr>
            <w:rFonts w:ascii="Cambria Math" w:hAnsi="Cambria Math"/>
          </w:rPr>
          <m:t>σ</m:t>
        </m:r>
      </m:oMath>
      <w:r w:rsidR="00DB2A38">
        <w:rPr>
          <w:rFonts w:eastAsiaTheme="minorEastAsia"/>
        </w:rPr>
        <w:t xml:space="preserve"> defined in Eq. </w:t>
      </w:r>
      <w:r w:rsidR="00555CB6">
        <w:rPr>
          <w:rFonts w:eastAsiaTheme="minorEastAsia"/>
        </w:rPr>
        <w:t>17</w:t>
      </w:r>
      <w:r w:rsidR="00DB2A38">
        <w:rPr>
          <w:rFonts w:eastAsiaTheme="minorEastAsia"/>
        </w:rPr>
        <w:t xml:space="preserve"> above (in practice, it actually aims to maximize </w:t>
      </w:r>
      <m:oMath>
        <m:r>
          <w:rPr>
            <w:rFonts w:ascii="Cambria Math" w:hAnsi="Cambria Math"/>
          </w:rPr>
          <m:t>-log10(σ)</m:t>
        </m:r>
      </m:oMath>
      <w:r w:rsidR="00DB2A38">
        <w:rPr>
          <w:rFonts w:eastAsiaTheme="minorEastAsia"/>
        </w:rPr>
        <w:t xml:space="preserve">).  </w:t>
      </w:r>
    </w:p>
    <w:p w:rsidR="00DB2A38" w:rsidRDefault="00DB2A38">
      <w:pPr>
        <w:rPr>
          <w:rFonts w:eastAsiaTheme="minorEastAsia"/>
        </w:rPr>
      </w:pPr>
      <w:r>
        <w:rPr>
          <w:rFonts w:eastAsiaTheme="minorEastAsia"/>
        </w:rPr>
        <w:t>Incremental Mixture Importance Sampling (IMIS) is used to sample and re-sample a 2D parameter space of R</w:t>
      </w:r>
      <w:r>
        <w:rPr>
          <w:rFonts w:eastAsiaTheme="minorEastAsia"/>
          <w:vertAlign w:val="subscript"/>
        </w:rPr>
        <w:t>0</w:t>
      </w:r>
      <w:r>
        <w:rPr>
          <w:rFonts w:eastAsiaTheme="minorEastAsia"/>
        </w:rPr>
        <w:t xml:space="preserve"> and overall migration rate.</w:t>
      </w:r>
      <w:r>
        <w:rPr>
          <w:rFonts w:eastAsiaTheme="minorEastAsia"/>
        </w:rPr>
        <w:fldChar w:fldCharType="begin" w:fldLock="1"/>
      </w:r>
      <w:r w:rsidR="00BB43B9">
        <w:rPr>
          <w:rFonts w:eastAsiaTheme="minorEastAsia"/>
        </w:rPr>
        <w:instrText>ADDIN CSL_CITATION { "citationItems" : [ { "id" : "ITEM-1", "itemData" : { "DOI" : "10.1111/j.1541-0420.2010.01399.x", "ISSN" : "1541-0420", "PMID" : "20222935", "abstract" : "The Joint United Nations Programme on HIV/AIDS (UNAIDS) has decided to use Bayesian melding as the basis for its probabilistic projections of HIV prevalence in countries with generalized epidemics. This combines a mechanistic epidemiological model, prevalence data, and expert opinion. Initially, the posterior distribution was approximated by sampling-importance-resampling, which is simple to implement, easy to interpret, transparent to users, and gave acceptable results for most countries. For some countries, however, this is not computationally efficient because the posterior distribution tends to be concentrated around nonlinear ridges and can also be multimodal. We propose instead incremental mixture importance sampling (IMIS), which iteratively builds up a better importance sampling function. This retains the simplicity and transparency of sampling importance resampling, but is much more efficient computationally. It also leads to a simple estimator of the integrated likelihood that is the basis for Bayesian model comparison and model averaging. In simulation experiments and on real data, it outperformed both sampling importance resampling and three publicly available generic Markov chain Monte Carlo algorithms for this kind of problem.", "author" : [ { "dropping-particle" : "", "family" : "Raftery", "given" : "Adrian E", "non-dropping-particle" : "", "parse-names" : false, "suffix" : "" }, { "dropping-particle" : "", "family" : "Bao", "given" : "Le", "non-dropping-particle" : "", "parse-names" : false, "suffix" : "" } ], "container-title" : "Biometrics", "id" : "ITEM-1", "issue" : "4", "issued" : { "date-parts" : [ [ "2010", "12" ] ] }, "page" : "1162-73", "title" : "Estimating and Projecting Trends in HIV/AIDS Generalized Epidemics Using Incremental Mixture Importance Sampling.", "type" : "article-journal", "volume" : "66" }, "uris" : [ "http://www.mendeley.com/documents/?uuid=c9e3b548-d232-4001-a131-45c058d44e7a" ] } ], "mendeley" : { "formattedCitation" : "[10]", "plainTextFormattedCitation" : "[10]", "previouslyFormattedCitation" : "&lt;sup&gt;10&lt;/sup&gt;" }, "properties" : { "noteIndex" : 0 }, "schema" : "https://github.com/citation-style-language/schema/raw/master/csl-citation.json" }</w:instrText>
      </w:r>
      <w:r>
        <w:rPr>
          <w:rFonts w:eastAsiaTheme="minorEastAsia"/>
        </w:rPr>
        <w:fldChar w:fldCharType="separate"/>
      </w:r>
      <w:r w:rsidR="00BB43B9" w:rsidRPr="00BB43B9">
        <w:rPr>
          <w:rFonts w:eastAsiaTheme="minorEastAsia"/>
          <w:noProof/>
        </w:rPr>
        <w:t>[10]</w:t>
      </w:r>
      <w:r>
        <w:rPr>
          <w:rFonts w:eastAsiaTheme="minorEastAsia"/>
        </w:rPr>
        <w:fldChar w:fldCharType="end"/>
      </w:r>
      <w:r>
        <w:rPr>
          <w:rFonts w:eastAsiaTheme="minorEastAsia"/>
        </w:rPr>
        <w:t xml:space="preserve">  IMIS </w:t>
      </w:r>
      <w:r w:rsidR="00B75F6E">
        <w:rPr>
          <w:rFonts w:eastAsiaTheme="minorEastAsia"/>
        </w:rPr>
        <w:t>was</w:t>
      </w:r>
      <w:r>
        <w:rPr>
          <w:rFonts w:eastAsiaTheme="minorEastAsia"/>
        </w:rPr>
        <w:t xml:space="preserve"> designed to work with deterministic models and proportionally sample a true posterior density based on an appropriately-defined likelihood function</w:t>
      </w:r>
      <w:r w:rsidR="00B75F6E">
        <w:rPr>
          <w:rFonts w:eastAsiaTheme="minorEastAsia"/>
        </w:rPr>
        <w:t xml:space="preserve">. </w:t>
      </w:r>
      <w:r>
        <w:rPr>
          <w:rFonts w:eastAsiaTheme="minorEastAsia"/>
        </w:rPr>
        <w:t xml:space="preserve"> </w:t>
      </w:r>
      <w:r w:rsidR="00B75F6E">
        <w:rPr>
          <w:rFonts w:eastAsiaTheme="minorEastAsia"/>
        </w:rPr>
        <w:t>However, the author</w:t>
      </w:r>
      <w:r>
        <w:rPr>
          <w:rFonts w:eastAsiaTheme="minorEastAsia"/>
        </w:rPr>
        <w:t xml:space="preserve"> has found it effective </w:t>
      </w:r>
      <w:r w:rsidR="00B75F6E">
        <w:rPr>
          <w:rFonts w:eastAsiaTheme="minorEastAsia"/>
        </w:rPr>
        <w:t>as a means of maximizing and mapping the surface of an objective function (not necessarily likelihoods) applied to a stochastic model, so long as the stochastic variance in the objective function at a single point is outweighed by the “parameter-based” variation throughout the calibration space - in some sense, as long the objective surface is “smooth”, or has a high signal-to-noise.</w:t>
      </w:r>
      <w:r>
        <w:rPr>
          <w:rFonts w:eastAsiaTheme="minorEastAsia"/>
        </w:rPr>
        <w:t xml:space="preserve"> </w:t>
      </w:r>
      <w:r w:rsidR="00B75F6E">
        <w:rPr>
          <w:rFonts w:eastAsiaTheme="minorEastAsia"/>
        </w:rPr>
        <w:t xml:space="preserve">Additionally, </w:t>
      </w:r>
      <w:r>
        <w:rPr>
          <w:rFonts w:eastAsiaTheme="minorEastAsia"/>
        </w:rPr>
        <w:t xml:space="preserve">a code base for interfacing IMIS directly to IDM’s computational cluster already exists from previous work.   </w:t>
      </w:r>
    </w:p>
    <w:p w:rsidR="00D80B82" w:rsidRDefault="00D80B82">
      <w:pPr>
        <w:rPr>
          <w:rFonts w:eastAsiaTheme="minorEastAsia"/>
        </w:rPr>
      </w:pPr>
      <w:r>
        <w:rPr>
          <w:rFonts w:eastAsiaTheme="minorEastAsia"/>
        </w:rPr>
        <w:t>The model utilized in calibration is not strictly equivalent to that used in the investigations of post-cessation outbreak behavior.  The immunity levels in each province are not set equal to each other, but are rather derived from vaccine dose histories reported by acute flaccid paralysis cases during the time period in question.</w:t>
      </w:r>
      <w:r>
        <w:rPr>
          <w:rFonts w:eastAsiaTheme="minorEastAsia"/>
        </w:rPr>
        <w:fldChar w:fldCharType="begin" w:fldLock="1"/>
      </w:r>
      <w:r w:rsidR="00BB43B9">
        <w:rPr>
          <w:rFonts w:eastAsiaTheme="minorEastAsia"/>
        </w:rPr>
        <w:instrText>ADDIN CSL_CITATION { "citationItems" : [ { "id" : "ITEM-1", "itemData" : { "DOI" : "10.1186/1741-7015-12-92", "ISSN" : "1741-7015", "abstract" : "BACKGROUND:One of the challenges facing the Global Polio Eradication Initiative is efficiently directing limited resources, such as specially trained personnel, community outreach activities, and satellite vaccinator tracking, to the most at-risk areas to maximize the impact of interventions. A validated predictive model of wild poliovirus circulation would greatly inform prioritization efforts by accurately forecasting areas at greatest risk, thus enabling the greatest effect of program interventions.METHODS:Using Nigerian acute flaccid paralysis surveillance data from 2004-2013, we developed a spatial hierarchical Poisson hurdle model fitted within a Bayesian framework to study historical polio caseload patterns and forecast future circulation of type 1 and 3 wild poliovirus within districts in Nigeria. A Bayesian temporal smoothing model was applied to address data sparsity underlying estimates of covariates at the district level.RESULTS:We find that calculated vaccine-derived population immunity is significantly negatively associated with the probability and number of wild poliovirus case(s) within a district. Recent case information is significantly positively associated with probability of a case, but not the number of cases. We used lagged indicators and coefficients from the fitted models to forecast reported cases in the subsequent six-month periods. Over the past three years, the average predictive ability is 86 +/- 2% and 85 +/- 4% for wild poliovirus type 1 and 3, respectively. Interestingly, the predictive accuracy of historical transmission patterns alone is equivalent (86 +/- 2% and 84 +/- 4% for type 1 and 3, respectively). We calculate uncertainty in risk ranking to inform assessments of changes in rank between time periods.CONCLUSIONS:The model developed in this study successfully predicts districts at risk for future wild poliovirus cases in Nigeria. The highest predicted district risk was 12.8 WPV1 cases in 2006, while the lowest district risk was 0.001 WPV1 cases in 2013. Model results have been used to direct the allocation of many different interventions, including political and religious advocacy visits. This modeling approach could be applied to other vaccine preventable diseases for use in other control and elimination programs.", "author" : [ { "dropping-particle" : "", "family" : "Upfill-Brown", "given" : "Alexander M", "non-dropping-particle" : "", "parse-names" : false, "suffix" : "" }, { "dropping-particle" : "", "family" : "Lyons", "given" : "Hil M", "non-dropping-particle" : "", "parse-names" : false, "suffix" : "" }, { "dropping-particle" : "", "family" : "Pate", "given" : "Muhammad A", "non-dropping-particle" : "", "parse-names" : false, "suffix" : "" }, { "dropping-particle" : "", "family" : "Shuaib", "given" : "Faisal", "non-dropping-particle" : "", "parse-names" : false, "suffix" : "" }, { "dropping-particle" : "", "family" : "Baig", "given" : "Shahzad", "non-dropping-particle" : "", "parse-names" : false, "suffix" : "" }, { "dropping-particle" : "", "family" : "Hu", "given" : "Hao", "non-dropping-particle" : "", "parse-names" : false, "suffix" : "" }, { "dropping-particle" : "", "family" : "Eckhoff", "given" : "Philip A", "non-dropping-particle" : "", "parse-names" : false, "suffix" : "" }, { "dropping-particle" : "", "family" : "Chabot-Couture", "given" : "Guillaume", "non-dropping-particle" : "", "parse-names" : false, "suffix" : "" } ], "container-title" : "BMC Medicine", "id" : "ITEM-1", "issue" : "1", "issued" : { "date-parts" : [ [ "2014" ] ] }, "page" : "92", "title" : "Predictive spatial risk model of poliovirus to aid prioritization and hasten eradication in Nigeria", "type" : "article-journal", "volume" : "12" }, "uris" : [ "http://www.mendeley.com/documents/?uuid=9dfd0f07-ad3f-46d4-845b-abb054b40ba8" ] } ], "mendeley" : { "formattedCitation" : "[11]", "plainTextFormattedCitation" : "[11]", "previouslyFormattedCitation" : "&lt;sup&gt;11&lt;/sup&gt;" }, "properties" : { "noteIndex" : 0 }, "schema" : "https://github.com/citation-style-language/schema/raw/master/csl-citation.json" }</w:instrText>
      </w:r>
      <w:r>
        <w:rPr>
          <w:rFonts w:eastAsiaTheme="minorEastAsia"/>
        </w:rPr>
        <w:fldChar w:fldCharType="separate"/>
      </w:r>
      <w:r w:rsidR="00BB43B9" w:rsidRPr="00BB43B9">
        <w:rPr>
          <w:rFonts w:eastAsiaTheme="minorEastAsia"/>
          <w:noProof/>
        </w:rPr>
        <w:t>[11]</w:t>
      </w:r>
      <w:r>
        <w:rPr>
          <w:rFonts w:eastAsiaTheme="minorEastAsia"/>
        </w:rPr>
        <w:fldChar w:fldCharType="end"/>
      </w:r>
      <w:r>
        <w:rPr>
          <w:rFonts w:eastAsiaTheme="minorEastAsia"/>
        </w:rPr>
        <w:t xml:space="preserve">  </w:t>
      </w:r>
      <w:r w:rsidR="00FE45FA">
        <w:rPr>
          <w:rFonts w:eastAsiaTheme="minorEastAsia"/>
        </w:rPr>
        <w:t>Partial</w:t>
      </w:r>
      <w:r>
        <w:rPr>
          <w:rFonts w:eastAsiaTheme="minorEastAsia"/>
        </w:rPr>
        <w:t xml:space="preserve"> immunity is </w:t>
      </w:r>
      <w:r w:rsidR="00FE45FA">
        <w:rPr>
          <w:rFonts w:eastAsiaTheme="minorEastAsia"/>
        </w:rPr>
        <w:t xml:space="preserve">also not treated in the calibration version of the model; transmission takes place only through fully susceptible children.  Simulations begin in January 2008, with an outbreak seeded in Nigeria, and run through June 2013 (though the comparison only considers times through July 2010).  </w:t>
      </w:r>
      <w:r>
        <w:rPr>
          <w:rFonts w:eastAsiaTheme="minorEastAsia"/>
        </w:rPr>
        <w:t xml:space="preserve"> </w:t>
      </w:r>
    </w:p>
    <w:p w:rsidR="0088587B" w:rsidRDefault="00555CB6">
      <w:pPr>
        <w:rPr>
          <w:rFonts w:eastAsiaTheme="minorEastAsia"/>
        </w:rPr>
      </w:pPr>
      <w:r>
        <w:rPr>
          <w:rFonts w:eastAsiaTheme="minorEastAsia"/>
          <w:highlight w:val="yellow"/>
        </w:rPr>
        <w:fldChar w:fldCharType="begin"/>
      </w:r>
      <w:r>
        <w:rPr>
          <w:rFonts w:eastAsiaTheme="minorEastAsia"/>
        </w:rPr>
        <w:instrText xml:space="preserve"> REF _Ref459891633 \h </w:instrText>
      </w:r>
      <w:r>
        <w:rPr>
          <w:rFonts w:eastAsiaTheme="minorEastAsia"/>
          <w:highlight w:val="yellow"/>
        </w:rPr>
      </w:r>
      <w:r>
        <w:rPr>
          <w:rFonts w:eastAsiaTheme="minorEastAsia"/>
          <w:highlight w:val="yellow"/>
        </w:rPr>
        <w:fldChar w:fldCharType="separate"/>
      </w:r>
      <w:r>
        <w:t xml:space="preserve">Figure </w:t>
      </w:r>
      <w:r>
        <w:rPr>
          <w:noProof/>
        </w:rPr>
        <w:t>2</w:t>
      </w:r>
      <w:r>
        <w:rPr>
          <w:rFonts w:eastAsiaTheme="minorEastAsia"/>
          <w:highlight w:val="yellow"/>
        </w:rPr>
        <w:fldChar w:fldCharType="end"/>
      </w:r>
      <w:r>
        <w:rPr>
          <w:rFonts w:eastAsiaTheme="minorEastAsia"/>
        </w:rPr>
        <w:t xml:space="preserve"> </w:t>
      </w:r>
      <w:r w:rsidR="00FE45FA">
        <w:rPr>
          <w:rFonts w:eastAsiaTheme="minorEastAsia"/>
        </w:rPr>
        <w:t>presents t</w:t>
      </w:r>
      <w:r w:rsidR="00671627">
        <w:rPr>
          <w:rFonts w:eastAsiaTheme="minorEastAsia"/>
        </w:rPr>
        <w:t xml:space="preserve">he results of the calibration; points in the 2D space represent a single sampled pair of </w:t>
      </w:r>
      <w:r w:rsidR="0088587B">
        <w:rPr>
          <w:rFonts w:eastAsiaTheme="minorEastAsia"/>
        </w:rPr>
        <w:t>infectivity</w:t>
      </w:r>
      <w:r w:rsidR="00671627">
        <w:rPr>
          <w:rFonts w:eastAsiaTheme="minorEastAsia"/>
        </w:rPr>
        <w:t xml:space="preserve"> and </w:t>
      </w:r>
      <m:oMath>
        <m:r>
          <w:rPr>
            <w:rFonts w:ascii="Cambria Math" w:eastAsia="Calibri" w:hAnsi="Cambria Math" w:cs="Times New Roman"/>
          </w:rPr>
          <m:t>κ</m:t>
        </m:r>
      </m:oMath>
      <w:r w:rsidR="0088587B">
        <w:rPr>
          <w:rFonts w:eastAsiaTheme="minorEastAsia"/>
        </w:rPr>
        <w:t xml:space="preserve"> values, and the color indicating </w:t>
      </w:r>
      <m:oMath>
        <m:r>
          <w:rPr>
            <w:rFonts w:ascii="Cambria Math" w:eastAsiaTheme="minorEastAsia" w:hAnsi="Cambria Math"/>
          </w:rPr>
          <m:t>-</m:t>
        </m:r>
        <m:r>
          <w:rPr>
            <w:rFonts w:ascii="Cambria Math" w:hAnsi="Cambria Math"/>
          </w:rPr>
          <m:t>log10(σ)</m:t>
        </m:r>
      </m:oMath>
      <w:r w:rsidR="0088587B">
        <w:rPr>
          <w:rFonts w:eastAsiaTheme="minorEastAsia"/>
        </w:rPr>
        <w:t xml:space="preserve">.  A broad maximum is apparent around mean migration rates from </w:t>
      </w:r>
      <w:r>
        <w:rPr>
          <w:rFonts w:eastAsiaTheme="minorEastAsia"/>
        </w:rPr>
        <w:t xml:space="preserve">approximately -3.5 </w:t>
      </w:r>
      <w:r w:rsidR="0088587B">
        <w:rPr>
          <w:rFonts w:eastAsiaTheme="minorEastAsia"/>
        </w:rPr>
        <w:t xml:space="preserve">to </w:t>
      </w:r>
      <w:r>
        <w:rPr>
          <w:rFonts w:eastAsiaTheme="minorEastAsia"/>
        </w:rPr>
        <w:t>-2.5 (in log-10 units)</w:t>
      </w:r>
      <w:r w:rsidR="007661C8">
        <w:rPr>
          <w:rFonts w:eastAsiaTheme="minorEastAsia"/>
        </w:rPr>
        <w:t>, representing the preferred region outlined in the figures in the main text</w:t>
      </w:r>
      <w:r>
        <w:rPr>
          <w:rFonts w:eastAsiaTheme="minorEastAsia"/>
        </w:rPr>
        <w:t>; this corresponds to the average child traveling outside of their home state approximately once per year to once per decade</w:t>
      </w:r>
      <w:r w:rsidR="007661C8">
        <w:rPr>
          <w:rFonts w:eastAsiaTheme="minorEastAsia"/>
        </w:rPr>
        <w:t xml:space="preserve">. </w:t>
      </w:r>
      <w:r>
        <w:rPr>
          <w:rFonts w:eastAsiaTheme="minorEastAsia"/>
          <w:highlight w:val="yellow"/>
        </w:rPr>
        <w:fldChar w:fldCharType="begin"/>
      </w:r>
      <w:r>
        <w:rPr>
          <w:rFonts w:eastAsiaTheme="minorEastAsia"/>
        </w:rPr>
        <w:instrText xml:space="preserve"> REF _Ref459891818 \h </w:instrText>
      </w:r>
      <w:r>
        <w:rPr>
          <w:rFonts w:eastAsiaTheme="minorEastAsia"/>
          <w:highlight w:val="yellow"/>
        </w:rPr>
      </w:r>
      <w:r>
        <w:rPr>
          <w:rFonts w:eastAsiaTheme="minorEastAsia"/>
          <w:highlight w:val="yellow"/>
        </w:rPr>
        <w:fldChar w:fldCharType="separate"/>
      </w:r>
      <w:r>
        <w:t xml:space="preserve">Figure </w:t>
      </w:r>
      <w:r>
        <w:rPr>
          <w:noProof/>
        </w:rPr>
        <w:t>3</w:t>
      </w:r>
      <w:r>
        <w:rPr>
          <w:rFonts w:eastAsiaTheme="minorEastAsia"/>
          <w:highlight w:val="yellow"/>
        </w:rPr>
        <w:fldChar w:fldCharType="end"/>
      </w:r>
      <w:r>
        <w:rPr>
          <w:rFonts w:eastAsiaTheme="minorEastAsia"/>
        </w:rPr>
        <w:t xml:space="preserve"> </w:t>
      </w:r>
      <w:r w:rsidR="0088587B">
        <w:rPr>
          <w:rFonts w:eastAsiaTheme="minorEastAsia"/>
        </w:rPr>
        <w:t xml:space="preserve">presents the infection traces from </w:t>
      </w:r>
      <w:r w:rsidR="007661C8">
        <w:rPr>
          <w:rFonts w:eastAsiaTheme="minorEastAsia"/>
        </w:rPr>
        <w:t>two representative simulations in the preferred region</w:t>
      </w:r>
      <w:r w:rsidR="0088587B">
        <w:rPr>
          <w:rFonts w:eastAsiaTheme="minorEastAsia"/>
        </w:rPr>
        <w:t xml:space="preserve"> </w:t>
      </w:r>
      <w:r>
        <w:rPr>
          <w:rFonts w:eastAsiaTheme="minorEastAsia"/>
        </w:rPr>
        <w:t xml:space="preserve">under the actual outbreak.  </w:t>
      </w:r>
      <w:r w:rsidR="00D4305D">
        <w:rPr>
          <w:rFonts w:eastAsiaTheme="minorEastAsia"/>
        </w:rPr>
        <w:t xml:space="preserve">  Above this range of migration rates, transmission across the region becomes increasingly </w:t>
      </w:r>
      <w:r w:rsidR="0088587B">
        <w:rPr>
          <w:rFonts w:eastAsiaTheme="minorEastAsia"/>
        </w:rPr>
        <w:t>synchronous</w:t>
      </w:r>
      <w:r w:rsidR="007661C8">
        <w:rPr>
          <w:rFonts w:eastAsiaTheme="minorEastAsia"/>
        </w:rPr>
        <w:t xml:space="preserve">, </w:t>
      </w:r>
      <w:r w:rsidR="0088587B">
        <w:rPr>
          <w:rFonts w:eastAsiaTheme="minorEastAsia"/>
        </w:rPr>
        <w:t>qualitatively ruling out these values as realistic</w:t>
      </w:r>
      <w:r w:rsidR="00D4305D">
        <w:rPr>
          <w:rFonts w:eastAsiaTheme="minorEastAsia"/>
        </w:rPr>
        <w:t xml:space="preserve">; an example is shown in </w:t>
      </w:r>
      <w:r w:rsidR="0001541F">
        <w:rPr>
          <w:rFonts w:eastAsiaTheme="minorEastAsia"/>
        </w:rPr>
        <w:fldChar w:fldCharType="begin"/>
      </w:r>
      <w:r w:rsidR="0001541F">
        <w:rPr>
          <w:rFonts w:eastAsiaTheme="minorEastAsia"/>
        </w:rPr>
        <w:instrText xml:space="preserve"> REF _Ref459892185 \h </w:instrText>
      </w:r>
      <w:r w:rsidR="0001541F">
        <w:rPr>
          <w:rFonts w:eastAsiaTheme="minorEastAsia"/>
        </w:rPr>
      </w:r>
      <w:r w:rsidR="0001541F">
        <w:rPr>
          <w:rFonts w:eastAsiaTheme="minorEastAsia"/>
        </w:rPr>
        <w:fldChar w:fldCharType="separate"/>
      </w:r>
      <w:r w:rsidR="0001541F">
        <w:t xml:space="preserve">Figure </w:t>
      </w:r>
      <w:r w:rsidR="0001541F">
        <w:rPr>
          <w:noProof/>
        </w:rPr>
        <w:t>4</w:t>
      </w:r>
      <w:r w:rsidR="0001541F">
        <w:rPr>
          <w:rFonts w:eastAsiaTheme="minorEastAsia"/>
        </w:rPr>
        <w:fldChar w:fldCharType="end"/>
      </w:r>
      <w:r w:rsidR="00D4305D">
        <w:rPr>
          <w:rFonts w:eastAsiaTheme="minorEastAsia"/>
        </w:rPr>
        <w:t>.  Below this preferred</w:t>
      </w:r>
      <w:r w:rsidR="0088587B">
        <w:rPr>
          <w:rFonts w:eastAsiaTheme="minorEastAsia"/>
        </w:rPr>
        <w:t xml:space="preserve"> </w:t>
      </w:r>
      <w:r w:rsidR="00D4305D">
        <w:rPr>
          <w:rFonts w:eastAsiaTheme="minorEastAsia"/>
        </w:rPr>
        <w:t xml:space="preserve">region, the metapopulations become more disconnected and </w:t>
      </w:r>
      <w:r w:rsidR="007661C8">
        <w:rPr>
          <w:rFonts w:eastAsiaTheme="minorEastAsia"/>
        </w:rPr>
        <w:t>transmission fails to ex</w:t>
      </w:r>
      <w:r w:rsidR="00D4305D">
        <w:rPr>
          <w:rFonts w:eastAsiaTheme="minorEastAsia"/>
        </w:rPr>
        <w:t xml:space="preserve">port broadly across the network; an example is shown in </w:t>
      </w:r>
      <w:r w:rsidR="0001541F">
        <w:rPr>
          <w:rFonts w:eastAsiaTheme="minorEastAsia"/>
        </w:rPr>
        <w:fldChar w:fldCharType="begin"/>
      </w:r>
      <w:r w:rsidR="0001541F">
        <w:rPr>
          <w:rFonts w:eastAsiaTheme="minorEastAsia"/>
        </w:rPr>
        <w:instrText xml:space="preserve"> REF _Ref459892190 \h </w:instrText>
      </w:r>
      <w:r w:rsidR="0001541F">
        <w:rPr>
          <w:rFonts w:eastAsiaTheme="minorEastAsia"/>
        </w:rPr>
      </w:r>
      <w:r w:rsidR="0001541F">
        <w:rPr>
          <w:rFonts w:eastAsiaTheme="minorEastAsia"/>
        </w:rPr>
        <w:fldChar w:fldCharType="separate"/>
      </w:r>
      <w:r w:rsidR="0001541F">
        <w:t xml:space="preserve">Figure </w:t>
      </w:r>
      <w:r w:rsidR="0001541F">
        <w:rPr>
          <w:noProof/>
        </w:rPr>
        <w:t>5</w:t>
      </w:r>
      <w:r w:rsidR="0001541F">
        <w:rPr>
          <w:rFonts w:eastAsiaTheme="minorEastAsia"/>
        </w:rPr>
        <w:fldChar w:fldCharType="end"/>
      </w:r>
      <w:r w:rsidR="0088587B">
        <w:rPr>
          <w:rFonts w:eastAsiaTheme="minorEastAsia"/>
        </w:rPr>
        <w:t xml:space="preserve">.  </w:t>
      </w:r>
    </w:p>
    <w:p w:rsidR="00555CB6" w:rsidRDefault="00BB43B9" w:rsidP="00555CB6">
      <w:pPr>
        <w:keepNext/>
      </w:pPr>
      <w:r>
        <w:rPr>
          <w:rFonts w:eastAsiaTheme="minorEastAsia"/>
        </w:rPr>
        <w:lastRenderedPageBreak/>
        <w:pict>
          <v:shape id="_x0000_i1026" type="#_x0000_t75" style="width:468pt;height:241.5pt">
            <v:imagedata r:id="rId7" o:title="objective_space"/>
          </v:shape>
        </w:pict>
      </w:r>
    </w:p>
    <w:p w:rsidR="00555CB6" w:rsidRDefault="00555CB6" w:rsidP="00555CB6">
      <w:pPr>
        <w:pStyle w:val="Caption"/>
      </w:pPr>
      <w:bookmarkStart w:id="3" w:name="_Ref459891633"/>
      <w:r>
        <w:t xml:space="preserve">Figure </w:t>
      </w:r>
      <w:fldSimple w:instr=" SEQ Figure \* ARABIC ">
        <w:r w:rsidR="00D4305D">
          <w:rPr>
            <w:noProof/>
          </w:rPr>
          <w:t>2</w:t>
        </w:r>
      </w:fldSimple>
      <w:bookmarkEnd w:id="3"/>
      <w:r>
        <w:t xml:space="preserve">: Results of calibration of migration rates.  The x and y- axes represent the infectivity and mean migration rate, respectively, with color indicating the value of the objective function defined in Eqs (15-17).  The results indicate a broad maximum around mean migration rates from roughly -3.5 to -2.5 (in log10 units), i.e., the average child leaving their home state approximately once per year to once per decade.  </w:t>
      </w:r>
    </w:p>
    <w:p w:rsidR="00555CB6" w:rsidRDefault="00BB43B9" w:rsidP="00555CB6">
      <w:pPr>
        <w:keepNext/>
        <w:jc w:val="center"/>
      </w:pPr>
      <w:r>
        <w:lastRenderedPageBreak/>
        <w:pict>
          <v:shape id="_x0000_i1027" type="#_x0000_t75" style="width:315pt;height:514.5pt">
            <v:imagedata r:id="rId8" o:title="goodfits"/>
          </v:shape>
        </w:pict>
      </w:r>
    </w:p>
    <w:p w:rsidR="00555CB6" w:rsidRDefault="00555CB6" w:rsidP="00555CB6">
      <w:pPr>
        <w:pStyle w:val="Caption"/>
      </w:pPr>
      <w:bookmarkStart w:id="4" w:name="_Ref459891818"/>
      <w:r>
        <w:t xml:space="preserve">Figure </w:t>
      </w:r>
      <w:fldSimple w:instr=" SEQ Figure \* ARABIC ">
        <w:r w:rsidR="00D4305D">
          <w:rPr>
            <w:noProof/>
          </w:rPr>
          <w:t>3</w:t>
        </w:r>
      </w:fldSimple>
      <w:bookmarkEnd w:id="4"/>
      <w:r>
        <w:t>: Top: WPV1 outbreak in West Africa, 2008-2010, representing the calibration target for this exercise.  Middle and bottom: Two example simulation outputs from the preferred region of parameter space.</w:t>
      </w:r>
    </w:p>
    <w:p w:rsidR="00D4305D" w:rsidRDefault="00BB43B9" w:rsidP="00D4305D">
      <w:pPr>
        <w:keepNext/>
      </w:pPr>
      <w:r>
        <w:lastRenderedPageBreak/>
        <w:pict>
          <v:shape id="_x0000_i1028" type="#_x0000_t75" style="width:468pt;height:241.5pt">
            <v:imagedata r:id="rId9" o:title="outbreak_toohigh_1"/>
          </v:shape>
        </w:pict>
      </w:r>
    </w:p>
    <w:p w:rsidR="00D4305D" w:rsidRDefault="00D4305D" w:rsidP="00D4305D">
      <w:pPr>
        <w:pStyle w:val="Caption"/>
      </w:pPr>
      <w:bookmarkStart w:id="5" w:name="_Ref459892185"/>
      <w:r>
        <w:t xml:space="preserve">Figure </w:t>
      </w:r>
      <w:fldSimple w:instr=" SEQ Figure \* ARABIC ">
        <w:r>
          <w:rPr>
            <w:noProof/>
          </w:rPr>
          <w:t>4</w:t>
        </w:r>
      </w:fldSimple>
      <w:bookmarkEnd w:id="5"/>
      <w:r>
        <w:t>: Example simulation output with migration rate set above the preferred range from calibration.  As can be seen, transmission across the region is essentially synchronous, in contrast to the travelling outbreak actually observed.</w:t>
      </w:r>
    </w:p>
    <w:p w:rsidR="00D4305D" w:rsidRDefault="00BB43B9" w:rsidP="00D4305D">
      <w:pPr>
        <w:keepNext/>
      </w:pPr>
      <w:r>
        <w:pict>
          <v:shape id="_x0000_i1029" type="#_x0000_t75" style="width:468pt;height:241.5pt">
            <v:imagedata r:id="rId10" o:title="outbreak_toolow_2"/>
          </v:shape>
        </w:pict>
      </w:r>
    </w:p>
    <w:p w:rsidR="00D4305D" w:rsidRPr="00D4305D" w:rsidRDefault="00D4305D" w:rsidP="00D4305D">
      <w:pPr>
        <w:pStyle w:val="Caption"/>
      </w:pPr>
      <w:bookmarkStart w:id="6" w:name="_Ref459892190"/>
      <w:r>
        <w:t xml:space="preserve">Figure </w:t>
      </w:r>
      <w:fldSimple w:instr=" SEQ Figure \* ARABIC ">
        <w:r>
          <w:rPr>
            <w:noProof/>
          </w:rPr>
          <w:t>5</w:t>
        </w:r>
      </w:fldSimple>
      <w:bookmarkEnd w:id="6"/>
      <w:r>
        <w:t>: Example simulation output with migration rate set below the preferred range from calibration.  In this case, transmission fails to export broadly across the region (though one or two exportations are not uncommon to observe), in contrast to the travelling outbreak observed in 2008.</w:t>
      </w:r>
    </w:p>
    <w:p w:rsidR="00D4305D" w:rsidRPr="00D4305D" w:rsidRDefault="0001541F" w:rsidP="00D4305D">
      <w:r>
        <w:t>While the simulations investigating the risk of Sabin 2 use post-cessation are allowed to explore a wide range of migration rates, this calibration allows for the identification of a preferred region of migration space, aiding interpretability of the results.</w:t>
      </w:r>
    </w:p>
    <w:p w:rsidR="00305062" w:rsidRDefault="00226F59">
      <w:pPr>
        <w:rPr>
          <w:b/>
        </w:rPr>
      </w:pPr>
      <w:r w:rsidRPr="00226F59">
        <w:rPr>
          <w:b/>
        </w:rPr>
        <w:lastRenderedPageBreak/>
        <w:t>Additional figures</w:t>
      </w:r>
    </w:p>
    <w:p w:rsidR="0009078D" w:rsidRDefault="0009078D">
      <w:r>
        <w:t>The simulation metapopulations are generated by applying</w:t>
      </w:r>
      <w:r w:rsidR="00A21F7F">
        <w:t xml:space="preserve"> WHO</w:t>
      </w:r>
      <w:r>
        <w:t xml:space="preserve"> shapefiles from</w:t>
      </w:r>
      <w:r w:rsidR="00CF0E5D">
        <w:t xml:space="preserve"> POLIS </w:t>
      </w:r>
      <w:r>
        <w:t>to population maps of Africa obtained from the Worldpop collaboration.</w:t>
      </w:r>
      <w:r w:rsidR="00852FDF">
        <w:fldChar w:fldCharType="begin" w:fldLock="1"/>
      </w:r>
      <w:r w:rsidR="00BB43B9">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"[4, 12]", "plainTextFormattedCitation" : "[4, 12]", "previouslyFormattedCitation" : "&lt;sup&gt;4,12&lt;/sup&gt;" }, "properties" : { "noteIndex" : 0 }, "schema" : "https://github.com/citation-style-language/schema/raw/master/csl-citation.json" }</w:instrText>
      </w:r>
      <w:r w:rsidR="00852FDF">
        <w:fldChar w:fldCharType="separate"/>
      </w:r>
      <w:r w:rsidR="00BB43B9" w:rsidRPr="00BB43B9">
        <w:rPr>
          <w:noProof/>
        </w:rPr>
        <w:t>[4, 12]</w:t>
      </w:r>
      <w:r w:rsidR="00852FDF">
        <w:fldChar w:fldCharType="end"/>
      </w:r>
      <w:r>
        <w:t xml:space="preserve"> </w:t>
      </w:r>
      <w:r w:rsidR="00564214">
        <w:fldChar w:fldCharType="begin"/>
      </w:r>
      <w:r w:rsidR="00564214">
        <w:instrText xml:space="preserve"> REF _Ref458514130 \h </w:instrText>
      </w:r>
      <w:r w:rsidR="00564214">
        <w:fldChar w:fldCharType="separate"/>
      </w:r>
      <w:r w:rsidR="00564214">
        <w:t xml:space="preserve">Figure </w:t>
      </w:r>
      <w:r w:rsidR="00564214">
        <w:rPr>
          <w:noProof/>
        </w:rPr>
        <w:t>1</w:t>
      </w:r>
      <w:r w:rsidR="00564214">
        <w:fldChar w:fldCharType="end"/>
      </w:r>
      <w:r>
        <w:t xml:space="preserve"> </w:t>
      </w:r>
      <w:r w:rsidR="00564214">
        <w:t>i</w:t>
      </w:r>
      <w:r>
        <w:t>llustrates the population map (color) and country/province boundaries (thick/thin black solid lines)</w:t>
      </w:r>
      <w:r w:rsidR="00564214">
        <w:t xml:space="preserve"> that were used</w:t>
      </w:r>
      <w:r>
        <w:t xml:space="preserve">.  The total size of </w:t>
      </w:r>
      <w:r w:rsidR="00564214">
        <w:t>a given</w:t>
      </w:r>
      <w:r>
        <w:t xml:space="preserve"> metapopulation is the aggregated sum of the per-pixel population map within the boundaries, and </w:t>
      </w:r>
      <w:r w:rsidR="00564214">
        <w:t>each</w:t>
      </w:r>
      <w:r>
        <w:t xml:space="preserve"> population is placed at the population-weighted centroid of the province</w:t>
      </w:r>
      <w:r w:rsidR="00564214">
        <w:t xml:space="preserve"> (for purposes of computing distances between metapopulations in the gravity model of migration)</w:t>
      </w:r>
      <w:r>
        <w:t>.</w:t>
      </w:r>
    </w:p>
    <w:p w:rsidR="0086743A" w:rsidRDefault="0086743A">
      <w:r>
        <w:t>Changing the distance-dependence in the gravity model of migration is found to have a negligible effect on the position of the separatrix line, with an inverse-linear distance-dependence (</w:t>
      </w:r>
      <w:r w:rsidRPr="00032696">
        <w:rPr>
          <w:i/>
        </w:rPr>
        <w:t>c</w:t>
      </w:r>
      <w:r>
        <w:t xml:space="preserve">=1, </w:t>
      </w:r>
      <w:r w:rsidRPr="00032696">
        <w:t>relatively</w:t>
      </w:r>
      <w:r>
        <w:t xml:space="preserve"> higher migration rates to provinces of highest population) producing very slightly more risk than an inverse-square dependence (</w:t>
      </w:r>
      <w:r w:rsidRPr="00032696">
        <w:rPr>
          <w:i/>
        </w:rPr>
        <w:t>c</w:t>
      </w:r>
      <w:r>
        <w:t xml:space="preserve">=2, </w:t>
      </w:r>
      <w:r w:rsidRPr="00032696">
        <w:t>relatively</w:t>
      </w:r>
      <w:r>
        <w:t xml:space="preserve"> higher migration rates to nearest neighbor provinces).  </w:t>
      </w:r>
      <w:r w:rsidR="00840C9E">
        <w:rPr>
          <w:highlight w:val="yellow"/>
        </w:rPr>
        <w:fldChar w:fldCharType="begin"/>
      </w:r>
      <w:r w:rsidR="00840C9E">
        <w:instrText xml:space="preserve"> REF _Ref458511164 \h </w:instrText>
      </w:r>
      <w:r w:rsidR="00840C9E">
        <w:rPr>
          <w:highlight w:val="yellow"/>
        </w:rPr>
      </w:r>
      <w:r w:rsidR="00840C9E">
        <w:rPr>
          <w:highlight w:val="yellow"/>
        </w:rPr>
        <w:fldChar w:fldCharType="separate"/>
      </w:r>
      <w:r w:rsidR="00564214">
        <w:t xml:space="preserve">Figure </w:t>
      </w:r>
      <w:r w:rsidR="00564214">
        <w:rPr>
          <w:noProof/>
        </w:rPr>
        <w:t>2</w:t>
      </w:r>
      <w:r w:rsidR="00840C9E">
        <w:rPr>
          <w:highlight w:val="yellow"/>
        </w:rPr>
        <w:fldChar w:fldCharType="end"/>
      </w:r>
      <w:r w:rsidR="00840C9E">
        <w:t xml:space="preserve"> </w:t>
      </w:r>
      <w:r>
        <w:t>presents the results of this comparison.</w:t>
      </w:r>
    </w:p>
    <w:p w:rsidR="003014F0" w:rsidRDefault="003014F0" w:rsidP="003014F0">
      <w:r>
        <w:rPr>
          <w:highlight w:val="yellow"/>
        </w:rPr>
        <w:fldChar w:fldCharType="begin"/>
      </w:r>
      <w:r>
        <w:instrText xml:space="preserve"> REF _Ref458507062 \h </w:instrText>
      </w:r>
      <w:r>
        <w:rPr>
          <w:highlight w:val="yellow"/>
        </w:rPr>
      </w:r>
      <w:r>
        <w:rPr>
          <w:highlight w:val="yellow"/>
        </w:rPr>
        <w:fldChar w:fldCharType="separate"/>
      </w:r>
      <w:r w:rsidR="000E2C22">
        <w:t xml:space="preserve">Figure </w:t>
      </w:r>
      <w:r w:rsidR="000E2C22">
        <w:rPr>
          <w:noProof/>
        </w:rPr>
        <w:t>3</w:t>
      </w:r>
      <w:r>
        <w:rPr>
          <w:highlight w:val="yellow"/>
        </w:rPr>
        <w:fldChar w:fldCharType="end"/>
      </w:r>
      <w:r>
        <w:t xml:space="preserve"> shows that increasing the timescale of Sabin</w:t>
      </w:r>
      <w:r w:rsidR="00045A36">
        <w:t xml:space="preserve"> </w:t>
      </w:r>
      <w:r>
        <w:t xml:space="preserve">2 reversion from </w:t>
      </w:r>
      <w:r>
        <w:rPr>
          <w:i/>
        </w:rPr>
        <w:t>λ</w:t>
      </w:r>
      <w:r>
        <w:t xml:space="preserve">= 60 days to </w:t>
      </w:r>
      <w:r>
        <w:rPr>
          <w:i/>
        </w:rPr>
        <w:t>λ</w:t>
      </w:r>
      <w:r>
        <w:t xml:space="preserve">= 150 days provides a moderate mitigation of the survival risk, similar to the effect of changing </w:t>
      </w:r>
      <w:r>
        <w:rPr>
          <w:i/>
        </w:rPr>
        <w:t>f</w:t>
      </w:r>
      <w:r>
        <w:t xml:space="preserve"> from 0.5 to 0.25 and small compared to the effects of changing R</w:t>
      </w:r>
      <w:r>
        <w:rPr>
          <w:vertAlign w:val="subscript"/>
        </w:rPr>
        <w:t>0f</w:t>
      </w:r>
      <w:r>
        <w:t xml:space="preserve"> or N</w:t>
      </w:r>
      <w:r>
        <w:rPr>
          <w:vertAlign w:val="subscript"/>
        </w:rPr>
        <w:t>IPV</w:t>
      </w:r>
      <w:r>
        <w:t>.  However, at the lower values of R</w:t>
      </w:r>
      <w:r>
        <w:rPr>
          <w:vertAlign w:val="subscript"/>
        </w:rPr>
        <w:t xml:space="preserve">0f </w:t>
      </w:r>
      <w:r>
        <w:t xml:space="preserve">tested in these scenarios, a longer reversion timescale can have substantial impact, as the effective reproductive number of the circulating Sabin 2 remains well below 1 for multiple generations of infection after the campaigns. </w:t>
      </w:r>
    </w:p>
    <w:p w:rsidR="003014F0" w:rsidRDefault="003014F0"/>
    <w:p w:rsidR="0009078D" w:rsidRDefault="00BB43B9" w:rsidP="0009078D">
      <w:pPr>
        <w:keepNext/>
      </w:pPr>
      <w:r>
        <w:rPr>
          <w:highlight w:val="yellow"/>
        </w:rPr>
        <w:lastRenderedPageBreak/>
        <w:pict>
          <v:shape id="_x0000_i1030" type="#_x0000_t75" style="width:467.25pt;height:6in">
            <v:imagedata r:id="rId11" o:title="region_map"/>
          </v:shape>
        </w:pict>
      </w:r>
    </w:p>
    <w:p w:rsidR="0009078D" w:rsidRDefault="0009078D" w:rsidP="0009078D">
      <w:pPr>
        <w:pStyle w:val="Caption"/>
        <w:rPr>
          <w:highlight w:val="yellow"/>
        </w:rPr>
      </w:pPr>
      <w:bookmarkStart w:id="7" w:name="_Ref458514130"/>
      <w:r>
        <w:t xml:space="preserve">Figure </w:t>
      </w:r>
      <w:fldSimple w:instr=" SEQ Figure \* ARABIC ">
        <w:r w:rsidR="00D4305D">
          <w:rPr>
            <w:noProof/>
          </w:rPr>
          <w:t>6</w:t>
        </w:r>
      </w:fldSimple>
      <w:bookmarkEnd w:id="7"/>
      <w:r>
        <w:t>: Population map (from Worldpop) and country/province boundaries (thick/thin solid black lines, from POLIS) used to generate the meta</w:t>
      </w:r>
      <w:r w:rsidR="00852FDF">
        <w:t>populations for the simulation.</w:t>
      </w:r>
      <w:r w:rsidR="00852FDF">
        <w:fldChar w:fldCharType="begin" w:fldLock="1"/>
      </w:r>
      <w:r w:rsidR="00BB43B9">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"[4, 12]", "plainTextFormattedCitation" : "[4, 12]", "previouslyFormattedCitation" : "&lt;sup&gt;4,12&lt;/sup&gt;" }, "properties" : { "noteIndex" : 0 }, "schema" : "https://github.com/citation-style-language/schema/raw/master/csl-citation.json" }</w:instrText>
      </w:r>
      <w:r w:rsidR="00852FDF">
        <w:fldChar w:fldCharType="separate"/>
      </w:r>
      <w:r w:rsidR="00BB43B9" w:rsidRPr="00BB43B9">
        <w:rPr>
          <w:b w:val="0"/>
          <w:noProof/>
        </w:rPr>
        <w:t>[4, 12]</w:t>
      </w:r>
      <w:r w:rsidR="00852FDF">
        <w:fldChar w:fldCharType="end"/>
      </w:r>
      <w:r w:rsidR="00852FDF" w:rsidRPr="009C0BDF">
        <w:t xml:space="preserve"> </w:t>
      </w:r>
      <w:r w:rsidR="009C0BDF">
        <w:t xml:space="preserve">The boundaries and names shown and the designations used in the maps in the supplement of this document do not imply the expression of any opinion whatsoever on the part of the World Health Organization concerning the legal status of any country, territory, city, or area or of its authorities, or concerning the delimitation of its frontiers or boundaries.  </w:t>
      </w:r>
    </w:p>
    <w:p w:rsidR="0009078D" w:rsidRDefault="0009078D" w:rsidP="0086743A">
      <w:pPr>
        <w:keepNext/>
        <w:rPr>
          <w:highlight w:val="yellow"/>
        </w:rPr>
      </w:pPr>
    </w:p>
    <w:p w:rsidR="0086743A" w:rsidRDefault="008872FA" w:rsidP="0086743A">
      <w:pPr>
        <w:keepNext/>
      </w:pPr>
      <w:r>
        <w:rPr>
          <w:noProof/>
        </w:rPr>
        <w:drawing>
          <wp:inline distT="0" distB="0" distL="0" distR="0">
            <wp:extent cx="5943600" cy="5454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ra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54015"/>
                    </a:xfrm>
                    <a:prstGeom prst="rect">
                      <a:avLst/>
                    </a:prstGeom>
                  </pic:spPr>
                </pic:pic>
              </a:graphicData>
            </a:graphic>
          </wp:inline>
        </w:drawing>
      </w:r>
    </w:p>
    <w:p w:rsidR="0086743A" w:rsidRDefault="0086743A" w:rsidP="0086743A">
      <w:pPr>
        <w:pStyle w:val="Caption"/>
      </w:pPr>
      <w:bookmarkStart w:id="8" w:name="_Ref458511164"/>
      <w:r>
        <w:t xml:space="preserve">Figure </w:t>
      </w:r>
      <w:fldSimple w:instr=" SEQ Figure \* ARABIC ">
        <w:r w:rsidR="00D4305D">
          <w:rPr>
            <w:noProof/>
          </w:rPr>
          <w:t>7</w:t>
        </w:r>
      </w:fldSimple>
      <w:bookmarkEnd w:id="8"/>
      <w:r>
        <w:t xml:space="preserve">: Position of the 50% separatrix line as the distance dependence in the gravity model of migration varies, at constant </w:t>
      </w:r>
      <w:r>
        <w:rPr>
          <w:i/>
        </w:rPr>
        <w:t>λ</w:t>
      </w:r>
      <w:r>
        <w:t>= 60 days, N</w:t>
      </w:r>
      <w:r>
        <w:softHyphen/>
      </w:r>
      <w:r>
        <w:rPr>
          <w:vertAlign w:val="subscript"/>
        </w:rPr>
        <w:t>IPV</w:t>
      </w:r>
      <w:r>
        <w:t xml:space="preserve">= 1, </w:t>
      </w:r>
      <w:r>
        <w:rPr>
          <w:i/>
        </w:rPr>
        <w:t>c</w:t>
      </w:r>
      <w:r>
        <w:t>= 1.  The solid and dashed lines respectively indicate c = 1 and c = 2, while the cyan, red, grey, and black respectively indicate R</w:t>
      </w:r>
      <w:r>
        <w:rPr>
          <w:vertAlign w:val="subscript"/>
        </w:rPr>
        <w:t>0f</w:t>
      </w:r>
      <w:r>
        <w:t xml:space="preserve"> values of 3, 2, 1.5, and 1.2.  The relative distribution of migration rates in the network induces a negligible effect compared with the overall mean migration rate of individuals on the network to all possible destinations.</w:t>
      </w:r>
    </w:p>
    <w:p w:rsidR="003014F0" w:rsidRDefault="003014F0" w:rsidP="003014F0">
      <w:pPr>
        <w:keepNext/>
      </w:pPr>
      <w:r>
        <w:rPr>
          <w:noProof/>
        </w:rPr>
        <w:lastRenderedPageBreak/>
        <w:drawing>
          <wp:inline distT="0" distB="0" distL="0" distR="0" wp14:anchorId="65754988" wp14:editId="5F92C63D">
            <wp:extent cx="5943600" cy="5453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rate.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3014F0" w:rsidRPr="002613BD" w:rsidRDefault="003014F0" w:rsidP="003014F0">
      <w:pPr>
        <w:pStyle w:val="Caption"/>
      </w:pPr>
      <w:bookmarkStart w:id="9" w:name="_Ref458507062"/>
      <w:r>
        <w:t xml:space="preserve">Figure </w:t>
      </w:r>
      <w:fldSimple w:instr=" SEQ Figure \* ARABIC ">
        <w:r w:rsidR="00D4305D">
          <w:rPr>
            <w:noProof/>
          </w:rPr>
          <w:t>8</w:t>
        </w:r>
      </w:fldSimple>
      <w:bookmarkEnd w:id="9"/>
      <w:r>
        <w:t>: Position of the 50% separatrix line as the timescale of R</w:t>
      </w:r>
      <w:r>
        <w:rPr>
          <w:vertAlign w:val="subscript"/>
        </w:rPr>
        <w:t>0</w:t>
      </w:r>
      <w:r>
        <w:t xml:space="preserve"> reversion varies, at constant f=0.5, N</w:t>
      </w:r>
      <w:r>
        <w:softHyphen/>
      </w:r>
      <w:r>
        <w:rPr>
          <w:vertAlign w:val="subscript"/>
        </w:rPr>
        <w:t>IPV</w:t>
      </w:r>
      <w:r>
        <w:t xml:space="preserve">= 1, </w:t>
      </w:r>
      <w:r>
        <w:rPr>
          <w:i/>
        </w:rPr>
        <w:t>c</w:t>
      </w:r>
      <w:r>
        <w:t xml:space="preserve">= 1.  The solid and dashed lines respectively indicate </w:t>
      </w:r>
      <w:r>
        <w:rPr>
          <w:i/>
        </w:rPr>
        <w:t>λ</w:t>
      </w:r>
      <w:r>
        <w:t xml:space="preserve">= 60 days and </w:t>
      </w:r>
      <w:r>
        <w:rPr>
          <w:i/>
        </w:rPr>
        <w:t>λ</w:t>
      </w:r>
      <w:r>
        <w:t>= 150 days, while the cyan, red, grey, and black respectively indicate R</w:t>
      </w:r>
      <w:r>
        <w:rPr>
          <w:vertAlign w:val="subscript"/>
        </w:rPr>
        <w:t>0f</w:t>
      </w:r>
      <w:r>
        <w:t xml:space="preserve"> values of 3, 2, 1.5, and 1.2.  The final R</w:t>
      </w:r>
      <w:r>
        <w:rPr>
          <w:vertAlign w:val="subscript"/>
        </w:rPr>
        <w:t>0</w:t>
      </w:r>
      <w:r>
        <w:t xml:space="preserve"> is observed to have the dominant effect.  At the higher values of R</w:t>
      </w:r>
      <w:r>
        <w:rPr>
          <w:vertAlign w:val="subscript"/>
        </w:rPr>
        <w:t>0f</w:t>
      </w:r>
      <w:r>
        <w:t>, changing the reversion timescale provides minimal mitigation of the Sabin 2 survival risk, but the effect grows at lower values of R</w:t>
      </w:r>
      <w:r>
        <w:rPr>
          <w:vertAlign w:val="subscript"/>
        </w:rPr>
        <w:t>0f</w:t>
      </w:r>
      <w:r>
        <w:t>, as the effective reproductive rate of Sabin 2 remains below 1 for more transmission generations.</w:t>
      </w:r>
    </w:p>
    <w:p w:rsidR="00716908" w:rsidRDefault="00716908" w:rsidP="00716908"/>
    <w:p w:rsidR="00716908" w:rsidRDefault="00716908" w:rsidP="00716908">
      <w:pPr>
        <w:rPr>
          <w:b/>
        </w:rPr>
      </w:pPr>
      <w:r>
        <w:rPr>
          <w:b/>
        </w:rPr>
        <w:t>References</w:t>
      </w:r>
    </w:p>
    <w:p w:rsidR="00BB43B9" w:rsidRPr="00BB43B9" w:rsidRDefault="00716908" w:rsidP="00BB43B9">
      <w:pPr>
        <w:widowControl w:val="0"/>
        <w:autoSpaceDE w:val="0"/>
        <w:autoSpaceDN w:val="0"/>
        <w:adjustRightInd w:val="0"/>
        <w:spacing w:line="240" w:lineRule="auto"/>
        <w:rPr>
          <w:rFonts w:ascii="Calibri" w:hAnsi="Calibri" w:cs="Times New Roman"/>
          <w:noProof/>
          <w:szCs w:val="24"/>
        </w:rPr>
      </w:pPr>
      <w:r>
        <w:fldChar w:fldCharType="begin" w:fldLock="1"/>
      </w:r>
      <w:r>
        <w:instrText xml:space="preserve">ADDIN Mendeley Bibliography CSL_BIBLIOGRAPHY </w:instrText>
      </w:r>
      <w:r>
        <w:fldChar w:fldCharType="separate"/>
      </w:r>
      <w:r w:rsidR="00BB43B9" w:rsidRPr="00BB43B9">
        <w:rPr>
          <w:rFonts w:ascii="Calibri" w:hAnsi="Calibri" w:cs="Times New Roman"/>
          <w:noProof/>
          <w:szCs w:val="24"/>
        </w:rPr>
        <w:t>1. O’Ryan M, Bandyopadhyay AS, Villena R, Espinoza M, Novoa J, Weldon WC, et al. Inactivated poliovirus vaccine given alone or in a sequential schedule with bivalent oral poliovirus vaccine in Chilean infants: a randomised, controlled, open-label, phase 4, non-inferiority study. Lancet Infect Dis. 2015;15:1273–82. doi:10.1016/S1473-3099(15)00219-4.</w:t>
      </w:r>
    </w:p>
    <w:p w:rsidR="00BB43B9" w:rsidRPr="00BB43B9" w:rsidRDefault="00BB43B9" w:rsidP="00BB43B9">
      <w:pPr>
        <w:widowControl w:val="0"/>
        <w:autoSpaceDE w:val="0"/>
        <w:autoSpaceDN w:val="0"/>
        <w:adjustRightInd w:val="0"/>
        <w:spacing w:line="240" w:lineRule="auto"/>
        <w:rPr>
          <w:rFonts w:ascii="Calibri" w:hAnsi="Calibri" w:cs="Times New Roman"/>
          <w:noProof/>
          <w:szCs w:val="24"/>
        </w:rPr>
      </w:pPr>
      <w:r w:rsidRPr="00BB43B9">
        <w:rPr>
          <w:rFonts w:ascii="Calibri" w:hAnsi="Calibri" w:cs="Times New Roman"/>
          <w:noProof/>
          <w:szCs w:val="24"/>
        </w:rPr>
        <w:t>2. Asturias EJ, Bandyopadhyay AS, Self S, Rivera L, Saez-Llorens X, Lopez E, et al. Humoral and intestinal immunity induced by new schedules of bivalent or</w:t>
      </w:r>
      <w:r w:rsidRPr="00BB43B9">
        <w:rPr>
          <w:rFonts w:ascii="Calibri" w:hAnsi="Calibri" w:cs="Times New Roman"/>
          <w:noProof/>
          <w:szCs w:val="24"/>
        </w:rPr>
        <w:lastRenderedPageBreak/>
        <w:t>al poliovirus vaccine and one or two doses of inactivated poliovirus vaccine in Latin American infants: an open-label randomised controlled trial. Lancet. 2016;388:158–69. doi:10.1016/S0140-6736(16)00703-0.</w:t>
      </w:r>
    </w:p>
    <w:p w:rsidR="00BB43B9" w:rsidRPr="00BB43B9" w:rsidRDefault="00BB43B9" w:rsidP="00BB43B9">
      <w:pPr>
        <w:widowControl w:val="0"/>
        <w:autoSpaceDE w:val="0"/>
        <w:autoSpaceDN w:val="0"/>
        <w:adjustRightInd w:val="0"/>
        <w:spacing w:line="240" w:lineRule="auto"/>
        <w:rPr>
          <w:rFonts w:ascii="Calibri" w:hAnsi="Calibri" w:cs="Times New Roman"/>
          <w:noProof/>
          <w:szCs w:val="24"/>
        </w:rPr>
      </w:pPr>
      <w:r w:rsidRPr="00BB43B9">
        <w:rPr>
          <w:rFonts w:ascii="Calibri" w:hAnsi="Calibri" w:cs="Times New Roman"/>
          <w:noProof/>
          <w:szCs w:val="24"/>
        </w:rPr>
        <w:t>3. National Population Commission - Federal Republic of Nigeria, ICF International. Nigeria Demographic and Health Survey, 2013 - Final Report. 2014.</w:t>
      </w:r>
    </w:p>
    <w:p w:rsidR="00BB43B9" w:rsidRPr="00BB43B9" w:rsidRDefault="00BB43B9" w:rsidP="00BB43B9">
      <w:pPr>
        <w:widowControl w:val="0"/>
        <w:autoSpaceDE w:val="0"/>
        <w:autoSpaceDN w:val="0"/>
        <w:adjustRightInd w:val="0"/>
        <w:spacing w:line="240" w:lineRule="auto"/>
        <w:rPr>
          <w:rFonts w:ascii="Calibri" w:hAnsi="Calibri" w:cs="Times New Roman"/>
          <w:noProof/>
          <w:szCs w:val="24"/>
        </w:rPr>
      </w:pPr>
      <w:r w:rsidRPr="00BB43B9">
        <w:rPr>
          <w:rFonts w:ascii="Calibri" w:hAnsi="Calibri" w:cs="Times New Roman"/>
          <w:noProof/>
          <w:szCs w:val="24"/>
        </w:rPr>
        <w:t>4. POLIS: The polio information system. https://extranet.who.int/polis/Search. Accessed 2 Aug 2016.</w:t>
      </w:r>
    </w:p>
    <w:p w:rsidR="00BB43B9" w:rsidRPr="00BB43B9" w:rsidRDefault="00BB43B9" w:rsidP="00BB43B9">
      <w:pPr>
        <w:widowControl w:val="0"/>
        <w:autoSpaceDE w:val="0"/>
        <w:autoSpaceDN w:val="0"/>
        <w:adjustRightInd w:val="0"/>
        <w:spacing w:line="240" w:lineRule="auto"/>
        <w:rPr>
          <w:rFonts w:ascii="Calibri" w:hAnsi="Calibri" w:cs="Times New Roman"/>
          <w:noProof/>
          <w:szCs w:val="24"/>
        </w:rPr>
      </w:pPr>
      <w:r w:rsidRPr="00BB43B9">
        <w:rPr>
          <w:rFonts w:ascii="Calibri" w:hAnsi="Calibri" w:cs="Times New Roman"/>
          <w:noProof/>
          <w:szCs w:val="24"/>
        </w:rPr>
        <w:t>5. Behrend MR, Hu H, Nigmatulina KR, Eckhoff P. A quantitative survey of the literature on poliovirus infection and immunity. Int J Infect Dis. 2014;18:4–13.</w:t>
      </w:r>
    </w:p>
    <w:p w:rsidR="00BB43B9" w:rsidRPr="00BB43B9" w:rsidRDefault="00BB43B9" w:rsidP="00BB43B9">
      <w:pPr>
        <w:widowControl w:val="0"/>
        <w:autoSpaceDE w:val="0"/>
        <w:autoSpaceDN w:val="0"/>
        <w:adjustRightInd w:val="0"/>
        <w:spacing w:line="240" w:lineRule="auto"/>
        <w:rPr>
          <w:rFonts w:ascii="Calibri" w:hAnsi="Calibri" w:cs="Times New Roman"/>
          <w:noProof/>
          <w:szCs w:val="24"/>
        </w:rPr>
      </w:pPr>
      <w:r w:rsidRPr="00BB43B9">
        <w:rPr>
          <w:rFonts w:ascii="Calibri" w:hAnsi="Calibri" w:cs="Times New Roman"/>
          <w:noProof/>
          <w:szCs w:val="24"/>
        </w:rPr>
        <w:t>6. Duintjer Tebbens RJ, Pallansch MA, Kalkowska DA, Wassilak SGF, Cochi SL, Thompson KM. Characterizing poliovirus transmission and evolution: insights from modeling experiences with wild and vaccine-related polioviruses. Risk Anal. 2013;33:703–49. doi:10.1111/risa.12044.</w:t>
      </w:r>
    </w:p>
    <w:p w:rsidR="00BB43B9" w:rsidRPr="00BB43B9" w:rsidRDefault="00BB43B9" w:rsidP="00BB43B9">
      <w:pPr>
        <w:widowControl w:val="0"/>
        <w:autoSpaceDE w:val="0"/>
        <w:autoSpaceDN w:val="0"/>
        <w:adjustRightInd w:val="0"/>
        <w:spacing w:line="240" w:lineRule="auto"/>
        <w:rPr>
          <w:rFonts w:ascii="Calibri" w:hAnsi="Calibri" w:cs="Times New Roman"/>
          <w:noProof/>
          <w:szCs w:val="24"/>
        </w:rPr>
      </w:pPr>
      <w:r w:rsidRPr="00BB43B9">
        <w:rPr>
          <w:rFonts w:ascii="Calibri" w:hAnsi="Calibri" w:cs="Times New Roman"/>
          <w:noProof/>
          <w:szCs w:val="24"/>
        </w:rPr>
        <w:t>7. Hird TR, Grassly NC. Systematic review of mucosal immunity induced by oral and inactivated poliovirus vaccines against virus shedding following oral poliovirus challenge. PLoS Pathog. 2012;8:e1002599. doi:10.1371/journal.ppat.1002599.</w:t>
      </w:r>
    </w:p>
    <w:p w:rsidR="00BB43B9" w:rsidRPr="00BB43B9" w:rsidRDefault="00BB43B9" w:rsidP="00BB43B9">
      <w:pPr>
        <w:widowControl w:val="0"/>
        <w:autoSpaceDE w:val="0"/>
        <w:autoSpaceDN w:val="0"/>
        <w:adjustRightInd w:val="0"/>
        <w:spacing w:line="240" w:lineRule="auto"/>
        <w:rPr>
          <w:rFonts w:ascii="Calibri" w:hAnsi="Calibri" w:cs="Times New Roman"/>
          <w:noProof/>
          <w:szCs w:val="24"/>
        </w:rPr>
      </w:pPr>
      <w:r w:rsidRPr="00BB43B9">
        <w:rPr>
          <w:rFonts w:ascii="Calibri" w:hAnsi="Calibri" w:cs="Times New Roman"/>
          <w:noProof/>
          <w:szCs w:val="24"/>
        </w:rPr>
        <w:t>8. Wesolowski A, Buckee CO, Pindolia DK, Eagle N, Smith DL, Garcia AJ, et al. The Use of Census Migration Data to Approximate Human Movement Patterns across Temporal Scales. PLoS One. 2013;8:e52971. doi:10.1371/journal.pone.0052971.</w:t>
      </w:r>
    </w:p>
    <w:p w:rsidR="00BB43B9" w:rsidRPr="00BB43B9" w:rsidRDefault="00BB43B9" w:rsidP="00BB43B9">
      <w:pPr>
        <w:widowControl w:val="0"/>
        <w:autoSpaceDE w:val="0"/>
        <w:autoSpaceDN w:val="0"/>
        <w:adjustRightInd w:val="0"/>
        <w:spacing w:line="240" w:lineRule="auto"/>
        <w:rPr>
          <w:rFonts w:ascii="Calibri" w:hAnsi="Calibri" w:cs="Times New Roman"/>
          <w:noProof/>
          <w:szCs w:val="24"/>
        </w:rPr>
      </w:pPr>
      <w:r w:rsidRPr="00BB43B9">
        <w:rPr>
          <w:rFonts w:ascii="Calibri" w:hAnsi="Calibri" w:cs="Times New Roman"/>
          <w:noProof/>
          <w:szCs w:val="24"/>
        </w:rPr>
        <w:t>9. Duintjer Tebbens RJ, Pallansch MA, Kim J-H, Burns CC, Kew OM, Oberste MS, et al. Oral poliovirus vaccine evolution and insights relevant to modeling the risks of circulating vaccine-derived polioviruses (cVDPVs). Risk Anal. 2013;33:680–702. doi:10.1111/risa.12022.</w:t>
      </w:r>
    </w:p>
    <w:p w:rsidR="00BB43B9" w:rsidRPr="00BB43B9" w:rsidRDefault="00BB43B9" w:rsidP="00BB43B9">
      <w:pPr>
        <w:widowControl w:val="0"/>
        <w:autoSpaceDE w:val="0"/>
        <w:autoSpaceDN w:val="0"/>
        <w:adjustRightInd w:val="0"/>
        <w:spacing w:line="240" w:lineRule="auto"/>
        <w:rPr>
          <w:rFonts w:ascii="Calibri" w:hAnsi="Calibri" w:cs="Times New Roman"/>
          <w:noProof/>
          <w:szCs w:val="24"/>
        </w:rPr>
      </w:pPr>
      <w:r w:rsidRPr="00BB43B9">
        <w:rPr>
          <w:rFonts w:ascii="Calibri" w:hAnsi="Calibri" w:cs="Times New Roman"/>
          <w:noProof/>
          <w:szCs w:val="24"/>
        </w:rPr>
        <w:t>10. Raftery AE, Bao L. Estimating and Projecting Trends in HIV/AIDS Generalized Epidemics Using Incremental Mixture Importance Sampling. Biometrics. 2010;66:1162–73. doi:10.1111/j.1541-0420.2010.01399.x.</w:t>
      </w:r>
    </w:p>
    <w:p w:rsidR="00BB43B9" w:rsidRPr="00BB43B9" w:rsidRDefault="00BB43B9" w:rsidP="00BB43B9">
      <w:pPr>
        <w:widowControl w:val="0"/>
        <w:autoSpaceDE w:val="0"/>
        <w:autoSpaceDN w:val="0"/>
        <w:adjustRightInd w:val="0"/>
        <w:spacing w:line="240" w:lineRule="auto"/>
        <w:rPr>
          <w:rFonts w:ascii="Calibri" w:hAnsi="Calibri" w:cs="Times New Roman"/>
          <w:noProof/>
          <w:szCs w:val="24"/>
        </w:rPr>
      </w:pPr>
      <w:r w:rsidRPr="00BB43B9">
        <w:rPr>
          <w:rFonts w:ascii="Calibri" w:hAnsi="Calibri" w:cs="Times New Roman"/>
          <w:noProof/>
          <w:szCs w:val="24"/>
        </w:rPr>
        <w:t>11. Upfill-Brown AM, Lyons HM, Pate MA, Shuaib F, Baig S, Hu H, et al. Predictive spatial risk model of poliovirus to aid prioritization and hasten eradication in Nigeria. BMC Med. 2014;12:92. doi:10.1186/1741-7015-12-92.</w:t>
      </w:r>
    </w:p>
    <w:p w:rsidR="00BB43B9" w:rsidRPr="00BB43B9" w:rsidRDefault="00BB43B9" w:rsidP="00BB43B9">
      <w:pPr>
        <w:widowControl w:val="0"/>
        <w:autoSpaceDE w:val="0"/>
        <w:autoSpaceDN w:val="0"/>
        <w:adjustRightInd w:val="0"/>
        <w:spacing w:line="240" w:lineRule="auto"/>
        <w:rPr>
          <w:rFonts w:ascii="Calibri" w:hAnsi="Calibri"/>
          <w:noProof/>
        </w:rPr>
      </w:pPr>
      <w:r w:rsidRPr="00BB43B9">
        <w:rPr>
          <w:rFonts w:ascii="Calibri" w:hAnsi="Calibri" w:cs="Times New Roman"/>
          <w:noProof/>
          <w:szCs w:val="24"/>
        </w:rPr>
        <w:t>12. WorldPop Collaboration. Worldpop - Selected Data: Africa &amp;gt; Whole Continent &amp;gt; Population 2010. 2012. http://www.worldpop.org.uk/data/summary/?contselect=Africa&amp;countselect=Whole+Continent&amp;typeselect=Population+2010. Accessed 24 Aug 2016.</w:t>
      </w:r>
    </w:p>
    <w:p w:rsidR="00716908" w:rsidRPr="00716908" w:rsidRDefault="00716908" w:rsidP="00716908">
      <w:r>
        <w:fldChar w:fldCharType="end"/>
      </w:r>
    </w:p>
    <w:sectPr w:rsidR="00716908" w:rsidRPr="00716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C25"/>
    <w:rsid w:val="00007992"/>
    <w:rsid w:val="000104BD"/>
    <w:rsid w:val="0001541F"/>
    <w:rsid w:val="00045A36"/>
    <w:rsid w:val="00072AAC"/>
    <w:rsid w:val="0009078D"/>
    <w:rsid w:val="000A5003"/>
    <w:rsid w:val="000C101C"/>
    <w:rsid w:val="000C2DD4"/>
    <w:rsid w:val="000E2C22"/>
    <w:rsid w:val="00151ECC"/>
    <w:rsid w:val="00176A6C"/>
    <w:rsid w:val="001E23D9"/>
    <w:rsid w:val="00226F59"/>
    <w:rsid w:val="002B719C"/>
    <w:rsid w:val="002D5939"/>
    <w:rsid w:val="002D7CA8"/>
    <w:rsid w:val="003014F0"/>
    <w:rsid w:val="00305062"/>
    <w:rsid w:val="00305BEA"/>
    <w:rsid w:val="00481B53"/>
    <w:rsid w:val="00492935"/>
    <w:rsid w:val="004E4643"/>
    <w:rsid w:val="00533CA4"/>
    <w:rsid w:val="00555CB6"/>
    <w:rsid w:val="00564214"/>
    <w:rsid w:val="005B4C25"/>
    <w:rsid w:val="005D5906"/>
    <w:rsid w:val="006544C9"/>
    <w:rsid w:val="00656AA6"/>
    <w:rsid w:val="00671627"/>
    <w:rsid w:val="006F704B"/>
    <w:rsid w:val="00716908"/>
    <w:rsid w:val="007661C8"/>
    <w:rsid w:val="00840C9E"/>
    <w:rsid w:val="00852FDF"/>
    <w:rsid w:val="0086743A"/>
    <w:rsid w:val="0088587B"/>
    <w:rsid w:val="008872FA"/>
    <w:rsid w:val="00890691"/>
    <w:rsid w:val="00962282"/>
    <w:rsid w:val="00996CBB"/>
    <w:rsid w:val="009C0BDF"/>
    <w:rsid w:val="009C5E9D"/>
    <w:rsid w:val="009C67B9"/>
    <w:rsid w:val="00A15A1B"/>
    <w:rsid w:val="00A207AC"/>
    <w:rsid w:val="00A21F7F"/>
    <w:rsid w:val="00A225F6"/>
    <w:rsid w:val="00B75F6E"/>
    <w:rsid w:val="00B941A2"/>
    <w:rsid w:val="00BB43B9"/>
    <w:rsid w:val="00BC01BA"/>
    <w:rsid w:val="00C0563C"/>
    <w:rsid w:val="00C07219"/>
    <w:rsid w:val="00C51684"/>
    <w:rsid w:val="00C91FCC"/>
    <w:rsid w:val="00CA6A4A"/>
    <w:rsid w:val="00CE17CE"/>
    <w:rsid w:val="00CE40E0"/>
    <w:rsid w:val="00CF0E5D"/>
    <w:rsid w:val="00D4305D"/>
    <w:rsid w:val="00D80B82"/>
    <w:rsid w:val="00DB2A38"/>
    <w:rsid w:val="00DD2597"/>
    <w:rsid w:val="00E52227"/>
    <w:rsid w:val="00E63A02"/>
    <w:rsid w:val="00EE2918"/>
    <w:rsid w:val="00F25967"/>
    <w:rsid w:val="00FE45FA"/>
    <w:rsid w:val="00FF7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0F1079-60DB-433D-93EF-2E8174EFE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207A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207AC"/>
    <w:pPr>
      <w:spacing w:line="240" w:lineRule="auto"/>
    </w:pPr>
    <w:rPr>
      <w:b/>
      <w:bCs/>
      <w:color w:val="5B9BD5" w:themeColor="accent1"/>
      <w:sz w:val="18"/>
      <w:szCs w:val="18"/>
    </w:rPr>
  </w:style>
  <w:style w:type="table" w:styleId="TableGrid">
    <w:name w:val="Table Grid"/>
    <w:basedOn w:val="TableNormal"/>
    <w:uiPriority w:val="59"/>
    <w:rsid w:val="00A20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07AC"/>
    <w:rPr>
      <w:color w:val="0563C1" w:themeColor="hyperlink"/>
      <w:u w:val="single"/>
    </w:rPr>
  </w:style>
  <w:style w:type="character" w:styleId="PlaceholderText">
    <w:name w:val="Placeholder Text"/>
    <w:basedOn w:val="DefaultParagraphFont"/>
    <w:uiPriority w:val="99"/>
    <w:semiHidden/>
    <w:rsid w:val="00E522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idmod.org/idmdoc/"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39B4C-7147-42D6-B527-8E61CE248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15</Pages>
  <Words>21319</Words>
  <Characters>121520</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McCarthy</dc:creator>
  <cp:keywords/>
  <dc:description/>
  <cp:lastModifiedBy>Kevin McCarthy</cp:lastModifiedBy>
  <cp:revision>9</cp:revision>
  <dcterms:created xsi:type="dcterms:W3CDTF">2016-08-29T22:15:00Z</dcterms:created>
  <dcterms:modified xsi:type="dcterms:W3CDTF">2017-02-07T02:42:00Z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http://www.zotero.org/styles/biomed-central</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http://www.zotero.org/styles/biomed-central</vt:lpwstr>
  </property>
  <property fmtid="{D5CDD505-2E9C-101B-9397-08002B2CF9AE}" pid="13" name="Mendeley Recent Style Name 4_1">
    <vt:lpwstr>BioMed Central</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16th edition (author-date)</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http://www.zotero.org/styles/pnas</vt:lpwstr>
  </property>
  <property fmtid="{D5CDD505-2E9C-101B-9397-08002B2CF9AE}" pid="21" name="Mendeley Recent Style Name 8_1">
    <vt:lpwstr>Proceedings of the National Academy of Sciences of the United States of America</vt:lpwstr>
  </property>
  <property fmtid="{D5CDD505-2E9C-101B-9397-08002B2CF9AE}" pid="22" name="Mendeley Recent Style Id 9_1">
    <vt:lpwstr>http://www.zotero.org/styles/the-lancet</vt:lpwstr>
  </property>
  <property fmtid="{D5CDD505-2E9C-101B-9397-08002B2CF9AE}" pid="23" name="Mendeley Recent Style Name 9_1">
    <vt:lpwstr>The Lancet</vt:lpwstr>
  </property>
  <property fmtid="{D5CDD505-2E9C-101B-9397-08002B2CF9AE}" pid="24" name="Mendeley Unique User Id_1">
    <vt:lpwstr>d8eaf2a8-e17d-377d-b33b-9a3ebd107266</vt:lpwstr>
  </property>
</Properties>
</file>