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07AC" w:rsidRPr="00A207AC" w:rsidRDefault="00A207AC" w:rsidP="00A207AC">
      <w:pPr>
        <w:rPr>
          <w:sz w:val="28"/>
        </w:rPr>
      </w:pPr>
      <w:r w:rsidRPr="00A207AC">
        <w:rPr>
          <w:b/>
          <w:sz w:val="28"/>
        </w:rPr>
        <w:t>Model Specification</w:t>
      </w:r>
    </w:p>
    <w:p w:rsidR="00A207AC" w:rsidRPr="00A207AC" w:rsidRDefault="00A207AC" w:rsidP="00A207AC">
      <w:r w:rsidRPr="00A207AC">
        <w:t xml:space="preserve">The EMOD model is an individual-based stochastic model of disease transmission, with support for campaign implementation, heterogeneous transmission, and spatially segregated populations coupled by individual-level migration; the software also includes sub-packages implementing “generic”, vector-borne, water-borne, airborne, and sexual disease transmission.  The EMOD software is available for download at </w:t>
      </w:r>
      <w:hyperlink r:id="rId5" w:anchor="EMOD/EMODBuildAndRegression/BuildingEMODTOC.htm" w:history="1">
        <w:r w:rsidRPr="00A207AC">
          <w:rPr>
            <w:rStyle w:val="Hyperlink"/>
          </w:rPr>
          <w:t>http://idmod.org/idmdoc/#EMOD/EMODBuildAndRegression/BuildingEMODTOC.htm</w:t>
        </w:r>
      </w:hyperlink>
      <w:r w:rsidRPr="00A207AC">
        <w:t xml:space="preserve">. The model presented in this manuscript was developed within the EMOD “generic” simulation framework, implementing a discrete-time, individual-based form of </w:t>
      </w:r>
      <w:r>
        <w:t xml:space="preserve">a </w:t>
      </w:r>
      <w:r w:rsidRPr="00A207AC">
        <w:t>susceptible-exp</w:t>
      </w:r>
      <w:r>
        <w:t xml:space="preserve">osed-infectious-susceptible </w:t>
      </w:r>
      <w:r w:rsidRPr="00A207AC">
        <w:t>model.  Below, we review th</w:t>
      </w:r>
      <w:r>
        <w:t>e adjustments to a simple SEIS</w:t>
      </w:r>
      <w:r w:rsidRPr="00A207AC">
        <w:t xml:space="preserve"> model that were implemented in this model</w:t>
      </w:r>
      <w:r>
        <w:t xml:space="preserve"> to reflect polio immunology and</w:t>
      </w:r>
      <w:r w:rsidRPr="00A207AC">
        <w:t xml:space="preserve"> specify the model in terms of the individual-level state transition dynamics</w:t>
      </w:r>
      <w:r>
        <w:t>.</w:t>
      </w:r>
    </w:p>
    <w:p w:rsidR="00B941A2" w:rsidRDefault="00A207AC" w:rsidP="00A207AC">
      <w:r>
        <w:t xml:space="preserve">Individuals in the model exist in susceptible, exposed, and infectious states, with individuals returning to the susceptible state immediately upon clearance of an infection.  </w:t>
      </w:r>
      <w:r w:rsidR="00B941A2">
        <w:t>However, infections with wild or Sabin-strain attenuated poliovirus, as well as vaccination with the inactivated polio vaccine, are known to confer partial immunity to individuals.  Immunity in this model is characterized by two individual-level properties: acquisition-moderating immunity (</w:t>
      </w:r>
      <w:r w:rsidR="00B941A2" w:rsidRPr="00B941A2">
        <w:rPr>
          <w:b/>
        </w:rPr>
        <w:t>α</w:t>
      </w:r>
      <w:r w:rsidR="00B941A2">
        <w:t>), which modulates the probability of infection given exposure to infectivity, and applies in the susceptible state; and transmission-moderating immunity (</w:t>
      </w:r>
      <w:r w:rsidR="00B941A2" w:rsidRPr="00B941A2">
        <w:rPr>
          <w:b/>
        </w:rPr>
        <w:t>τ</w:t>
      </w:r>
      <w:r w:rsidR="00B941A2">
        <w:t xml:space="preserve">), which reduces the infectivity of an infectious individual.  Both </w:t>
      </w:r>
      <w:r w:rsidR="00B941A2" w:rsidRPr="00B941A2">
        <w:rPr>
          <w:b/>
        </w:rPr>
        <w:t>α</w:t>
      </w:r>
      <w:r w:rsidR="00B941A2">
        <w:rPr>
          <w:b/>
        </w:rPr>
        <w:t xml:space="preserve"> </w:t>
      </w:r>
      <w:r w:rsidR="00B941A2">
        <w:t xml:space="preserve">and </w:t>
      </w:r>
      <w:r w:rsidR="00B941A2" w:rsidRPr="00B941A2">
        <w:rPr>
          <w:b/>
        </w:rPr>
        <w:t>τ</w:t>
      </w:r>
      <w:r w:rsidR="00B941A2">
        <w:rPr>
          <w:b/>
        </w:rPr>
        <w:t xml:space="preserve"> </w:t>
      </w:r>
      <w:r w:rsidR="00B941A2">
        <w:t xml:space="preserve">are defined on [0, 1], and are defined such that a completely naïve individual has both properties equal to 1.  At </w:t>
      </w:r>
      <w:r w:rsidR="00B941A2" w:rsidRPr="00B941A2">
        <w:rPr>
          <w:b/>
        </w:rPr>
        <w:t>α</w:t>
      </w:r>
      <w:r w:rsidR="00B941A2" w:rsidRPr="00B941A2">
        <w:t>=0</w:t>
      </w:r>
      <w:r w:rsidR="00B941A2">
        <w:t xml:space="preserve">, an individual cannot be infected by any amount of exposure; at </w:t>
      </w:r>
      <w:r w:rsidR="00B941A2" w:rsidRPr="00B941A2">
        <w:rPr>
          <w:b/>
        </w:rPr>
        <w:t>τ</w:t>
      </w:r>
      <w:r w:rsidR="00B941A2" w:rsidRPr="00B941A2">
        <w:t>=0</w:t>
      </w:r>
      <w:r w:rsidR="00B941A2">
        <w:t xml:space="preserve">, an individual who becomes infected will not shed. </w:t>
      </w:r>
    </w:p>
    <w:p w:rsidR="001E23D9" w:rsidRPr="005D5906" w:rsidRDefault="001E23D9" w:rsidP="00A207AC">
      <w:r>
        <w:t xml:space="preserve">The parameters governing individual immunity are updated upon clearance of OPV infection or successful IPV vaccination.  In the event of multiple vaccinations or infections, the </w:t>
      </w:r>
      <w:r w:rsidRPr="00B941A2">
        <w:rPr>
          <w:b/>
        </w:rPr>
        <w:t>α</w:t>
      </w:r>
      <w:r>
        <w:rPr>
          <w:b/>
        </w:rPr>
        <w:t xml:space="preserve"> </w:t>
      </w:r>
      <w:r>
        <w:t xml:space="preserve">and </w:t>
      </w:r>
      <w:r w:rsidRPr="00B941A2">
        <w:rPr>
          <w:b/>
        </w:rPr>
        <w:t>τ</w:t>
      </w:r>
      <w:r>
        <w:rPr>
          <w:b/>
        </w:rPr>
        <w:t xml:space="preserve"> </w:t>
      </w:r>
      <w:r>
        <w:t xml:space="preserve">parameters stack multiplicatively; these parameters thus aim to model a per-infection effect on acquisition- and transmission-modulating immunity.  </w:t>
      </w:r>
      <w:r w:rsidR="00072AAC">
        <w:t>I</w:t>
      </w:r>
      <w:r w:rsidR="00151ECC">
        <w:t xml:space="preserve">PV vaccination behaves similarly, with per-dose effects on the two immunity channels, but IPV can provide two sets of effects; for individuals without a history of OPV infection, an IPV vaccination provides an individual with a small priming effect in each immunity channel, but for individuals with a history of OPV infection, IPV provides a larger boosting effect on immunity.  </w:t>
      </w:r>
      <w:r w:rsidR="005D5906">
        <w:t xml:space="preserve">As noted in the main text, </w:t>
      </w:r>
      <w:r w:rsidR="000A5003">
        <w:t>current support for an incremental</w:t>
      </w:r>
      <w:r w:rsidR="005D5906">
        <w:t xml:space="preserve"> effect </w:t>
      </w:r>
      <w:r w:rsidR="000A5003">
        <w:t xml:space="preserve">of additional IPV doses </w:t>
      </w:r>
      <w:r w:rsidR="005D5906">
        <w:t xml:space="preserve">on </w:t>
      </w:r>
      <w:r w:rsidR="000A5003">
        <w:t xml:space="preserve">the </w:t>
      </w:r>
      <w:r w:rsidR="005D5906">
        <w:t xml:space="preserve">mucosal immunity </w:t>
      </w:r>
      <w:r w:rsidR="000A5003">
        <w:t>of</w:t>
      </w:r>
      <w:r w:rsidR="005D5906">
        <w:t xml:space="preserve"> </w:t>
      </w:r>
      <w:proofErr w:type="spellStart"/>
      <w:r w:rsidR="005D5906">
        <w:t>bOPV</w:t>
      </w:r>
      <w:proofErr w:type="spellEnd"/>
      <w:r w:rsidR="005D5906">
        <w:t>-exposed, OPV2-naïve children</w:t>
      </w:r>
      <w:r w:rsidR="000A5003">
        <w:t xml:space="preserve"> is not immediately apparent from the published literature. One recent study supports a dose-dependent effect while another finds no difference, though the two studies are in different settings and use different schedules</w:t>
      </w:r>
      <w:r w:rsidR="005D5906">
        <w:t>.</w:t>
      </w:r>
      <w:r w:rsidR="000A5003">
        <w:fldChar w:fldCharType="begin" w:fldLock="1"/>
      </w:r>
      <w:r w:rsidR="000A5003">
        <w:instrText>ADDIN CSL_CITATION { "citationItems" : [ { "id" : "ITEM-1", "itemData" : { "DOI" : "10.1016/S1473-3099(15)00219-4", "ISSN" : "1474-4457", "PMID" : "26318714", "abstract" : "BACKGROUND Bivalent oral poliovirus vaccine (bOPV; types 1 and 3) is expected to replace trivalent OPV (tOPV) globally by April, 2016, preceded by the introduction of at least one dose of inactivated poliovirus vaccine (IPV) in routine immunisation programmes to eliminate vaccine-associated or vaccine-derived poliomyelitis from serotype 2 poliovirus. Because data are needed on sequential IPV-bOPV schedules, we assessed the immunogenicity of two different IPV-bOPV schedules compared with an all-IPV schedule in infants. METHODS We did a randomised, controlled, open-label, non-inferiority trial with healthy, full-term (&gt;2\u00b75 kg birthweight) infants aged 8 weeks (\u00b1 7 days) at six well-child clinics in Santiago, Chile. We used supplied lists to randomly assign infants (1:1:1) to receive three polio vaccinations (IPV by injection or bOPV as oral drops) at age 8, 16, and 24 weeks in one of three sequential schedules: IPV-bOPV-bOPV, IPV-IPV-bOPV, or IPV-IPV-IPV. We did the randomisation with blocks of 12 stratified by study site. All analyses were done in a masked manner. Co-primary outcomes were non-inferiority of the bOPV-containing schedules compared with the all-IPV schedule for seroconversion (within a 10% margin) and antibody titres (within two-thirds log2 titres) to poliovirus serotypes 1 and 3 at age 28 weeks, analysed in the per-protocol population. Secondary outcomes were seroconversion and titres to serotype 2 and faecal shedding for 4 weeks after a monovalent OPV type 2 challenge at age 28 weeks. Safety analyses were done in the intention-to-treat population. This trial is registered with ClinicalTrials.gov, number NCT01841671, and is closed to new participants. FINDINGS Between April 25 and August 1, 2013, we assigned 570 infants to treatment: 190 to IPV-bOPV-bOPV, 192 to IPV-IPV-bOPV, and 188 to IPV-IPV-IPV. 564 (99%) were vaccinated and included in the intention-to-treat cohort, and 537 (94%) in the per-protocol analyses. In the IPV-bOPV-bOPV, IPV-IPV-bOPV, and IPV-IPV-IPV groups, respectively, the proportions of children with seroconversion to type 1 poliovirus were 166 (98\u00b78%) of 168, 95% CI 95\u00b78-99\u00b77; 178 (100%), 97\u00b79-100\u00b70; and 175 (100%), 97\u00b79-100\u00b70. Proportions with seroconvsion to type 3 poliovirus were 163 (98\u00b72%) of 166, 94\u00b78-99\u00b74; 177 (100%), 97\u00b79-100\u00b70, and 172 (98\u00b79%) of 174, 95\u00b79-99\u00b77. Non-inferiority was thus shown for the bOPV-containing schedules compared with the all-IPV schedule, with no significant differences between groups. In\u2026", "author" : [ { "dropping-particle" : "", "family" : "O'Ryan", "given" : "Miguel", "non-dropping-particle" : "", "parse-names" : false, "suffix" : "" }, { "dropping-particle" : "", "family" : "Bandyopadhyay", "given" : "Ananda S", "non-dropping-particle" : "", "parse-names" : false, "suffix" : "" }, { "dropping-particle" : "", "family" : "Villena", "given" : "Rodolfo", "non-dropping-particle" : "", "parse-names" : false, "suffix" : "" }, { "dropping-particle" : "", "family" : "Espinoza", "given" : "M\u00f3nica", "non-dropping-particle" : "", "parse-names" : false, "suffix" : "" }, { "dropping-particle" : "", "family" : "Novoa", "given" : "Jos\u00e9",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"Self", "given" : "Steve", "non-dropping-particle" : "", "parse-names" : false, "suffix" : "" }, { "dropping-particle" : "", "family" : "Borate", "given" : "Bhavesh R", "non-dropping-particle" : "", "parse-names" : false, "suffix" : "" }, { "dropping-particle" : "", "family" : "Asturias", "given" : "Edwin J", "non-dropping-particle" : "", "parse-names" : false, "suffix" : "" }, { "dropping-particle" : "", "family" : "Clemens", "given" : "Ralf", "non-dropping-particle" : "", "parse-names" : false, "suffix" : "" }, { "dropping-particle" : "", "family" : "Orenstein", "given" : "Walter", "non-dropping-particle" : "", "parse-names" : false, "suffix" : "" }, { "dropping-particle" : "", "family" : "Jimeno", "given" : "Jos\u00e9", "non-dropping-particle" : "", "parse-names" : false, "suffix" : "" }, { "dropping-particle" : "", "family" : "R\u00fcttimann", "given" : "Ricardo", "non-dropping-particle" : "", "parse-names" : false, "suffix" : "" }, { "dropping-particle" : "", "family" : "Costa Clemens", "given" : "Sue Ann", "non-dropping-particle" : "", "parse-names" : false, "suffix" : "" }, { "dropping-particle" : "", "family" : "Chilean IPV/bOPV study group",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"Minor", "given" : "P",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"de", "family" : "Salud", "given" : "Minsterio", "non-dropping-particle" : "", "parse-names" : false, "suffix" : "" }, { "dropping-particle" : "", "family" : "WHO", "given" : "", "non-dropping-particle" : "", "parse-names" : false, "suffix" : "" }, { "dropping-particle" : "", "family" : "Resik", "given" : "S", "non-dropping-particle" : "", "parse-names" : false, "suffix" : "" }, { "dropping-particle" : "", "family" : "Tejeda", "given" : "A", "non-dropping-particle" : "", "parse-names" : false, "suffix" : "" }, { "dropping-particle" : "", "family" : "Lago", "given" : "PM", "non-dropping-particle" : "", "parse-names" : false, "suffix" : "" }, { "dropping-particle" : "", "family" : "al.", "given" : "et", "non-dropping-particle" : "", "parse-names" : false, "suffix" : "" }, { "dropping-particle" : "", "family" : "Fay", "given" : "MP", "non-dropping-particle" : "", "parse-names" : false, "suffix" : "" }, { "dropping-particle" : "", "family" : "Shaw", "given" : "PA", "non-dropping-particle" : "", "parse-names" : false, "suffix" : "" }, { "dropping-particle" : "", "family" : "Kilpatrick", "given" : "DR", "non-dropping-particle" : "", "parse-names" : false, "suffix" : "" }, { "dropping-particle" : "", "family" : "Iber", "given" : "JC", "non-dropping-particle" : "", "parse-names" : false, "suffix" : "" }, { "dropping-particle" : "", "family" : "Chen", "given" : "Q", "non-dropping-particle" : "", "parse-names" : false, "suffix" : "" }, { "dropping-particle" : "", "family" : "al.", "given" : "et", "non-dropping-particle" : "", "parse-names" : false, "suffix" : "" }, { "dropping-particle" : "", "family" : "Karber", "given" : "G", "non-dropping-particle" : "", "parse-names" : false, "suffix" : "" }, { "dropping-particle" : "", "family" : "WHO", "given" : "", "non-dropping-particle" : "", "parse-names" : false, "suffix" : "" }, { "dropping-particle" : "", "family" : "Deshpande", "given" : "JM", "non-dropping-particle" : "", "parse-names" : false, "suffix" : "" }, { "dropping-particle" : "", "family" : "Nadkarni", "given" : "SS", "non-dropping-particle" : "", "parse-names" : false, "suffix" : "" }, { "dropping-particle" : "", "family" : "Siddiqui", "given" : "ZA", "non-dropping-particle" : "", "parse-names" : false, "suffix" : "" }, { "dropping-particle" : "", "family" : "Dayan", "given" : "GH", "non-dropping-particle" : "", "parse-names" : false, "suffix" : "" }, { "dropping-particle" : "", "family" : "Thorley", "given" : "M", "non-dropping-particle" : "", "parse-names" : false, "suffix" : "" }, { "dropping-particle" : "", "family" : "Yamamura", "given" : "Y", "non-dropping-particle" : "", "parse-names" : false, "suffix" : "" }, { "dropping-particle" : "", "family" : "al.", "given" : "et", "non-dropping-particle" : "", "parse-names" : false, "suffix" : "" }, { "dropping-particle" : "", "family" : "Anand", "given" : "A", "non-dropping-particle" : "", "parse-names" : false, "suffix" : "" }, { "dropping-particle" : "", "family" : "Pallansch", "given" : "MA", "non-dropping-particle" : "", "parse-names" : false, "suffix" : "" }, { "dropping-particle" : "", "family" : "Estivariz", "given" : "CF", "non-dropping-particle" : "", "parse-names" : false, "suffix" : "" }, { "dropping-particle" : "", "family" : "Gary", "given" : "H", "non-dropping-particle" : "", "parse-names" : false, "suffix" : "" }, { "dropping-particle" : "", "family" : "Wassilak", "given" : "SGF",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"Wright", "given" : "PF", "non-dropping-particle" : "", "parse-names" : false, "suffix" : "" }, { "dropping-particle" : "", "family" : "Wieland-Alter", "given" : "W", "non-dropping-particle" : "", "parse-names" : false, "suffix" : "" }, { "dropping-particle" : "", "family" : "Ilyushina", "given" : "NA", "non-dropping-particle" : "", "parse-names" : false, "suffix" : "" }, { "dropping-particle" : "", "family" : "al.", "given" : "et", "non-dropping-particle" : "", "parse-names" : false, "suffix" : "" } ], "container-title" : "The Lancet. Infectious diseases", "id" : "ITEM-1", "issue" : "11", "issued" : { "date-parts" : [ [ "2015", "11" ] ] }, "page" : "1273-82", "publisher" : "Elsevier", "title" : "Inactivated poliovirus vaccine given alone or in a sequential schedule with bivalent oral poliovirus vaccine in Chilean infants: a randomised, controlled, open-label, phase 4, non-inferiority study.", "type" : "article-journal", "volume" : "15" }, "uris" : [ "http://www.mendeley.com/documents/?uuid=44e13b5d-469d-3021-98a3-300c54fca127" ] }, { "id" : "ITEM-2", "itemData" : { "DOI" : "10.1016/S0140-6736(16)00703-0", "ISSN" : "01406736", "author" : [ { "dropping-particle" : "", "family" : "Asturias", "given" : "Edwin J", "non-dropping-particle" : "", "parse-names" : false, "suffix" : "" }, { "dropping-particle" : "", "family" : "Bandyopadhyay", "given" : "Ananda S", "non-dropping-particle" : "", "parse-names" : false, "suffix" : "" }, { "dropping-particle" : "", "family" : "Self", "given" : "Steve", "non-dropping-particle" : "", "parse-names" : false, "suffix" : "" }, { "dropping-particle" : "", "family" : "Rivera", "given" : "Luis", "non-dropping-particle" : "", "parse-names" : false, "suffix" : "" }, { "dropping-particle" : "", "family" : "Saez-Llorens", "given" : "Xavier", "non-dropping-particle" : "", "parse-names" : false, "suffix" : "" }, { "dropping-particle" : "", "family" : "Lopez", "given" : "Eduardo", "non-dropping-particle" : "", "parse-names" : false, "suffix" : "" }, { "dropping-particle" : "", "family" : "Melgar", "given" : "Mario", "non-dropping-particle" : "", "parse-names" : false, "suffix" : "" }, { "dropping-particle" : "", "family" : "Gaensbauer", "given" : "James T", "non-dropping-particle" : "", "parse-names" : false, "suffix" : "" }, { "dropping-particle" : "", "family" : "Weldon", "given" : "William C", "non-dropping-particle" : "", "parse-names" : false, "suffix" : "" }, { "dropping-particle" : "", "family" : "Oberste", "given" : "M Steven", "non-dropping-particle" : "", "parse-names" : false, "suffix" : "" }, { "dropping-particle" : "", "family" : "Borate", "given" : "Bhavesh R", "non-dropping-particle" : "", "parse-names" : false, "suffix" : "" }, { "dropping-particle" : "", "family" : "Gast", "given" : "Chris", "non-dropping-particle" : "", "parse-names" : false, "suffix" : "" }, { "dropping-particle" : "", "family" : "Clemens", "given" : "Ralf", "non-dropping-particle" : "", "parse-names" : false, "suffix" : "" }, { "dropping-particle" : "", "family" : "Orenstein", "given" : "Walter", "non-dropping-particle" : "", "parse-names" : false, "suffix" : "" }, { "dropping-particle" : "", "family" : "O'Ryan G", "given" : "Miguel", "non-dropping-particle" : "", "parse-names" : false, "suffix" : "" }, { "dropping-particle" : "", "family" : "Jimeno", "given" : "Jos\u00e9", "non-dropping-particle" : "", "parse-names" : false, "suffix" : "" }, { "dropping-particle" : "", "family" : "Clemens", "given" : "Sue Ann Costa", "non-dropping-particle" : "", "parse-names" : false, "suffix" : "" }, { "dropping-particle" : "", "family" : "Ward", "given" : "Joel", "non-dropping-particle" : "", "parse-names" : false, "suffix" : "" }, { "dropping-particle" : "", "family" : "R\u00fcttimann", "given" : "Ricardo", "non-dropping-particle" : "", "parse-names" : false, "suffix" : "" }, { "dropping-particle" : "", "family" : "Initiative", "given" : "Global Polio Eradication", "non-dropping-particle" : "", "parse-names" : false, "suffix" : "" }, { "dropping-particle" : "", "family" : "Bandyopadhyay", "given" : "AS", "non-dropping-particle" : "", "parse-names" : false, "suffix" : "" }, { "dropping-particle" : "", "family" : "Garon", "given" : "J", "non-dropping-particle" : "", "parse-names" : false, "suffix" : "" }, { "dropping-particle" : "", "family" : "Seib", "given" : "K", "non-dropping-particle" : "", "parse-names" : false, "suffix" : "" }, { "dropping-particle" : "", "family" : "Orenstein", "given" : "WA", "non-dropping-particle" : "", "parse-names" : false, "suffix" : "" }, { "dropping-particle" : "", "family" : "Platt", "given" : "LR", "non-dropping-particle" : "", "parse-names" : false, "suffix" : "" }, { "dropping-particle" : "", "family" : "Estivariz", "given" : "CF", "non-dropping-particle" : "", "parse-names" : false, "suffix" : "" }, { "dropping-particle" : "", "family" : "Sutter", "given" : "RW", "non-dropping-particle" : "", "parse-names" : false, "suffix" : "" }, { "dropping-particle" : "", "family" : "WHO", "given" : "", "non-dropping-particle" : "", "parse-names" : false, "suffix" : "" }, { "dropping-particle" : "", "family" : "Plotkin", "given" : "SA", "non-dropping-particle" : "", "parse-names" : false, "suffix" : "" }, { "dropping-particle" : "", "family" : "O'Ryan", "given" : "M", "non-dropping-particle" : "", "parse-names" : false, "suffix" : "" }, { "dropping-particle" : "", "family" : "Bandyopadhyay", "given" : "AS", "non-dropping-particle" : "", "parse-names" : false, "suffix" : "" }, { "dropping-particle" : "", "family" : "Villena", "given" : "R", "non-dropping-particle" : "", "parse-names" : false, "suffix" : "" }, { "dropping-particle" : "", "family" : "al.", "given" : "et", "non-dropping-particle" : "", "parse-names" : false, "suffix" : "" }, { "dropping-particle" : "", "family" : "S\u00e1ez-Llorens", "given" : "X", "non-dropping-particle" : "", "parse-names" : false, "suffix" : "" }, { "dropping-particle" : "", "family" : "Clemens", "given" : "R", "non-dropping-particle" : "", "parse-names" : false, "suffix" : "" }, { "dropping-particle" : "", "family" : "Leroux-Roels", "given" : "G", "non-dropping-particle" : "", "parse-names" : false, "suffix" : "" }, { "dropping-particle" : "", "family" : "al.", "given" : "et", "non-dropping-particle" : "", "parse-names" : false, "suffix" : "" }, { "dropping-particle" : "", "family" : "Patriarca", "given" : "PA", "non-dropping-particle" : "", "parse-names" : false, "suffix" : "" }, { "dropping-particle" : "", "family" : "Wright", "given" : "PF", "non-dropping-particle" : "", "parse-names" : false, "suffix" : "" }, { "dropping-particle" : "", "family" : "John", "given" : "TJ", "non-dropping-particle" : "", "parse-names" : false, "suffix" : "" }, { "dropping-particle" : "", "family" : "Sutter", "given" : "RW", "non-dropping-particle" : "", "parse-names" : false, "suffix" : "" }, { "dropping-particle" : "", "family" : "Bahl", "given" : "S", "non-dropping-particle" : "", "parse-names" : false, "suffix" : "" }, { "dropping-particle" : "", "family" : "Deshpande", "given" : "JM", "non-dropping-particle" : "", "parse-names" : false, "suffix" : "" }, { "dropping-particle" : "", "family" : "al.", "given" : "et", "non-dropping-particle" : "", "parse-names" : false, "suffix" : "" }, { "dropping-particle" : "", "family" : "Est\u00edvariz", "given" : "CF", "non-dropping-particle" : "", "parse-names" : false, "suffix" : "" }, { "dropping-particle" : "", "family" : "Anand", "given" : "A", "non-dropping-particle" : "", "parse-names" : false, "suffix" : "" }, { "dropping-particle" : "", "family" : "Gary", "given" : "HE", "non-dropping-particle" : "", "parse-names" : false, "suffix" : "" }, { "dropping-particle" : "", "family" : "al.", "given" : "et", "non-dropping-particle" : "", "parse-names" : false, "suffix" : "" }, { "dropping-particle" : "", "family" : "Mir", "given" : "F", "non-dropping-particle" : "", "parse-names" : false, "suffix" : "" }, { "dropping-particle" : "", "family" : "Quadri", "given" : "F", "non-dropping-particle" : "", "parse-names" : false, "suffix" : "" }, { "dropping-particle" : "", "family" : "Mach", "given" : "O", "non-dropping-particle" : "", "parse-names" : false, "suffix" : "" }, { "dropping-particle" : "", "family" : "al.", "given" : "et", "non-dropping-particle" : "", "parse-names" : false, "suffix" : "" }, { "dropping-particle" : "", "family" : "Grassly", "given" : "NC", "non-dropping-particle" : "", "parse-names" : false, "suffix" : "" }, { "dropping-particle" : "", "family" : "Sabin", "given" : "AB", "non-dropping-particle" : "", "parse-names" : false, "suffix" : "" }, { "dropping-particle" : "", "family" : "Ashkenazi", "given" : "A", "non-dropping-particle" : "", "parse-names" : false, "suffix" : "" }, { "dropping-particle" : "", "family" : "Melnick", "given" : "JL", "non-dropping-particle" : "", "parse-names" : false, "suffix" : "" }, { "dropping-particle" : "", "family" : "Netea", "given" : "MG", "non-dropping-particle" : "", "parse-names" : false, "suffix" : "" }, { "dropping-particle" : "", "family" : "Quintin", "given" : "J", "non-dropping-particle" : "", "parse-names" : false, "suffix" : "" }, { "dropping-particle" : "van der", "family" : "Meer", "given" : "JW", "non-dropping-particle" : "", "parse-names" : false, "suffix" : "" }, { "dropping-particle" : "", "family" : "Hong", "given" : "M", "non-dropping-particle" : "", "parse-names" : false, "suffix" : "" }, { "dropping-particle" : "", "family" : "Sandalova", "given" : "E", "non-dropping-particle" : "", "parse-names" : false, "suffix" : "" }, { "dropping-particle" : "", "family" : "Low", "given" : "D", "non-dropping-particle" : "", "parse-names" : false, "suffix" : "" }, { "dropping-particle" : "", "family" : "al.", "given" : "et", "non-dropping-particle" : "", "parse-names" : false, "suffix" : "" }, { "dropping-particle" : "", "family" : "Herremans", "given" : "MMPT", "non-dropping-particle" : "", "parse-names" : false, "suffix" : "" }, { "dropping-particle" : "", "family" : "Reimerink", "given" : "JHJ", "non-dropping-particle" : "", "parse-names" : false, "suffix" : "" }, { "dropping-particle" : "", "family" : "Buisman", "given" : "AM", "non-dropping-particle" : "", "parse-names" : false, "suffix" : "" }, { "dropping-particle" : "", "family" : "Kimman", "given" : "TG", "non-dropping-particle" : "", "parse-names" : false, "suffix" : "" }, { "dropping-particle" : "", "family" : "Koopmans", "given" : "MPG", "non-dropping-particle" : "", "parse-names" : false, "suffix" : "" }, { "dropping-particle" : "", "family" : "John", "given" : "J", "non-dropping-particle" : "", "parse-names" : false, "suffix" : "" }, { "dropping-particle" : "", "family" : "Giri", "given" : "S", "non-dropping-particle" : "", "parse-names" : false, "suffix" : "" }, { "dropping-particle" : "", "family" : "Karthikeyan", "given" : "AS", "non-dropping-particle" : "", "parse-names" : false, "suffix" : "" }, { "dropping-particle" : "", "family" : "al.", "given" : "et", "non-dropping-particle" : "", "parse-names" : false, "suffix" : "" }, { "dropping-particle" : "", "family" : "Jafari", "given" : "H", "non-dropping-particle" : "", "parse-names" : false, "suffix" : "" }, { "dropping-particle" : "", "family" : "Deshpande", "given" : "JM", "non-dropping-particle" : "", "parse-names" : false, "suffix" : "" }, { "dropping-particle" : "", "family" : "Sutter", "given" : "RW", "non-dropping-particle" : "", "parse-names" : false, "suffix" : "" }, { "dropping-particle" : "", "family" : "al.", "given" : "et", "non-dropping-particle" : "", "parse-names" : false, "suffix" : "" }, { "dropping-particle" : "de", "family" : "Quadros", "given" : "CA", "non-dropping-particle" : "", "parse-names" : false, "suffix" : "" }, { "dropping-particle" : "", "family" : "Henderson", "given" : "DA", "non-dropping-particle" : "", "parse-names" : false, "suffix" : "" } ], "container-title" : "The Lancet", "id" : "ITEM-2", "issue" : "10040", "issued" : { "date-parts" : [ [ "2016", "7" ] ] }, "page" : "158-169", "publisher" : "Elsevier", "title" : "Humoral and intestinal immunity induced by new schedules of bivalent oral poliovirus vaccine and one or two doses of inactivated poliovirus vaccine in Latin American infants: an open-label randomised controlled trial", "type" : "article-journal", "volume" : "388" }, "uris" : [ "http://www.mendeley.com/documents/?uuid=d985f869-38fb-3a98-a856-3a34c3a3b611" ] } ], "mendeley" : { "formattedCitation" : "&lt;sup&gt;1,2&lt;/sup&gt;", "plainTextFormattedCitation" : "1,2" }, "properties" : { "noteIndex" : 0 }, "schema" : "https://github.com/citation-style-language/schema/raw/master/csl-citation.json" }</w:instrText>
      </w:r>
      <w:r w:rsidR="000A5003">
        <w:fldChar w:fldCharType="separate"/>
      </w:r>
      <w:r w:rsidR="000A5003" w:rsidRPr="000A5003">
        <w:rPr>
          <w:noProof/>
          <w:vertAlign w:val="superscript"/>
        </w:rPr>
        <w:t>1,2</w:t>
      </w:r>
      <w:r w:rsidR="000A5003">
        <w:fldChar w:fldCharType="end"/>
      </w:r>
      <w:r w:rsidR="005D5906">
        <w:t xml:space="preserve">  This model does in fact implement a dose-dependent response, as it is simpler to implement and it should not affect the results - only a single dose of IPV in RI is modeled and compared against zero doses.  A small subset of children in the model may receive the RI IPV, be missed by the subsequent OPV campaigns, but receive a second dose of IPV in outbreak response; this cohort is sufficiently small that its effects are overwhelmed by the uncertainties in other model features (Sabin 2 R</w:t>
      </w:r>
      <w:r w:rsidR="005D5906">
        <w:rPr>
          <w:vertAlign w:val="subscript"/>
        </w:rPr>
        <w:t>0</w:t>
      </w:r>
      <w:r w:rsidR="005D5906">
        <w:t xml:space="preserve">, overall demographics of immunity, migration rates and connections).  </w:t>
      </w:r>
    </w:p>
    <w:p w:rsidR="00A207AC" w:rsidRPr="00A207AC" w:rsidRDefault="00A207AC" w:rsidP="00A207AC">
      <w:r w:rsidRPr="00A207AC">
        <w:lastRenderedPageBreak/>
        <w:t>The infectious and incubation periods (γ and σ, respectively) were modeled using constant times spent in a compartment, rather than the exponential distribution implied by the rate parameters</w:t>
      </w:r>
      <w:r>
        <w:t xml:space="preserve"> in a standard SEIS</w:t>
      </w:r>
      <w:r w:rsidRPr="00A207AC">
        <w:t xml:space="preserve"> model, changing the parameters from rates to delays in the equations.  The mortality rate ν is implemented as a function of age ν(</w:t>
      </w:r>
      <w:r w:rsidRPr="00A207AC">
        <w:rPr>
          <w:i/>
        </w:rPr>
        <w:t>a</w:t>
      </w:r>
      <w:r w:rsidRPr="00A207AC">
        <w:t xml:space="preserve">), with values obtained from </w:t>
      </w:r>
      <w:r>
        <w:t>DHS</w:t>
      </w:r>
      <w:r w:rsidR="00A15A1B">
        <w:fldChar w:fldCharType="begin" w:fldLock="1"/>
      </w:r>
      <w:r w:rsidR="000A5003">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"&lt;sup&gt;3&lt;/sup&gt;", "plainTextFormattedCitation" : "3", "previouslyFormattedCitation" : "&lt;sup&gt;1&lt;/sup&gt;" }, "properties" : { "noteIndex" : 0 }, "schema" : "https://github.com/citation-style-language/schema/raw/master/csl-citation.json" }</w:instrText>
      </w:r>
      <w:r w:rsidR="00A15A1B">
        <w:fldChar w:fldCharType="separate"/>
      </w:r>
      <w:r w:rsidR="000A5003" w:rsidRPr="000A5003">
        <w:rPr>
          <w:noProof/>
          <w:vertAlign w:val="superscript"/>
        </w:rPr>
        <w:t>3</w:t>
      </w:r>
      <w:r w:rsidR="00A15A1B">
        <w:fldChar w:fldCharType="end"/>
      </w:r>
      <w:r w:rsidRPr="00A207AC">
        <w:t xml:space="preserve">.  </w:t>
      </w:r>
      <w:r w:rsidR="002D7CA8">
        <w:t xml:space="preserve"> The model tracks only 0-5 year olds, as ~98% of all cVDPV2 paralysis cases in the AFRO region have arisen in this cohort.</w:t>
      </w:r>
      <w:r w:rsidR="00C0563C">
        <w:fldChar w:fldCharType="begin" w:fldLock="1"/>
      </w:r>
      <w:r w:rsidR="000A5003">
        <w:instrText>ADDIN CSL_CITATION { "citationItems" : [ { "id" : "ITEM-1", "itemData" : { "URL" : "https://extranet.who.int/polis/Search", "accessed" : { "date-parts" : [ [ "2016", "8", "2" ] ] }, "id" : "ITEM-1", "issued" : { "date-parts" : [ [ "0" ] ] }, "title" : "POLIS: The polio information system", "type" : "webpage" }, "uris" : [ "http://www.mendeley.com/documents/?uuid=82e25ada-6e23-3b9a-843d-95f02a1f35a6" ] } ], "mendeley" : { "formattedCitation" : "&lt;sup&gt;4&lt;/sup&gt;", "plainTextFormattedCitation" : "4", "previouslyFormattedCitation" : "&lt;sup&gt;2&lt;/sup&gt;" }, "properties" : { "noteIndex" : 0 }, "schema" : "https://github.com/citation-style-language/schema/raw/master/csl-citation.json" }</w:instrText>
      </w:r>
      <w:r w:rsidR="00C0563C">
        <w:fldChar w:fldCharType="separate"/>
      </w:r>
      <w:r w:rsidR="000A5003" w:rsidRPr="000A5003">
        <w:rPr>
          <w:noProof/>
          <w:vertAlign w:val="superscript"/>
        </w:rPr>
        <w:t>4</w:t>
      </w:r>
      <w:r w:rsidR="00C0563C">
        <w:fldChar w:fldCharType="end"/>
      </w:r>
      <w:r w:rsidR="002D7CA8">
        <w:t xml:space="preserve">  As the case load is concentrated in this age group, the authors think it likely that virus transmission is also highly concentrated in this cohort.  To the extent that silent circulation occurs in older cohorts, for the purposes of modeling, outbound and inbound transmission from the observable cohort to the silent cohort can be reduced to an effective transmission rate within the observable cohort.  The effective birth rate is adjusted to produce a population growth rate of 2.8% </w:t>
      </w:r>
      <w:r w:rsidR="00A15A1B">
        <w:t>per year</w:t>
      </w:r>
      <w:r w:rsidR="00A15A1B">
        <w:fldChar w:fldCharType="begin" w:fldLock="1"/>
      </w:r>
      <w:r w:rsidR="000A5003">
        <w:instrText>ADDIN CSL_CITATION { "citationItems" : [ { "id" : "ITEM-1", "itemData" : { "author" : [ { "dropping-particle" : "", "family" : "National Population Commission - Federal Republic of Nigeria", "given" : "", "non-dropping-particle" : "", "parse-names" : false, "suffix" : "" }, { "dropping-particle" : "", "family" : "ICF International", "given" : "", "non-dropping-particle" : "", "parse-names" : false, "suffix" : "" } ], "id" : "ITEM-1", "issued" : { "date-parts" : [ [ "2014" ] ] }, "title" : "Nigeria Demographic and Health Survey, 2013 - Final Report", "type" : "article" }, "uris" : [ "http://www.mendeley.com/documents/?uuid=647e9493-25e5-3c88-9eef-0acc36d40ac2" ] } ], "mendeley" : { "formattedCitation" : "&lt;sup&gt;3&lt;/sup&gt;", "plainTextFormattedCitation" : "3", "previouslyFormattedCitation" : "&lt;sup&gt;1&lt;/sup&gt;" }, "properties" : { "noteIndex" : 0 }, "schema" : "https://github.com/citation-style-language/schema/raw/master/csl-citation.json" }</w:instrText>
      </w:r>
      <w:r w:rsidR="00A15A1B">
        <w:fldChar w:fldCharType="separate"/>
      </w:r>
      <w:r w:rsidR="000A5003" w:rsidRPr="000A5003">
        <w:rPr>
          <w:noProof/>
          <w:vertAlign w:val="superscript"/>
        </w:rPr>
        <w:t>3</w:t>
      </w:r>
      <w:r w:rsidR="00A15A1B">
        <w:fldChar w:fldCharType="end"/>
      </w:r>
      <w:r w:rsidR="00A15A1B">
        <w:t>.</w:t>
      </w:r>
    </w:p>
    <w:p w:rsidR="00A207AC" w:rsidRDefault="00A207AC" w:rsidP="00A207AC">
      <w:r w:rsidRPr="00A207AC">
        <w:t>The model includes a linear rising exp</w:t>
      </w:r>
      <w:r w:rsidR="00CE17CE">
        <w:t>osure to infectiousness with age.  This term is based on previous work modeling WPV1 paralysis cases in Kano state, Nigeria (reference), where the number of paralysis c</w:t>
      </w:r>
      <w:r w:rsidR="002D7CA8">
        <w:t xml:space="preserve">ases peaked at 2 years of age, and the age distribution of cVDPV2 cases in AFRO exhibits a similar shape.  </w:t>
      </w:r>
      <w:r w:rsidR="00CE17CE">
        <w:t>This apparent protection lasts too long to be solely the effect of maternal antibodies, and so this rising susceptibility was developed to incorporate the effects of both maternal antibodies and reduced overall mixing with older children</w:t>
      </w:r>
      <w:r w:rsidRPr="00A207AC">
        <w:t xml:space="preserve">.  </w:t>
      </w:r>
      <w:r w:rsidR="009C67B9">
        <w:t>Individual susceptibility vs. age is governed by the following equation:</w:t>
      </w:r>
    </w:p>
    <w:p w:rsidR="009C67B9" w:rsidRPr="009C67B9" w:rsidRDefault="009C0BDF" w:rsidP="009C67B9">
      <w:pPr>
        <w:jc w:val="center"/>
        <w:rPr>
          <w:rFonts w:eastAsiaTheme="minorEastAsia"/>
          <w:sz w:val="20"/>
          <w:szCs w:val="20"/>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 xml:space="preserve"> 0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a≤0</m:t>
                        </m:r>
                      </m:e>
                    </m:mr>
                    <m:m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     , 0&lt;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 xml:space="preserve">a&lt;1 </m:t>
                        </m:r>
                      </m:e>
                    </m:mr>
                    <m:mr>
                      <m:e>
                        <m:r>
                          <w:rPr>
                            <w:rFonts w:ascii="Cambria Math" w:eastAsia="Calibri" w:hAnsi="Cambria Math" w:cs="Times New Roman"/>
                          </w:rPr>
                          <m:t xml:space="preserve">1  </m:t>
                        </m:r>
                        <m:sSub>
                          <m:sSubPr>
                            <m:ctrlPr>
                              <w:rPr>
                                <w:rFonts w:ascii="Cambria Math" w:eastAsia="Calibri" w:hAnsi="Cambria Math" w:cs="Times New Roman"/>
                                <w:i/>
                              </w:rPr>
                            </m:ctrlPr>
                          </m:sSubPr>
                          <m:e>
                            <m:r>
                              <w:rPr>
                                <w:rFonts w:ascii="Cambria Math" w:eastAsia="Calibri" w:hAnsi="Cambria Math" w:cs="Times New Roman"/>
                              </w:rPr>
                              <m:t xml:space="preserve">             , f</m:t>
                            </m:r>
                          </m:e>
                          <m:sub>
                            <m:r>
                              <w:rPr>
                                <w:rFonts w:ascii="Cambria Math" w:eastAsia="Calibri"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a≥1</m:t>
                        </m:r>
                      </m:e>
                    </m:mr>
                  </m:m>
                </m:e>
              </m:d>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1</m:t>
                  </m:r>
                </m:e>
              </m:d>
            </m:e>
          </m:eqArr>
        </m:oMath>
      </m:oMathPara>
    </w:p>
    <w:p w:rsidR="009C67B9" w:rsidRDefault="00533CA4" w:rsidP="00A207AC">
      <w:r>
        <w:t>Secondary infections arising from individual campaigns are not separately tracked, preventing the tracking of separate VDPV lineages undergoing independent reversion.  R</w:t>
      </w:r>
      <w:r w:rsidR="009C67B9">
        <w:t>ather, infectivity is described as a function of time, held constant through the initial campaigns in the outbreak response and beginning to rise after the final campaign:</w:t>
      </w:r>
    </w:p>
    <w:p w:rsidR="009C67B9" w:rsidRPr="009C67B9" w:rsidRDefault="009C0BDF" w:rsidP="009C67B9">
      <w:pPr>
        <w:rPr>
          <w:rFonts w:eastAsiaTheme="minorEastAsia"/>
        </w:rPr>
      </w:pPr>
      <m:oMathPara>
        <m:oMath>
          <m:eqArr>
            <m:eqArrPr>
              <m:maxDist m:val="1"/>
              <m:ctrlPr>
                <w:rPr>
                  <w:rFonts w:ascii="Cambria Math" w:hAnsi="Cambria Math"/>
                  <w:i/>
                </w:rPr>
              </m:ctrlPr>
            </m:eqArr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r>
                <w:rPr>
                  <w:rFonts w:ascii="Cambria Math" w:hAnsi="Cambria Math"/>
                </w:rPr>
                <m:t>#</m:t>
              </m:r>
              <m:d>
                <m:dPr>
                  <m:ctrlPr>
                    <w:rPr>
                      <w:rFonts w:ascii="Cambria Math" w:hAnsi="Cambria Math"/>
                      <w:i/>
                    </w:rPr>
                  </m:ctrlPr>
                </m:dPr>
                <m:e>
                  <m:r>
                    <w:rPr>
                      <w:rFonts w:ascii="Cambria Math" w:hAnsi="Cambria Math"/>
                    </w:rPr>
                    <m:t>2</m:t>
                  </m:r>
                </m:e>
              </m:d>
            </m:e>
          </m:eqArr>
        </m:oMath>
      </m:oMathPara>
    </w:p>
    <w:p w:rsidR="00A207AC" w:rsidRPr="00840C9E" w:rsidRDefault="00A207AC" w:rsidP="00840C9E">
      <w:pPr>
        <w:autoSpaceDE w:val="0"/>
        <w:autoSpaceDN w:val="0"/>
        <w:adjustRightInd w:val="0"/>
        <w:spacing w:after="0" w:line="240" w:lineRule="auto"/>
        <w:rPr>
          <w:rFonts w:cs="Courier New"/>
          <w:color w:val="000000" w:themeColor="text1"/>
          <w:sz w:val="28"/>
          <w:szCs w:val="24"/>
        </w:rPr>
      </w:pPr>
      <w:r w:rsidRPr="00A207AC">
        <w:t xml:space="preserve">Individuals of any disease state and age migrate between </w:t>
      </w:r>
      <w:proofErr w:type="spellStart"/>
      <w:r w:rsidRPr="00A207AC">
        <w:t>metapopulations</w:t>
      </w:r>
      <w:proofErr w:type="spellEnd"/>
      <w:r w:rsidRPr="00A207AC">
        <w:t xml:space="preserve"> (nodes)</w:t>
      </w:r>
      <w:r w:rsidR="00CE17CE">
        <w:t xml:space="preserve">, which represent AdminL1 (provinces) of </w:t>
      </w:r>
      <w:r w:rsidR="00840C9E">
        <w:t>16</w:t>
      </w:r>
      <w:r w:rsidR="00CE17CE">
        <w:t xml:space="preserve"> West African countries</w:t>
      </w:r>
      <w:r w:rsidR="00840C9E">
        <w:t xml:space="preserve"> (</w:t>
      </w:r>
      <w:r w:rsidR="00840C9E" w:rsidRPr="00840C9E">
        <w:rPr>
          <w:rFonts w:cs="Courier New"/>
          <w:color w:val="000000" w:themeColor="text1"/>
          <w:szCs w:val="20"/>
        </w:rPr>
        <w:t xml:space="preserve">Senegal, Mauritania, Sierra Leone, Guinea, Liberia, </w:t>
      </w:r>
      <w:r w:rsidR="00840C9E">
        <w:rPr>
          <w:rFonts w:cs="Courier New"/>
          <w:color w:val="000000" w:themeColor="text1"/>
          <w:szCs w:val="20"/>
        </w:rPr>
        <w:t>Cote d’Ivoire,</w:t>
      </w:r>
      <w:r w:rsidR="00840C9E" w:rsidRPr="00840C9E">
        <w:rPr>
          <w:rFonts w:cs="Courier New"/>
          <w:color w:val="000000" w:themeColor="text1"/>
          <w:szCs w:val="20"/>
        </w:rPr>
        <w:t xml:space="preserve"> Mali, Burkina Faso, Ghana, Togo, Benin, Niger, Nigeria, Cameroon, Chad, Central African Republic</w:t>
      </w:r>
      <w:r w:rsidR="00840C9E">
        <w:t>)</w:t>
      </w:r>
      <w:r w:rsidRPr="00A207AC">
        <w:t>.</w:t>
      </w:r>
      <w:r w:rsidR="0009078D">
        <w:t xml:space="preserve">  </w:t>
      </w:r>
      <w:r w:rsidRPr="00A207AC">
        <w:t xml:space="preserve">  The infection process in a given node and at a given </w:t>
      </w:r>
      <w:proofErr w:type="spellStart"/>
      <w:r w:rsidRPr="00A207AC">
        <w:t>timestep</w:t>
      </w:r>
      <w:proofErr w:type="spellEnd"/>
      <w:r w:rsidRPr="00A207AC">
        <w:t xml:space="preserve"> is governed by individuals in that node at that </w:t>
      </w:r>
      <w:proofErr w:type="spellStart"/>
      <w:r w:rsidRPr="00A207AC">
        <w:t>timestep</w:t>
      </w:r>
      <w:proofErr w:type="spellEnd"/>
      <w:r w:rsidRPr="00A207AC">
        <w:t xml:space="preserve"> only.  Individuals migrate between nodes (from a home node </w:t>
      </w:r>
      <w:proofErr w:type="spellStart"/>
      <w:r w:rsidRPr="00A207AC">
        <w:rPr>
          <w:i/>
        </w:rPr>
        <w:t>i</w:t>
      </w:r>
      <w:proofErr w:type="spellEnd"/>
      <w:r w:rsidRPr="00A207AC">
        <w:t xml:space="preserve"> to destination node </w:t>
      </w:r>
      <w:r w:rsidRPr="00A207AC">
        <w:rPr>
          <w:i/>
        </w:rPr>
        <w:t>j</w:t>
      </w:r>
      <w:r w:rsidRPr="00A207AC">
        <w:t>) with relative destination node rates according to a gravity-like model of migration; migration is modeled as one-day round-trips to prevent unrealistic population accumulation in the largest nodes.</w:t>
      </w:r>
    </w:p>
    <w:p w:rsidR="00007992" w:rsidRPr="009C67B9" w:rsidRDefault="009C0BDF" w:rsidP="00A207AC">
      <w:pPr>
        <w:rPr>
          <w:rFonts w:eastAsiaTheme="minorEastAsia"/>
        </w:rPr>
      </w:pPr>
      <m:oMathPara>
        <m:oMath>
          <m:eqArr>
            <m:eqArrPr>
              <m:maxDist m:val="1"/>
              <m:ctrlPr>
                <w:rPr>
                  <w:rFonts w:ascii="Cambria Math" w:eastAsiaTheme="minorEastAsia" w:hAnsi="Cambria Math"/>
                  <w:i/>
                </w:rPr>
              </m:ctrlPr>
            </m:eqArrPr>
            <m:e>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r>
                <w:rPr>
                  <w:rFonts w:ascii="Cambria Math" w:eastAsia="Calibri" w:hAnsi="Cambria Math" w:cs="Times New Roman"/>
                </w:rPr>
                <m:t>#</m:t>
              </m:r>
              <m:d>
                <m:dPr>
                  <m:ctrlPr>
                    <w:rPr>
                      <w:rFonts w:ascii="Cambria Math" w:eastAsiaTheme="minorEastAsia" w:hAnsi="Cambria Math"/>
                      <w:i/>
                    </w:rPr>
                  </m:ctrlPr>
                </m:dPr>
                <m:e>
                  <m:r>
                    <w:rPr>
                      <w:rFonts w:ascii="Cambria Math" w:eastAsiaTheme="minorEastAsia" w:hAnsi="Cambria Math"/>
                    </w:rPr>
                    <m:t>3</m:t>
                  </m:r>
                </m:e>
              </m:d>
              <m:ctrlPr>
                <w:rPr>
                  <w:rFonts w:ascii="Cambria Math" w:eastAsia="Calibri" w:hAnsi="Cambria Math" w:cs="Times New Roman"/>
                  <w:i/>
                </w:rPr>
              </m:ctrlPr>
            </m:e>
          </m:eqArr>
        </m:oMath>
      </m:oMathPara>
    </w:p>
    <w:p w:rsidR="00007992" w:rsidRPr="00007992" w:rsidRDefault="00305062" w:rsidP="00A207AC">
      <w:pPr>
        <w:rPr>
          <w:rFonts w:eastAsiaTheme="minorEastAsia"/>
        </w:rPr>
      </w:pPr>
      <w:r>
        <w:rPr>
          <w:rFonts w:eastAsiaTheme="minorEastAsia"/>
        </w:rPr>
        <w:t xml:space="preserve">Where </w:t>
      </w:r>
      <m:oMath>
        <m:r>
          <w:rPr>
            <w:rFonts w:ascii="Cambria Math" w:eastAsia="Calibri" w:hAnsi="Cambria Math" w:cs="Times New Roman"/>
          </w:rPr>
          <m:t>c</m:t>
        </m:r>
      </m:oMath>
      <w:r>
        <w:rPr>
          <w:rFonts w:eastAsiaTheme="minorEastAsia"/>
        </w:rPr>
        <w:t xml:space="preserve"> = 1 or 2 for the scenarios tested</w:t>
      </w:r>
      <w:r w:rsidR="00A15A1B">
        <w:rPr>
          <w:rFonts w:eastAsiaTheme="minorEastAsia"/>
        </w:rPr>
        <w:t>.</w:t>
      </w:r>
    </w:p>
    <w:p w:rsidR="00A207AC" w:rsidRPr="00A207AC" w:rsidRDefault="00A207AC" w:rsidP="00A207AC">
      <w:r w:rsidRPr="00A207AC">
        <w:rPr>
          <w:b/>
        </w:rPr>
        <w:t>Individual-level transitions</w:t>
      </w:r>
    </w:p>
    <w:p w:rsidR="00007992" w:rsidRDefault="00A207AC" w:rsidP="00E52227">
      <w:r w:rsidRPr="00A207AC">
        <w:lastRenderedPageBreak/>
        <w:t xml:space="preserve">With all of this in hand, individuals can be specified by a state space of {disease state </w:t>
      </w:r>
      <w:r w:rsidRPr="00A207AC">
        <w:rPr>
          <w:i/>
        </w:rPr>
        <w:t>X</w:t>
      </w:r>
      <w:r w:rsidRPr="00A207AC">
        <w:t xml:space="preserve">, age </w:t>
      </w:r>
      <w:r w:rsidRPr="00A207AC">
        <w:rPr>
          <w:i/>
        </w:rPr>
        <w:t>a</w:t>
      </w:r>
      <w:r w:rsidRPr="00A207AC">
        <w:t xml:space="preserve">, time in disease state </w:t>
      </w:r>
      <w:proofErr w:type="spellStart"/>
      <w:r w:rsidRPr="00A207AC">
        <w:rPr>
          <w:i/>
        </w:rPr>
        <w:t>t</w:t>
      </w:r>
      <w:r w:rsidRPr="00A207AC">
        <w:rPr>
          <w:i/>
          <w:vertAlign w:val="subscript"/>
        </w:rPr>
        <w:t>X</w:t>
      </w:r>
      <w:proofErr w:type="spellEnd"/>
      <w:r w:rsidRPr="00A207AC">
        <w:rPr>
          <w:i/>
        </w:rPr>
        <w:t>,</w:t>
      </w:r>
      <w:r w:rsidRPr="00A207AC">
        <w:t xml:space="preserve"> home node </w:t>
      </w:r>
      <w:proofErr w:type="spellStart"/>
      <w:r w:rsidRPr="00A207AC">
        <w:rPr>
          <w:i/>
        </w:rPr>
        <w:t>i</w:t>
      </w:r>
      <w:proofErr w:type="spellEnd"/>
      <w:r w:rsidRPr="00A207AC">
        <w:t xml:space="preserve">, current node </w:t>
      </w:r>
      <w:r w:rsidRPr="00A207AC">
        <w:rPr>
          <w:i/>
        </w:rPr>
        <w:t>j</w:t>
      </w:r>
      <w:r w:rsidR="004E4643">
        <w:rPr>
          <w:i/>
        </w:rPr>
        <w:t>,</w:t>
      </w:r>
      <w:r w:rsidR="004E4643">
        <w:t xml:space="preserve"> acquisition-modulating immunity α, transmission-modulating immunity τ</w:t>
      </w:r>
      <w:r w:rsidRPr="00A207AC">
        <w:t xml:space="preserve">}. The absolute simulation time </w:t>
      </w:r>
      <w:r w:rsidRPr="00A207AC">
        <w:rPr>
          <w:i/>
        </w:rPr>
        <w:t>t</w:t>
      </w:r>
      <w:r w:rsidRPr="00A207AC">
        <w:t xml:space="preserve"> also plays a role due to immunization campaigns on specific dates and seasonal dynamics; this simulation state variable is shared by all individuals.  Disease state transitions, vital dynamic transitions, and migration transitions are treated independently from one another, simplifying the specification of the transition space.  The individual-level state transitions are presented below in the order in which they are processed in simulation.</w:t>
      </w:r>
      <w:r w:rsidR="004E4643">
        <w:t xml:space="preserve">  </w:t>
      </w:r>
    </w:p>
    <w:p w:rsidR="00A207AC" w:rsidRPr="00A207AC" w:rsidRDefault="004E4643" w:rsidP="00A207AC">
      <w:r>
        <w:t>For the sake of readability, elements of the full state</w:t>
      </w:r>
      <m:oMath>
        <m:r>
          <w:rPr>
            <w:rFonts w:ascii="Cambria Math" w:hAnsi="Cambria Math"/>
          </w:rPr>
          <m:t xml:space="preserve"> {X,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oMath>
      <w:r>
        <w:rPr>
          <w:rFonts w:eastAsiaTheme="minorEastAsia"/>
        </w:rPr>
        <w:t xml:space="preserve"> that do not chan</w:t>
      </w:r>
      <w:proofErr w:type="spellStart"/>
      <w:r w:rsidR="000C101C">
        <w:rPr>
          <w:rFonts w:eastAsiaTheme="minorEastAsia"/>
        </w:rPr>
        <w:t>g</w:t>
      </w:r>
      <w:r>
        <w:rPr>
          <w:rFonts w:eastAsiaTheme="minorEastAsia"/>
        </w:rPr>
        <w:t>e</w:t>
      </w:r>
      <w:proofErr w:type="spellEnd"/>
      <w:r>
        <w:rPr>
          <w:rFonts w:eastAsiaTheme="minorEastAsia"/>
        </w:rPr>
        <w:t xml:space="preserve"> in a given transition will be suppressed</w:t>
      </w:r>
      <w:r w:rsidR="00E52227">
        <w:rPr>
          <w:rFonts w:eastAsiaTheme="minorEastAsia"/>
        </w:rPr>
        <w:t xml:space="preserve">.  </w:t>
      </w:r>
      <w:r w:rsidR="00EE2918">
        <w:rPr>
          <w:i/>
        </w:rPr>
        <w:t xml:space="preserve">S, E, </w:t>
      </w:r>
      <w:r w:rsidR="00EE2918">
        <w:t xml:space="preserve">and </w:t>
      </w:r>
      <w:r w:rsidR="00EE2918">
        <w:rPr>
          <w:i/>
        </w:rPr>
        <w:t xml:space="preserve">I </w:t>
      </w:r>
      <w:r w:rsidR="00E52227" w:rsidRPr="00A207AC">
        <w:t xml:space="preserve">without subscripts </w:t>
      </w:r>
      <w:r w:rsidR="00E52227">
        <w:t xml:space="preserve">will </w:t>
      </w:r>
      <w:r w:rsidR="00E52227" w:rsidRPr="00A207AC">
        <w:t xml:space="preserve">indicate </w:t>
      </w:r>
      <w:r w:rsidR="00EE2918">
        <w:t>an individual’s disease state</w:t>
      </w:r>
      <w:r w:rsidR="00E52227" w:rsidRPr="00A207AC">
        <w:t xml:space="preserve">, and with subscripts </w:t>
      </w:r>
      <w:r w:rsidR="00E52227" w:rsidRPr="00A207AC">
        <w:rPr>
          <w:i/>
        </w:rPr>
        <w:t>j</w:t>
      </w:r>
      <w:r w:rsidR="00E52227" w:rsidRPr="00A207AC">
        <w:t xml:space="preserve"> </w:t>
      </w:r>
      <w:r w:rsidR="00E52227">
        <w:t xml:space="preserve">will </w:t>
      </w:r>
      <w:r w:rsidR="00E52227" w:rsidRPr="00A207AC">
        <w:t xml:space="preserve">indicate the total population in state </w:t>
      </w:r>
      <w:r w:rsidR="00E52227" w:rsidRPr="00A207AC">
        <w:rPr>
          <w:i/>
        </w:rPr>
        <w:t>X</w:t>
      </w:r>
      <w:r w:rsidR="00E52227" w:rsidRPr="00A207AC">
        <w:t xml:space="preserve"> in node </w:t>
      </w:r>
      <w:r w:rsidR="00E52227" w:rsidRPr="00A207AC">
        <w:rPr>
          <w:i/>
        </w:rPr>
        <w:t>j</w:t>
      </w:r>
      <w:r w:rsidR="00E52227" w:rsidRPr="00A207AC">
        <w:t xml:space="preserve">. </w:t>
      </w:r>
      <w:proofErr w:type="spellStart"/>
      <w:r w:rsidR="00E52227" w:rsidRPr="00A207AC">
        <w:rPr>
          <w:i/>
        </w:rPr>
        <w:t>N</w:t>
      </w:r>
      <w:r w:rsidR="00E52227" w:rsidRPr="00A207AC">
        <w:rPr>
          <w:i/>
        </w:rPr>
        <w:softHyphen/>
      </w:r>
      <w:r w:rsidR="00E52227" w:rsidRPr="00A207AC">
        <w:rPr>
          <w:i/>
          <w:vertAlign w:val="subscript"/>
        </w:rPr>
        <w:t>j</w:t>
      </w:r>
      <w:proofErr w:type="spellEnd"/>
      <w:r w:rsidR="00E52227" w:rsidRPr="00A207AC">
        <w:rPr>
          <w:i/>
        </w:rPr>
        <w:t xml:space="preserve"> </w:t>
      </w:r>
      <w:r w:rsidR="00E52227" w:rsidRPr="00A207AC">
        <w:t xml:space="preserve">indicates the total population of node </w:t>
      </w:r>
      <w:r w:rsidR="00E52227" w:rsidRPr="00A207AC">
        <w:rPr>
          <w:i/>
        </w:rPr>
        <w:t>j</w:t>
      </w:r>
      <w:r w:rsidR="00E52227" w:rsidRPr="00A207AC">
        <w:t xml:space="preserve">.  </w:t>
      </w:r>
    </w:p>
    <w:p w:rsidR="00A207AC" w:rsidRDefault="00A207AC" w:rsidP="00A207AC">
      <w:r w:rsidRPr="00A207AC">
        <w:t xml:space="preserve">The first transition in a given </w:t>
      </w:r>
      <w:proofErr w:type="spellStart"/>
      <w:r w:rsidRPr="00A207AC">
        <w:t>timestep</w:t>
      </w:r>
      <w:proofErr w:type="spellEnd"/>
      <w:r w:rsidRPr="00A207AC">
        <w:t xml:space="preserve"> is aging:</w:t>
      </w:r>
    </w:p>
    <w:p w:rsidR="00007992" w:rsidRPr="00007992" w:rsidRDefault="009C0BDF" w:rsidP="00A207AC">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a, </m:t>
                      </m:r>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m:t>
                  </m:r>
                  <m:d>
                    <m:dPr>
                      <m:begChr m:val="{"/>
                      <m:endChr m:val="}"/>
                      <m:ctrlPr>
                        <w:rPr>
                          <w:rFonts w:ascii="Cambria Math" w:hAnsi="Cambria Math"/>
                          <w:i/>
                        </w:rPr>
                      </m:ctrlPr>
                    </m:dPr>
                    <m:e>
                      <m:r>
                        <w:rPr>
                          <w:rFonts w:ascii="Cambria Math" w:hAnsi="Cambria Math"/>
                        </w:rPr>
                        <m:t>a+</m:t>
                      </m:r>
                      <m:r>
                        <m:rPr>
                          <m:sty m:val="p"/>
                        </m:rPr>
                        <w:rPr>
                          <w:rFonts w:ascii="Cambria Math" w:hAnsi="Cambria Math"/>
                        </w:rPr>
                        <m:t>Δ</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r>
                        <m:rPr>
                          <m:sty m:val="p"/>
                        </m:rPr>
                        <w:rPr>
                          <w:rFonts w:ascii="Cambria Math" w:hAnsi="Cambria Math"/>
                        </w:rPr>
                        <m:t>Δ</m:t>
                      </m:r>
                    </m:e>
                  </m:d>
                </m:e>
              </m:d>
              <m:r>
                <w:rPr>
                  <w:rFonts w:ascii="Cambria Math" w:hAnsi="Cambria Math"/>
                </w:rPr>
                <m:t>=1#</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rsidR="00A207AC" w:rsidRPr="00A207AC" w:rsidRDefault="00A207AC" w:rsidP="00A207AC">
      <w:r w:rsidRPr="00A207AC">
        <w:t>Next,</w:t>
      </w:r>
      <w:r w:rsidR="004E4643">
        <w:t xml:space="preserve"> OPV and IPV</w:t>
      </w:r>
      <w:r w:rsidRPr="00A207AC">
        <w:t xml:space="preserve"> immunization interventions are processed:</w:t>
      </w:r>
    </w:p>
    <w:tbl>
      <w:tblPr>
        <w:tblStyle w:val="TableGrid"/>
        <w:tblW w:w="9445" w:type="dxa"/>
        <w:tblLook w:val="04A0" w:firstRow="1" w:lastRow="0" w:firstColumn="1" w:lastColumn="0" w:noHBand="0" w:noVBand="1"/>
      </w:tblPr>
      <w:tblGrid>
        <w:gridCol w:w="2155"/>
        <w:gridCol w:w="7290"/>
      </w:tblGrid>
      <w:tr w:rsidR="00007992" w:rsidRPr="00A207AC" w:rsidTr="000C101C">
        <w:tc>
          <w:tcPr>
            <w:tcW w:w="2155" w:type="dxa"/>
          </w:tcPr>
          <w:p w:rsidR="00007992" w:rsidRPr="00A207AC" w:rsidRDefault="000C101C" w:rsidP="00305062">
            <w:pPr>
              <w:rPr>
                <w:rFonts w:ascii="Calibri" w:eastAsia="Calibri" w:hAnsi="Calibri" w:cs="Times New Roman"/>
              </w:rPr>
            </w:pPr>
            <w:r>
              <w:rPr>
                <w:rFonts w:ascii="Calibri" w:eastAsia="Calibri" w:hAnsi="Calibri" w:cs="Times New Roman"/>
              </w:rPr>
              <w:t>IPV immunization:</w:t>
            </w:r>
          </w:p>
        </w:tc>
        <w:tc>
          <w:tcPr>
            <w:tcW w:w="7290" w:type="dxa"/>
          </w:tcPr>
          <w:p w:rsidR="00007992" w:rsidRPr="000C101C" w:rsidRDefault="009C0BDF" w:rsidP="009C67B9">
            <w:pPr>
              <w:rPr>
                <w:rFonts w:ascii="Calibri" w:eastAsia="Calibri" w:hAnsi="Calibri" w:cs="Times New Roman"/>
              </w:rPr>
            </w:pPr>
            <m:oMathPara>
              <m:oMathParaPr>
                <m:jc m:val="left"/>
              </m:oMathParaPr>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α, τ</m:t>
                            </m:r>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α</m:t>
                                </m:r>
                                <m:ctrlPr>
                                  <w:rPr>
                                    <w:rFonts w:ascii="Cambria Math" w:hAnsi="Cambria Math"/>
                                    <w:i/>
                                  </w:rPr>
                                </m:ctrlPr>
                              </m:e>
                              <m:sup>
                                <m:r>
                                  <m:rPr>
                                    <m:sty m:val="p"/>
                                  </m:rP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xml:space="preserve"> </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e>
                    </m:d>
                    <m:r>
                      <w:rPr>
                        <w:rFonts w:ascii="Cambria Math" w:hAnsi="Cambria Math"/>
                      </w:rPr>
                      <m:t xml:space="preserve">                                        #(5)##</m:t>
                    </m:r>
                    <m:ctrlPr>
                      <w:rPr>
                        <w:rFonts w:ascii="Cambria Math" w:hAnsi="Cambria Math"/>
                        <w:i/>
                      </w:rPr>
                    </m:ctrlPr>
                  </m:e>
                </m:eqArr>
              </m:oMath>
            </m:oMathPara>
          </w:p>
        </w:tc>
      </w:tr>
      <w:tr w:rsidR="00007992" w:rsidRPr="00A207AC" w:rsidTr="000C101C">
        <w:tc>
          <w:tcPr>
            <w:tcW w:w="2155" w:type="dxa"/>
          </w:tcPr>
          <w:p w:rsidR="00007992" w:rsidRDefault="00007992" w:rsidP="00305062">
            <w:pPr>
              <w:rPr>
                <w:rFonts w:ascii="Calibri" w:eastAsia="Calibri" w:hAnsi="Calibri" w:cs="Times New Roman"/>
              </w:rPr>
            </w:pPr>
            <w:r>
              <w:rPr>
                <w:rFonts w:ascii="Calibri" w:eastAsia="Calibri" w:hAnsi="Calibri" w:cs="Times New Roman"/>
              </w:rPr>
              <w:t>OPV immunization</w:t>
            </w:r>
            <w:r w:rsidR="000C101C">
              <w:rPr>
                <w:rFonts w:ascii="Calibri" w:eastAsia="Calibri" w:hAnsi="Calibri" w:cs="Times New Roman"/>
              </w:rPr>
              <w:t>:</w:t>
            </w:r>
          </w:p>
        </w:tc>
        <w:tc>
          <w:tcPr>
            <w:tcW w:w="7290" w:type="dxa"/>
          </w:tcPr>
          <w:p w:rsidR="000C101C" w:rsidRPr="000C101C" w:rsidRDefault="009C0BDF"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E,0</m:t>
                            </m:r>
                          </m:e>
                        </m:d>
                      </m:e>
                    </m:d>
                    <m:r>
                      <w:rPr>
                        <w:rFonts w:ascii="Cambria Math" w:eastAsia="Calibri" w:hAnsi="Cambria Math" w:cs="Times New Roman"/>
                      </w:rPr>
                      <m:t>=τ</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kj</m:t>
                        </m:r>
                      </m:sub>
                    </m:sSub>
                    <m:r>
                      <w:rPr>
                        <w:rFonts w:ascii="Cambria Math" w:eastAsia="Calibri" w:hAnsi="Cambria Math" w:cs="Times New Roman"/>
                      </w:rPr>
                      <m:t>δ</m:t>
                    </m:r>
                    <m:d>
                      <m:dPr>
                        <m:ctrlPr>
                          <w:rPr>
                            <w:rFonts w:ascii="Cambria Math" w:eastAsia="Calibri" w:hAnsi="Cambria Math" w:cs="Times New Roman"/>
                            <w:i/>
                          </w:rPr>
                        </m:ctrlPr>
                      </m:dPr>
                      <m:e>
                        <m:r>
                          <w:rPr>
                            <w:rFonts w:ascii="Cambria Math" w:eastAsia="Calibri" w:hAnsi="Cambria Math" w:cs="Times New Roman"/>
                          </w:rPr>
                          <m:t>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k</m:t>
                            </m:r>
                          </m:sub>
                        </m:sSub>
                      </m:e>
                    </m:d>
                    <m:r>
                      <w:rPr>
                        <w:rFonts w:ascii="Cambria Math" w:eastAsia="Calibri" w:hAnsi="Cambria Math" w:cs="Times New Roman"/>
                      </w:rPr>
                      <m:t xml:space="preserve">                                         #</m:t>
                    </m:r>
                    <m:d>
                      <m:dPr>
                        <m:ctrlPr>
                          <w:rPr>
                            <w:rFonts w:ascii="Cambria Math" w:eastAsia="Calibri" w:hAnsi="Cambria Math" w:cs="Times New Roman"/>
                            <w:i/>
                          </w:rPr>
                        </m:ctrlPr>
                      </m:dPr>
                      <m:e>
                        <m:r>
                          <w:rPr>
                            <w:rFonts w:ascii="Cambria Math" w:eastAsia="Calibri" w:hAnsi="Cambria Math" w:cs="Times New Roman"/>
                          </w:rPr>
                          <m:t>6</m:t>
                        </m:r>
                      </m:e>
                    </m:d>
                  </m:e>
                </m:eqArr>
              </m:oMath>
            </m:oMathPara>
          </w:p>
        </w:tc>
      </w:tr>
    </w:tbl>
    <w:p w:rsidR="000C101C" w:rsidRPr="00A207AC" w:rsidRDefault="00A207AC" w:rsidP="00A207AC">
      <w:pPr>
        <w:rPr>
          <w:rFonts w:eastAsiaTheme="minorEastAsia"/>
        </w:rPr>
      </w:pPr>
      <w:r w:rsidRPr="00A207AC">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kj</m:t>
            </m:r>
          </m:sub>
        </m:sSub>
      </m:oMath>
      <w:r w:rsidRPr="00A207AC">
        <w:rPr>
          <w:rFonts w:eastAsiaTheme="minorEastAsia"/>
        </w:rPr>
        <w:t xml:space="preserve"> indicates the effective coverage of </w:t>
      </w:r>
      <w:r w:rsidR="004E4643">
        <w:rPr>
          <w:rFonts w:eastAsiaTheme="minorEastAsia"/>
        </w:rPr>
        <w:t xml:space="preserve">the </w:t>
      </w:r>
      <w:r w:rsidRPr="00A207AC">
        <w:rPr>
          <w:rFonts w:eastAsiaTheme="minorEastAsia"/>
        </w:rPr>
        <w:t xml:space="preserve">campaign </w:t>
      </w:r>
      <w:r w:rsidRPr="00A207AC">
        <w:rPr>
          <w:rFonts w:eastAsiaTheme="minorEastAsia"/>
          <w:i/>
        </w:rPr>
        <w:t xml:space="preserve">k </w:t>
      </w:r>
      <w:r w:rsidRPr="00A207AC">
        <w:rPr>
          <w:rFonts w:eastAsiaTheme="minorEastAsia"/>
        </w:rPr>
        <w:t xml:space="preserve">in node </w:t>
      </w:r>
      <w:r w:rsidRPr="00A207AC">
        <w:rPr>
          <w:rFonts w:eastAsiaTheme="minorEastAsia"/>
          <w:i/>
        </w:rPr>
        <w:t>j</w:t>
      </w:r>
      <w:r w:rsidR="004E4643">
        <w:rPr>
          <w:rFonts w:eastAsiaTheme="minorEastAsia"/>
          <w:i/>
        </w:rPr>
        <w:t xml:space="preserve"> </w:t>
      </w:r>
      <w:r w:rsidR="004E4643">
        <w:rPr>
          <w:rFonts w:eastAsiaTheme="minorEastAsia"/>
        </w:rPr>
        <w:t>(accounting for the effective take of OPV)</w:t>
      </w:r>
      <w:r w:rsidRPr="00A207AC">
        <w:rPr>
          <w:rFonts w:eastAsiaTheme="minorEastAsia"/>
        </w:rPr>
        <w:t xml:space="preserve">, </w:t>
      </w:r>
      <m:oMath>
        <m:r>
          <w:rPr>
            <w:rFonts w:ascii="Cambria Math" w:eastAsiaTheme="minorEastAsia" w:hAnsi="Cambria Math"/>
          </w:rPr>
          <m:t>δ</m:t>
        </m:r>
      </m:oMath>
      <w:r w:rsidRPr="00A207AC">
        <w:rPr>
          <w:rFonts w:eastAsiaTheme="minorEastAsia"/>
        </w:rPr>
        <w:t xml:space="preserve"> is the Kronecker delta function,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oMath>
      <w:r w:rsidRPr="00A207AC">
        <w:rPr>
          <w:rFonts w:eastAsiaTheme="minorEastAsia"/>
        </w:rPr>
        <w:t xml:space="preserve"> is the date of campaign </w:t>
      </w:r>
      <w:r w:rsidRPr="00A207AC">
        <w:rPr>
          <w:rFonts w:eastAsiaTheme="minorEastAsia"/>
          <w:i/>
        </w:rPr>
        <w:t>k</w:t>
      </w:r>
      <w:r w:rsidRPr="00A207AC">
        <w:rPr>
          <w:rFonts w:eastAsiaTheme="minorEastAsia"/>
        </w:rPr>
        <w:t xml:space="preserve">. </w:t>
      </w:r>
    </w:p>
    <w:p w:rsidR="00A207AC" w:rsidRDefault="00A207AC" w:rsidP="00A207AC">
      <w:pPr>
        <w:rPr>
          <w:rFonts w:eastAsiaTheme="minorEastAsia"/>
        </w:rPr>
      </w:pPr>
      <w:r w:rsidRPr="00A207AC">
        <w:rPr>
          <w:rFonts w:eastAsiaTheme="minorEastAsia"/>
        </w:rPr>
        <w:t xml:space="preserve">The infectious dynamics </w:t>
      </w:r>
      <w:r w:rsidR="00E52227">
        <w:rPr>
          <w:rFonts w:eastAsiaTheme="minorEastAsia"/>
        </w:rPr>
        <w:t>follow:</w:t>
      </w:r>
    </w:p>
    <w:p w:rsidR="00E52227" w:rsidRPr="00E52227" w:rsidRDefault="00E52227" w:rsidP="00A207AC">
      <w:pPr>
        <w:rPr>
          <w:rFonts w:eastAsiaTheme="minorEastAsia"/>
        </w:rPr>
      </w:pPr>
      <w:r>
        <w:rPr>
          <w:rFonts w:eastAsiaTheme="minorEastAsia"/>
        </w:rPr>
        <w:t xml:space="preserve">The total infectiousness in node </w:t>
      </w:r>
      <w:r>
        <w:rPr>
          <w:rFonts w:eastAsiaTheme="minorEastAsia"/>
          <w:i/>
        </w:rPr>
        <w:t xml:space="preserve">j </w:t>
      </w:r>
      <w:r>
        <w:rPr>
          <w:rFonts w:eastAsiaTheme="minorEastAsia"/>
        </w:rPr>
        <w:t xml:space="preserve">is given by the sum over infectious </w:t>
      </w:r>
      <w:proofErr w:type="gramStart"/>
      <w:r>
        <w:rPr>
          <w:rFonts w:eastAsiaTheme="minorEastAsia"/>
        </w:rPr>
        <w:t>individuals</w:t>
      </w:r>
      <w:proofErr w:type="gramEnd"/>
      <w:r>
        <w:rPr>
          <w:rFonts w:eastAsiaTheme="minorEastAsia"/>
        </w:rPr>
        <w:t xml:space="preserve"> </w:t>
      </w:r>
      <w:r>
        <w:rPr>
          <w:rFonts w:eastAsiaTheme="minorEastAsia"/>
          <w:i/>
        </w:rPr>
        <w:t>k</w:t>
      </w:r>
      <w:r>
        <w:rPr>
          <w:rFonts w:eastAsiaTheme="minorEastAsia"/>
        </w:rPr>
        <w:t xml:space="preserve"> in node </w:t>
      </w:r>
      <w:r>
        <w:rPr>
          <w:rFonts w:eastAsiaTheme="minorEastAsia"/>
          <w:i/>
        </w:rPr>
        <w:t>j:</w:t>
      </w:r>
    </w:p>
    <w:p w:rsidR="00E52227" w:rsidRPr="00E52227" w:rsidRDefault="009C0BDF" w:rsidP="00A207AC">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β</m:t>
                  </m:r>
                </m:e>
                <m:sub>
                  <m:r>
                    <w:rPr>
                      <w:rFonts w:ascii="Cambria Math" w:eastAsiaTheme="minorEastAsia" w:hAnsi="Cambria Math"/>
                    </w:rPr>
                    <m:t>tot, 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up>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k</m:t>
                      </m:r>
                    </m:sub>
                  </m:sSub>
                  <m:r>
                    <w:rPr>
                      <w:rFonts w:ascii="Cambria Math" w:eastAsiaTheme="minorEastAsia" w:hAnsi="Cambria Math"/>
                    </w:rPr>
                    <m:t>*β</m:t>
                  </m:r>
                </m:e>
              </m:nary>
              <m:r>
                <w:rPr>
                  <w:rFonts w:ascii="Cambria Math" w:eastAsiaTheme="minorEastAsia" w:hAnsi="Cambria Math"/>
                </w:rPr>
                <m:t>#</m:t>
              </m:r>
            </m:e>
          </m:eqArr>
          <m:d>
            <m:dPr>
              <m:ctrlPr>
                <w:rPr>
                  <w:rFonts w:ascii="Cambria Math" w:eastAsiaTheme="minorEastAsia" w:hAnsi="Cambria Math"/>
                  <w:i/>
                </w:rPr>
              </m:ctrlPr>
            </m:dPr>
            <m:e>
              <m:r>
                <w:rPr>
                  <w:rFonts w:ascii="Cambria Math" w:eastAsiaTheme="minorEastAsia" w:hAnsi="Cambria Math"/>
                </w:rPr>
                <m:t>7</m:t>
              </m:r>
            </m:e>
          </m:d>
        </m:oMath>
      </m:oMathPara>
    </w:p>
    <w:p w:rsidR="00E52227" w:rsidRPr="00E52227" w:rsidRDefault="00E52227" w:rsidP="00A207AC">
      <w:pPr>
        <w:rPr>
          <w:rFonts w:eastAsiaTheme="minorEastAsia"/>
        </w:rPr>
      </w:pPr>
    </w:p>
    <w:tbl>
      <w:tblPr>
        <w:tblStyle w:val="TableGrid"/>
        <w:tblW w:w="9805" w:type="dxa"/>
        <w:tblLook w:val="04A0" w:firstRow="1" w:lastRow="0" w:firstColumn="1" w:lastColumn="0" w:noHBand="0" w:noVBand="1"/>
      </w:tblPr>
      <w:tblGrid>
        <w:gridCol w:w="9805"/>
      </w:tblGrid>
      <w:tr w:rsidR="000C101C" w:rsidRPr="00A207AC" w:rsidTr="000C101C">
        <w:trPr>
          <w:trHeight w:val="530"/>
        </w:trPr>
        <w:tc>
          <w:tcPr>
            <w:tcW w:w="9805" w:type="dxa"/>
          </w:tcPr>
          <w:p w:rsidR="000C101C" w:rsidRPr="000C101C" w:rsidRDefault="009C0BDF"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 xml:space="preserve">S,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E, 0</m:t>
                            </m:r>
                          </m:e>
                        </m:d>
                      </m:e>
                    </m:d>
                    <m:r>
                      <w:rPr>
                        <w:rFonts w:ascii="Cambria Math" w:eastAsia="Calibri" w:hAnsi="Cambria Math" w:cs="Times New Roman"/>
                      </w:rPr>
                      <m:t>=1-ex</m:t>
                    </m:r>
                    <m:func>
                      <m:funcPr>
                        <m:ctrlPr>
                          <w:rPr>
                            <w:rFonts w:ascii="Cambria Math" w:eastAsia="Calibri" w:hAnsi="Cambria Math" w:cs="Times New Roman"/>
                            <w:i/>
                          </w:rPr>
                        </m:ctrlPr>
                      </m:funcPr>
                      <m:fName>
                        <m:r>
                          <w:rPr>
                            <w:rFonts w:ascii="Cambria Math" w:eastAsia="Calibri" w:hAnsi="Cambria Math" w:cs="Times New Roman"/>
                          </w:rPr>
                          <m:t>p</m:t>
                        </m:r>
                      </m:fName>
                      <m:e>
                        <m:d>
                          <m:dPr>
                            <m:ctrlPr>
                              <w:rPr>
                                <w:rFonts w:ascii="Cambria Math" w:eastAsia="Calibri" w:hAnsi="Cambria Math" w:cs="Times New Roman"/>
                                <w:i/>
                              </w:rPr>
                            </m:ctrlPr>
                          </m:dPr>
                          <m:e>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Δ</m:t>
                                </m:r>
                                <m:sSub>
                                  <m:sSubPr>
                                    <m:ctrlPr>
                                      <w:rPr>
                                        <w:rFonts w:ascii="Cambria Math" w:eastAsia="Calibri" w:hAnsi="Cambria Math" w:cs="Times New Roman"/>
                                        <w:i/>
                                      </w:rPr>
                                    </m:ctrlPr>
                                  </m:sSubPr>
                                  <m:e>
                                    <m:r>
                                      <w:rPr>
                                        <w:rFonts w:ascii="Cambria Math" w:eastAsia="Calibri" w:hAnsi="Cambria Math" w:cs="Times New Roman"/>
                                      </w:rPr>
                                      <m:t>β</m:t>
                                    </m:r>
                                  </m:e>
                                  <m:sub>
                                    <m:r>
                                      <w:rPr>
                                        <w:rFonts w:ascii="Cambria Math" w:eastAsia="Calibri" w:hAnsi="Cambria Math" w:cs="Times New Roman"/>
                                      </w:rPr>
                                      <m:t>tot, j</m:t>
                                    </m:r>
                                  </m:sub>
                                </m:sSub>
                                <m:r>
                                  <w:rPr>
                                    <w:rFonts w:ascii="Cambria Math" w:eastAsia="Calibri" w:hAnsi="Cambria Math" w:cs="Times New Roman"/>
                                  </w:rPr>
                                  <m:t>*α</m:t>
                                </m:r>
                              </m:num>
                              <m:den>
                                <m:sSub>
                                  <m:sSubPr>
                                    <m:ctrlPr>
                                      <w:rPr>
                                        <w:rFonts w:ascii="Cambria Math" w:eastAsia="Calibri" w:hAnsi="Cambria Math" w:cs="Times New Roman"/>
                                        <w:i/>
                                      </w:rPr>
                                    </m:ctrlPr>
                                  </m:sSubPr>
                                  <m:e>
                                    <m:r>
                                      <w:rPr>
                                        <w:rFonts w:ascii="Cambria Math" w:eastAsia="Calibri" w:hAnsi="Cambria Math" w:cs="Times New Roman"/>
                                      </w:rPr>
                                      <m:t>N</m:t>
                                    </m:r>
                                  </m:e>
                                  <m:sub>
                                    <m:r>
                                      <w:rPr>
                                        <w:rFonts w:ascii="Cambria Math" w:eastAsia="Calibri" w:hAnsi="Cambria Math" w:cs="Times New Roman"/>
                                      </w:rPr>
                                      <m:t>j</m:t>
                                    </m:r>
                                  </m:sub>
                                </m:sSub>
                                <m:d>
                                  <m:dPr>
                                    <m:ctrlPr>
                                      <w:rPr>
                                        <w:rFonts w:ascii="Cambria Math" w:eastAsia="Calibri" w:hAnsi="Cambria Math" w:cs="Times New Roman"/>
                                        <w:i/>
                                      </w:rPr>
                                    </m:ctrlPr>
                                  </m:dPr>
                                  <m:e>
                                    <m:r>
                                      <w:rPr>
                                        <w:rFonts w:ascii="Cambria Math" w:eastAsia="Calibri" w:hAnsi="Cambria Math" w:cs="Times New Roman"/>
                                      </w:rPr>
                                      <m:t>t</m:t>
                                    </m:r>
                                  </m:e>
                                </m:d>
                              </m:den>
                            </m:f>
                          </m:e>
                        </m:d>
                      </m:e>
                    </m:func>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8</m:t>
                        </m:r>
                      </m:e>
                    </m:d>
                  </m:e>
                </m:eqArr>
              </m:oMath>
            </m:oMathPara>
          </w:p>
        </w:tc>
      </w:tr>
      <w:tr w:rsidR="000C101C" w:rsidRPr="00A207AC" w:rsidTr="000C101C">
        <w:tc>
          <w:tcPr>
            <w:tcW w:w="9805" w:type="dxa"/>
          </w:tcPr>
          <w:p w:rsidR="000C101C" w:rsidRPr="000C101C" w:rsidRDefault="009C0BDF" w:rsidP="009C67B9">
            <w:pPr>
              <w:rPr>
                <w:rFonts w:ascii="Calibri" w:eastAsia="Calibri" w:hAnsi="Calibri" w:cs="Times New Roman"/>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tc>
      </w:tr>
      <w:tr w:rsidR="000C101C" w:rsidRPr="00A207AC" w:rsidTr="000C101C">
        <w:trPr>
          <w:trHeight w:val="467"/>
        </w:trPr>
        <w:tc>
          <w:tcPr>
            <w:tcW w:w="9805" w:type="dxa"/>
          </w:tcPr>
          <w:p w:rsidR="000C101C" w:rsidRPr="000C101C" w:rsidRDefault="009C0BDF" w:rsidP="009C67B9">
            <w:pPr>
              <w:rPr>
                <w:rFonts w:ascii="Calibri" w:eastAsia="Calibri" w:hAnsi="Calibri" w:cs="Times New Roman"/>
              </w:rPr>
            </w:pPr>
            <m:oMathPara>
              <m:oMath>
                <m:eqArr>
                  <m:eqArrPr>
                    <m:maxDist m:val="1"/>
                    <m:ctrlPr>
                      <w:rPr>
                        <w:rFonts w:ascii="Cambria Math" w:eastAsia="Calibri" w:hAnsi="Cambria Math" w:cs="Times New Roman"/>
                        <w:i/>
                      </w:rPr>
                    </m:ctrlPr>
                  </m:eqArrPr>
                  <m:e>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r>
                      <w:rPr>
                        <w:rFonts w:ascii="Cambria Math" w:hAnsi="Cambria Math"/>
                      </w:rPr>
                      <m:t>#</m:t>
                    </m:r>
                    <m:d>
                      <m:dPr>
                        <m:ctrlPr>
                          <w:rPr>
                            <w:rFonts w:ascii="Cambria Math" w:eastAsia="Calibri" w:hAnsi="Cambria Math" w:cs="Times New Roman"/>
                            <w:i/>
                          </w:rPr>
                        </m:ctrlPr>
                      </m:dPr>
                      <m:e>
                        <m:r>
                          <w:rPr>
                            <w:rFonts w:ascii="Cambria Math" w:eastAsia="Calibri" w:hAnsi="Cambria Math" w:cs="Times New Roman"/>
                          </w:rPr>
                          <m:t>10</m:t>
                        </m:r>
                      </m:e>
                    </m:d>
                    <m:ctrlPr>
                      <w:rPr>
                        <w:rFonts w:ascii="Cambria Math" w:hAnsi="Cambria Math"/>
                        <w:i/>
                      </w:rPr>
                    </m:ctrlPr>
                  </m:e>
                </m:eqArr>
              </m:oMath>
            </m:oMathPara>
          </w:p>
        </w:tc>
      </w:tr>
    </w:tbl>
    <w:p w:rsidR="00A207AC" w:rsidRPr="00A207AC" w:rsidRDefault="00A207AC" w:rsidP="00A207AC">
      <w:r w:rsidRPr="00A207AC">
        <w:t xml:space="preserve">Deaths are processed next: </w:t>
      </w:r>
    </w:p>
    <w:tbl>
      <w:tblPr>
        <w:tblStyle w:val="TableGrid"/>
        <w:tblW w:w="9805" w:type="dxa"/>
        <w:tblLook w:val="04A0" w:firstRow="1" w:lastRow="0" w:firstColumn="1" w:lastColumn="0" w:noHBand="0" w:noVBand="1"/>
      </w:tblPr>
      <w:tblGrid>
        <w:gridCol w:w="9805"/>
      </w:tblGrid>
      <w:tr w:rsidR="000C101C" w:rsidRPr="00A207AC" w:rsidTr="000C101C">
        <w:trPr>
          <w:trHeight w:val="458"/>
        </w:trPr>
        <w:tc>
          <w:tcPr>
            <w:tcW w:w="9805" w:type="dxa"/>
          </w:tcPr>
          <w:p w:rsidR="000C101C" w:rsidRPr="000C101C" w:rsidRDefault="009C0BDF"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a, </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i, j, α, τ</m:t>
                            </m:r>
                          </m:e>
                        </m:d>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m:t>
                    </m:r>
                    <m:r>
                      <m:rPr>
                        <m:sty m:val="p"/>
                      </m:rPr>
                      <w:rPr>
                        <w:rFonts w:ascii="Cambria Math" w:hAnsi="Cambria Math"/>
                      </w:rPr>
                      <m:t>Δ</m:t>
                    </m:r>
                    <m:r>
                      <w:rPr>
                        <w:rFonts w:ascii="Cambria Math" w:hAnsi="Cambria Math"/>
                      </w:rPr>
                      <m:t>ν</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tc>
      </w:tr>
    </w:tbl>
    <w:p w:rsidR="00A207AC" w:rsidRPr="00A207AC" w:rsidRDefault="00A207AC" w:rsidP="00A207AC">
      <w:r w:rsidRPr="00A207AC">
        <w:lastRenderedPageBreak/>
        <w:t xml:space="preserve">Followed by migration – again, outbound migration follows the rates in Eq. </w:t>
      </w:r>
      <w:r w:rsidR="00305BEA">
        <w:fldChar w:fldCharType="begin"/>
      </w:r>
      <w:r w:rsidR="00305BEA">
        <w:instrText xml:space="preserve"> REF _Ref456038182 \h </w:instrText>
      </w:r>
      <w:r w:rsidR="00305BEA">
        <w:fldChar w:fldCharType="separate"/>
      </w:r>
      <w:r w:rsidR="00305BEA" w:rsidRPr="00A207AC">
        <w:t xml:space="preserve">( </w:t>
      </w:r>
      <w:r w:rsidR="00305BEA" w:rsidRPr="00A207AC">
        <w:rPr>
          <w:noProof/>
        </w:rPr>
        <w:t>2</w:t>
      </w:r>
      <w:r w:rsidR="00305BEA" w:rsidRPr="00A207AC">
        <w:t xml:space="preserve"> )</w:t>
      </w:r>
      <w:r w:rsidR="00305BEA">
        <w:fldChar w:fldCharType="end"/>
      </w:r>
      <w:r w:rsidR="00305BEA">
        <w:t xml:space="preserve">, </w:t>
      </w:r>
      <w:r w:rsidR="00890691">
        <w:t>and</w:t>
      </w:r>
      <w:r w:rsidRPr="00A207AC">
        <w:t xml:space="preserve"> homebound migration always takes place the following </w:t>
      </w:r>
      <w:proofErr w:type="spellStart"/>
      <w:r w:rsidR="00305BEA">
        <w:t>timestep</w:t>
      </w:r>
      <w:proofErr w:type="spellEnd"/>
      <w:r w:rsidRPr="00A207AC">
        <w:t>:</w:t>
      </w:r>
    </w:p>
    <w:tbl>
      <w:tblPr>
        <w:tblStyle w:val="TableGrid"/>
        <w:tblW w:w="9805" w:type="dxa"/>
        <w:tblLook w:val="04A0" w:firstRow="1" w:lastRow="0" w:firstColumn="1" w:lastColumn="0" w:noHBand="0" w:noVBand="1"/>
      </w:tblPr>
      <w:tblGrid>
        <w:gridCol w:w="9805"/>
      </w:tblGrid>
      <w:tr w:rsidR="000C101C" w:rsidRPr="00A207AC" w:rsidTr="000C101C">
        <w:tc>
          <w:tcPr>
            <w:tcW w:w="9805" w:type="dxa"/>
          </w:tcPr>
          <w:p w:rsidR="000C101C" w:rsidRPr="000C101C" w:rsidRDefault="009C0BDF"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i, i</m:t>
                            </m:r>
                          </m:e>
                        </m:d>
                        <m:r>
                          <w:rPr>
                            <w:rFonts w:ascii="Cambria Math" w:hAnsi="Cambria Math"/>
                          </w:rPr>
                          <m:t>→</m:t>
                        </m:r>
                        <m:d>
                          <m:dPr>
                            <m:begChr m:val="{"/>
                            <m:endChr m:val="}"/>
                            <m:ctrlPr>
                              <w:rPr>
                                <w:rFonts w:ascii="Cambria Math" w:hAnsi="Cambria Math"/>
                                <w:i/>
                              </w:rPr>
                            </m:ctrlPr>
                          </m:dPr>
                          <m:e>
                            <m:r>
                              <w:rPr>
                                <w:rFonts w:ascii="Cambria Math" w:hAnsi="Cambria Math"/>
                              </w:rPr>
                              <m:t>i, j≠i</m:t>
                            </m:r>
                          </m:e>
                        </m:d>
                      </m:e>
                    </m:d>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M</m:t>
                        </m:r>
                      </m:e>
                      <m:sub>
                        <m:r>
                          <w:rPr>
                            <w:rFonts w:ascii="Cambria Math"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12</m:t>
                        </m:r>
                      </m:e>
                    </m:d>
                    <m:ctrlPr>
                      <w:rPr>
                        <w:rFonts w:ascii="Cambria Math" w:hAnsi="Cambria Math"/>
                        <w:i/>
                      </w:rPr>
                    </m:ctrlPr>
                  </m:e>
                </m:eqArr>
              </m:oMath>
            </m:oMathPara>
          </w:p>
        </w:tc>
      </w:tr>
      <w:tr w:rsidR="000C101C" w:rsidRPr="00A207AC" w:rsidTr="000C101C">
        <w:trPr>
          <w:trHeight w:val="485"/>
        </w:trPr>
        <w:tc>
          <w:tcPr>
            <w:tcW w:w="9805" w:type="dxa"/>
          </w:tcPr>
          <w:p w:rsidR="000C101C" w:rsidRPr="000C101C" w:rsidRDefault="009C0BDF" w:rsidP="009C67B9">
            <w:pPr>
              <w:rPr>
                <w:rFonts w:eastAsiaTheme="minorEastAsia"/>
              </w:rPr>
            </w:pPr>
            <m:oMathPara>
              <m:oMath>
                <m:eqArr>
                  <m:eqArrPr>
                    <m:maxDist m:val="1"/>
                    <m:ctrlPr>
                      <w:rPr>
                        <w:rFonts w:ascii="Cambria Math" w:eastAsia="Calibri" w:hAnsi="Cambria Math" w:cs="Times New Roman"/>
                        <w:i/>
                      </w:rPr>
                    </m:ctrlPr>
                  </m:eqArrPr>
                  <m:e>
                    <m:r>
                      <w:rPr>
                        <w:rFonts w:ascii="Cambria Math" w:eastAsia="Calibri" w:hAnsi="Cambria Math" w:cs="Times New Roman"/>
                      </w:rPr>
                      <m:t>p</m:t>
                    </m:r>
                    <m:d>
                      <m:dPr>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i, j≠i</m:t>
                            </m:r>
                          </m:e>
                        </m:d>
                        <m:r>
                          <w:rPr>
                            <w:rFonts w:ascii="Cambria Math" w:eastAsia="Calibri" w:hAnsi="Cambria Math" w:cs="Times New Roman"/>
                          </w:rPr>
                          <m:t>→</m:t>
                        </m:r>
                        <m:d>
                          <m:dPr>
                            <m:begChr m:val="{"/>
                            <m:endChr m:val="}"/>
                            <m:ctrlPr>
                              <w:rPr>
                                <w:rFonts w:ascii="Cambria Math" w:eastAsia="Calibri" w:hAnsi="Cambria Math" w:cs="Times New Roman"/>
                                <w:i/>
                              </w:rPr>
                            </m:ctrlPr>
                          </m:dPr>
                          <m:e>
                            <m:r>
                              <w:rPr>
                                <w:rFonts w:ascii="Cambria Math" w:eastAsia="Calibri" w:hAnsi="Cambria Math" w:cs="Times New Roman"/>
                              </w:rPr>
                              <m:t>i, i</m:t>
                            </m:r>
                          </m:e>
                        </m:d>
                      </m:e>
                    </m:d>
                    <m:r>
                      <w:rPr>
                        <w:rFonts w:ascii="Cambria Math" w:eastAsia="Calibri" w:hAnsi="Cambria Math" w:cs="Times New Roman"/>
                      </w:rPr>
                      <m:t>=1#</m:t>
                    </m:r>
                    <m:d>
                      <m:dPr>
                        <m:ctrlPr>
                          <w:rPr>
                            <w:rFonts w:ascii="Cambria Math" w:eastAsia="Calibri" w:hAnsi="Cambria Math" w:cs="Times New Roman"/>
                            <w:i/>
                          </w:rPr>
                        </m:ctrlPr>
                      </m:dPr>
                      <m:e>
                        <m:r>
                          <w:rPr>
                            <w:rFonts w:ascii="Cambria Math" w:eastAsia="Calibri" w:hAnsi="Cambria Math" w:cs="Times New Roman"/>
                          </w:rPr>
                          <m:t>13</m:t>
                        </m:r>
                      </m:e>
                    </m:d>
                  </m:e>
                </m:eqArr>
              </m:oMath>
            </m:oMathPara>
          </w:p>
        </w:tc>
      </w:tr>
    </w:tbl>
    <w:p w:rsidR="00A207AC" w:rsidRPr="00A207AC" w:rsidRDefault="00A207AC" w:rsidP="00A207AC">
      <w:r w:rsidRPr="00A207AC">
        <w:t>Finally, new births are processed:</w:t>
      </w:r>
    </w:p>
    <w:tbl>
      <w:tblPr>
        <w:tblStyle w:val="TableGrid"/>
        <w:tblW w:w="9805" w:type="dxa"/>
        <w:tblLook w:val="04A0" w:firstRow="1" w:lastRow="0" w:firstColumn="1" w:lastColumn="0" w:noHBand="0" w:noVBand="1"/>
      </w:tblPr>
      <w:tblGrid>
        <w:gridCol w:w="9805"/>
      </w:tblGrid>
      <w:tr w:rsidR="000C101C" w:rsidRPr="00A207AC" w:rsidTr="000C101C">
        <w:trPr>
          <w:trHeight w:val="467"/>
        </w:trPr>
        <w:tc>
          <w:tcPr>
            <w:tcW w:w="9805" w:type="dxa"/>
          </w:tcPr>
          <w:p w:rsidR="000C101C" w:rsidRPr="000C101C" w:rsidRDefault="009C0BDF" w:rsidP="009C67B9">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N</m:t>
                    </m:r>
                    <m:d>
                      <m:dPr>
                        <m:ctrlPr>
                          <w:rPr>
                            <w:rFonts w:ascii="Cambria Math" w:hAnsi="Cambria Math"/>
                            <w:i/>
                          </w:rPr>
                        </m:ctrlPr>
                      </m:dPr>
                      <m:e>
                        <m:d>
                          <m:dPr>
                            <m:begChr m:val="{"/>
                            <m:endChr m:val="}"/>
                            <m:ctrlPr>
                              <w:rPr>
                                <w:rFonts w:ascii="Cambria Math" w:hAnsi="Cambria Math"/>
                                <w:i/>
                              </w:rPr>
                            </m:ctrlPr>
                          </m:dPr>
                          <m:e>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S, 0, 0, i, i, 0, 0</m:t>
                            </m:r>
                          </m:e>
                        </m:d>
                      </m:e>
                    </m:d>
                    <m:r>
                      <w:rPr>
                        <w:rFonts w:ascii="Cambria Math" w:hAnsi="Cambria Math"/>
                      </w:rPr>
                      <m:t>=Poiss</m:t>
                    </m:r>
                    <m:d>
                      <m:dPr>
                        <m:ctrlPr>
                          <w:rPr>
                            <w:rFonts w:ascii="Cambria Math" w:hAnsi="Cambria Math"/>
                            <w:i/>
                          </w:rPr>
                        </m:ctrlPr>
                      </m:dPr>
                      <m:e>
                        <m:r>
                          <m:rPr>
                            <m:sty m:val="p"/>
                          </m:rPr>
                          <w:rPr>
                            <w:rFonts w:ascii="Cambria Math" w:hAnsi="Cambria Math"/>
                          </w:rPr>
                          <m:t>Δ</m:t>
                        </m:r>
                        <m:r>
                          <w:rPr>
                            <w:rFonts w:ascii="Cambria Math" w:hAnsi="Cambria Math"/>
                          </w:rPr>
                          <m:t>μ</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ctrlPr>
                          <w:rPr>
                            <w:rFonts w:ascii="Cambria Math" w:eastAsiaTheme="minorEastAsia" w:hAnsi="Cambria Math"/>
                            <w:i/>
                          </w:rPr>
                        </m:ctrlP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tc>
      </w:tr>
    </w:tbl>
    <w:p w:rsidR="00A207AC" w:rsidRDefault="00A207AC" w:rsidP="00A207AC">
      <w:r w:rsidRPr="00A207AC">
        <w:t xml:space="preserve">Equations </w:t>
      </w:r>
      <w:r w:rsidRPr="00A207AC">
        <w:fldChar w:fldCharType="begin"/>
      </w:r>
      <w:r w:rsidRPr="00A207AC">
        <w:instrText xml:space="preserve"> REF _Ref449621993 \h  \* MERGEFORMAT </w:instrText>
      </w:r>
      <w:r w:rsidRPr="00A207AC">
        <w:fldChar w:fldCharType="separate"/>
      </w:r>
      <w:r w:rsidRPr="00A207AC">
        <w:t xml:space="preserve">( </w:t>
      </w:r>
      <w:r w:rsidR="009C67B9">
        <w:rPr>
          <w:noProof/>
        </w:rPr>
        <w:t>1-</w:t>
      </w:r>
      <w:proofErr w:type="gramStart"/>
      <w:r w:rsidR="009C67B9">
        <w:rPr>
          <w:noProof/>
        </w:rPr>
        <w:t>14</w:t>
      </w:r>
      <w:r w:rsidRPr="00A207AC">
        <w:t xml:space="preserve"> )</w:t>
      </w:r>
      <w:proofErr w:type="gramEnd"/>
      <w:r w:rsidRPr="00A207AC">
        <w:fldChar w:fldCharType="end"/>
      </w:r>
      <w:r w:rsidRPr="00A207AC">
        <w:t xml:space="preserve"> combine to specify the agent-based model as implemented. This specification can also be converted into a set of stochastic difference equations; the resulting equations are rather unwieldy and somewhat difficult to read, limiting how informative they are to the reader. </w:t>
      </w:r>
      <w:r w:rsidR="002D5939">
        <w:t xml:space="preserve"> The relevant model parameters are summarized in </w:t>
      </w:r>
      <w:r w:rsidR="00226F59">
        <w:rPr>
          <w:highlight w:val="yellow"/>
        </w:rPr>
        <w:fldChar w:fldCharType="begin"/>
      </w:r>
      <w:r w:rsidR="00226F59">
        <w:instrText xml:space="preserve"> REF _Ref458507313 \h </w:instrText>
      </w:r>
      <w:r w:rsidR="00226F59">
        <w:rPr>
          <w:highlight w:val="yellow"/>
        </w:rPr>
      </w:r>
      <w:r w:rsidR="00226F59">
        <w:rPr>
          <w:highlight w:val="yellow"/>
        </w:rPr>
        <w:fldChar w:fldCharType="separate"/>
      </w:r>
      <w:r w:rsidR="00226F59">
        <w:t xml:space="preserve">Table </w:t>
      </w:r>
      <w:r w:rsidR="00226F59">
        <w:rPr>
          <w:noProof/>
        </w:rPr>
        <w:t>1</w:t>
      </w:r>
      <w:r w:rsidR="00226F59">
        <w:rPr>
          <w:highlight w:val="yellow"/>
        </w:rPr>
        <w:fldChar w:fldCharType="end"/>
      </w:r>
      <w:r w:rsidR="00226F59">
        <w:t>.</w:t>
      </w:r>
    </w:p>
    <w:p w:rsidR="002D5939" w:rsidRDefault="002D5939" w:rsidP="00A207AC"/>
    <w:tbl>
      <w:tblPr>
        <w:tblStyle w:val="TableGrid"/>
        <w:tblW w:w="10620" w:type="dxa"/>
        <w:tblInd w:w="-545" w:type="dxa"/>
        <w:tblLayout w:type="fixed"/>
        <w:tblLook w:val="04A0" w:firstRow="1" w:lastRow="0" w:firstColumn="1" w:lastColumn="0" w:noHBand="0" w:noVBand="1"/>
      </w:tblPr>
      <w:tblGrid>
        <w:gridCol w:w="3330"/>
        <w:gridCol w:w="1530"/>
        <w:gridCol w:w="4320"/>
        <w:gridCol w:w="1440"/>
      </w:tblGrid>
      <w:tr w:rsidR="00A15A1B" w:rsidTr="00A15A1B">
        <w:tc>
          <w:tcPr>
            <w:tcW w:w="3330" w:type="dxa"/>
          </w:tcPr>
          <w:p w:rsidR="00A15A1B" w:rsidRPr="002D5939" w:rsidRDefault="00A15A1B" w:rsidP="00A207AC">
            <w:r>
              <w:t>Parameter description (symbol)</w:t>
            </w:r>
          </w:p>
        </w:tc>
        <w:tc>
          <w:tcPr>
            <w:tcW w:w="1530" w:type="dxa"/>
          </w:tcPr>
          <w:p w:rsidR="00A15A1B" w:rsidRPr="002D5939" w:rsidRDefault="00A15A1B" w:rsidP="00A207AC">
            <w:r>
              <w:t>Value(s)</w:t>
            </w:r>
          </w:p>
        </w:tc>
        <w:tc>
          <w:tcPr>
            <w:tcW w:w="4320" w:type="dxa"/>
          </w:tcPr>
          <w:p w:rsidR="00A15A1B" w:rsidRPr="002D5939" w:rsidRDefault="00A15A1B" w:rsidP="00A207AC">
            <w:r>
              <w:t>Relevant effect or equation</w:t>
            </w:r>
          </w:p>
        </w:tc>
        <w:tc>
          <w:tcPr>
            <w:tcW w:w="1440" w:type="dxa"/>
          </w:tcPr>
          <w:p w:rsidR="00A15A1B" w:rsidRDefault="00A15A1B" w:rsidP="00A207AC">
            <w:r>
              <w:t>Comparison references</w:t>
            </w:r>
          </w:p>
        </w:tc>
      </w:tr>
      <w:tr w:rsidR="00A15A1B" w:rsidTr="00A15A1B">
        <w:tc>
          <w:tcPr>
            <w:tcW w:w="3330" w:type="dxa"/>
          </w:tcPr>
          <w:p w:rsidR="00A15A1B" w:rsidRPr="002D5939" w:rsidRDefault="00A15A1B" w:rsidP="00305062">
            <w:r>
              <w:t>OPV transmission modifier (</w:t>
            </w:r>
            <m:oMath>
              <m:sSub>
                <m:sSubPr>
                  <m:ctrlPr>
                    <w:rPr>
                      <w:rFonts w:ascii="Cambria Math" w:hAnsi="Cambria Math"/>
                      <w:i/>
                    </w:rPr>
                  </m:ctrlPr>
                </m:sSubPr>
                <m:e>
                  <m:r>
                    <w:rPr>
                      <w:rFonts w:ascii="Cambria Math" w:hAnsi="Cambria Math"/>
                    </w:rPr>
                    <m:t>τ</m:t>
                  </m:r>
                </m:e>
                <m:sub>
                  <m:r>
                    <w:rPr>
                      <w:rFonts w:ascii="Cambria Math" w:hAnsi="Cambria Math"/>
                    </w:rPr>
                    <m:t>OPV</m:t>
                  </m:r>
                </m:sub>
              </m:sSub>
            </m:oMath>
            <w:r>
              <w:t>)</w:t>
            </w:r>
          </w:p>
        </w:tc>
        <w:tc>
          <w:tcPr>
            <w:tcW w:w="1530" w:type="dxa"/>
          </w:tcPr>
          <w:p w:rsidR="00A15A1B" w:rsidRPr="002D5939" w:rsidRDefault="00A15A1B" w:rsidP="00A207AC">
            <w:r>
              <w:t>0.9</w:t>
            </w:r>
          </w:p>
        </w:tc>
        <w:tc>
          <w:tcPr>
            <w:tcW w:w="4320" w:type="dxa"/>
          </w:tcPr>
          <w:p w:rsidR="00A15A1B" w:rsidRPr="002D5939" w:rsidRDefault="00A15A1B" w:rsidP="002D5939">
            <w:pPr>
              <w:rPr>
                <w:rFonts w:eastAsiaTheme="minorEastAsia"/>
              </w:rPr>
            </w:pPr>
            <w:r>
              <w:rPr>
                <w:rFonts w:ascii="Calibri" w:eastAsia="Calibri" w:hAnsi="Calibri" w:cs="Times New Roman"/>
              </w:rPr>
              <w:t xml:space="preserve">Upon clearance of OPV infection or IPV immunization in OPV-exposed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OPV</m:t>
                  </m:r>
                </m:sub>
              </m:sSub>
              <m:r>
                <w:rPr>
                  <w:rFonts w:ascii="Cambria Math" w:hAnsi="Cambria Math"/>
                </w:rPr>
                <m:t>)</m:t>
              </m:r>
            </m:oMath>
          </w:p>
        </w:tc>
        <w:tc>
          <w:tcPr>
            <w:tcW w:w="1440" w:type="dxa"/>
          </w:tcPr>
          <w:p w:rsidR="00A15A1B" w:rsidRDefault="00A15A1B"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A15A1B" w:rsidTr="00A15A1B">
        <w:tc>
          <w:tcPr>
            <w:tcW w:w="3330" w:type="dxa"/>
          </w:tcPr>
          <w:p w:rsidR="00A15A1B" w:rsidRPr="002D5939" w:rsidRDefault="00A15A1B" w:rsidP="002D5939">
            <w:r>
              <w:t>OPV acquisition modifier (</w:t>
            </w:r>
            <m:oMath>
              <m:sSub>
                <m:sSubPr>
                  <m:ctrlPr>
                    <w:rPr>
                      <w:rFonts w:ascii="Cambria Math" w:hAnsi="Cambria Math"/>
                      <w:i/>
                    </w:rPr>
                  </m:ctrlPr>
                </m:sSubPr>
                <m:e>
                  <m:r>
                    <w:rPr>
                      <w:rFonts w:ascii="Cambria Math" w:hAnsi="Cambria Math"/>
                    </w:rPr>
                    <m:t>α</m:t>
                  </m:r>
                </m:e>
                <m:sub>
                  <m:r>
                    <w:rPr>
                      <w:rFonts w:ascii="Cambria Math" w:hAnsi="Cambria Math"/>
                    </w:rPr>
                    <m:t>OPV</m:t>
                  </m:r>
                </m:sub>
              </m:sSub>
            </m:oMath>
            <w:r>
              <w:t>)</w:t>
            </w:r>
          </w:p>
        </w:tc>
        <w:tc>
          <w:tcPr>
            <w:tcW w:w="1530" w:type="dxa"/>
          </w:tcPr>
          <w:p w:rsidR="00A15A1B" w:rsidRPr="002D5939" w:rsidRDefault="00A15A1B" w:rsidP="00A207AC">
            <w:r>
              <w:t>0.6</w:t>
            </w:r>
          </w:p>
        </w:tc>
        <w:tc>
          <w:tcPr>
            <w:tcW w:w="4320" w:type="dxa"/>
          </w:tcPr>
          <w:p w:rsidR="00A15A1B" w:rsidRPr="002D5939" w:rsidRDefault="00A15A1B" w:rsidP="002D5939">
            <w:r>
              <w:rPr>
                <w:rFonts w:ascii="Calibri" w:eastAsia="Calibri" w:hAnsi="Calibri" w:cs="Times New Roman"/>
              </w:rPr>
              <w:t xml:space="preserve">Upon clearance of OPV infection or IPV immunization in OPV-exposed individuals: </w:t>
            </w:r>
            <m:oMath>
              <m:r>
                <w:rPr>
                  <w:rFonts w:ascii="Cambria Math" w:eastAsia="Calibri" w:hAnsi="Cambria Math" w:cs="Times New Roman"/>
                </w:rPr>
                <m:t xml:space="preserve">   </m:t>
              </m:r>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OPV</m:t>
                  </m:r>
                </m:sub>
              </m:sSub>
              <m:r>
                <w:rPr>
                  <w:rFonts w:ascii="Cambria Math" w:hAnsi="Cambria Math"/>
                </w:rPr>
                <m:t>)</m:t>
              </m:r>
            </m:oMath>
          </w:p>
        </w:tc>
        <w:tc>
          <w:tcPr>
            <w:tcW w:w="1440" w:type="dxa"/>
          </w:tcPr>
          <w:p w:rsidR="00A15A1B" w:rsidRDefault="00A15A1B"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A15A1B" w:rsidRPr="002D5939" w:rsidTr="00A15A1B">
        <w:tc>
          <w:tcPr>
            <w:tcW w:w="3330" w:type="dxa"/>
          </w:tcPr>
          <w:p w:rsidR="00A15A1B" w:rsidRPr="002D5939" w:rsidRDefault="00A15A1B" w:rsidP="002D5939">
            <w:r>
              <w:t>IPV transmission modifier (</w:t>
            </w:r>
            <m:oMath>
              <m:sSub>
                <m:sSubPr>
                  <m:ctrlPr>
                    <w:rPr>
                      <w:rFonts w:ascii="Cambria Math" w:hAnsi="Cambria Math"/>
                      <w:i/>
                    </w:rPr>
                  </m:ctrlPr>
                </m:sSubPr>
                <m:e>
                  <m:r>
                    <w:rPr>
                      <w:rFonts w:ascii="Cambria Math" w:hAnsi="Cambria Math"/>
                    </w:rPr>
                    <m:t>τ</m:t>
                  </m:r>
                </m:e>
                <m:sub>
                  <m:r>
                    <w:rPr>
                      <w:rFonts w:ascii="Cambria Math" w:hAnsi="Cambria Math"/>
                    </w:rPr>
                    <m:t>IPV</m:t>
                  </m:r>
                </m:sub>
              </m:sSub>
            </m:oMath>
            <w:r>
              <w:t>)</w:t>
            </w:r>
          </w:p>
        </w:tc>
        <w:tc>
          <w:tcPr>
            <w:tcW w:w="1530" w:type="dxa"/>
          </w:tcPr>
          <w:p w:rsidR="00A15A1B" w:rsidRPr="002D5939" w:rsidRDefault="00A15A1B" w:rsidP="00A207AC">
            <w:r>
              <w:t>0.1</w:t>
            </w:r>
          </w:p>
        </w:tc>
        <w:tc>
          <w:tcPr>
            <w:tcW w:w="4320" w:type="dxa"/>
          </w:tcPr>
          <w:p w:rsidR="00A15A1B" w:rsidRPr="00305062" w:rsidRDefault="00A15A1B" w:rsidP="002D5939">
            <w:pPr>
              <w:rPr>
                <w:rFonts w:eastAsiaTheme="minorEastAsia"/>
              </w:rPr>
            </w:pPr>
            <w:r>
              <w:rPr>
                <w:rFonts w:eastAsiaTheme="minorEastAsia"/>
              </w:rPr>
              <w:t xml:space="preserve">Upon IPV immunization in OPV-naïve individuals:                  </w:t>
            </w:r>
            <m:oMath>
              <m:r>
                <w:rPr>
                  <w:rFonts w:ascii="Cambria Math" w:hAnsi="Cambria Math"/>
                </w:rPr>
                <m:t>τ→τ*(1-</m:t>
              </m:r>
              <m:sSub>
                <m:sSubPr>
                  <m:ctrlPr>
                    <w:rPr>
                      <w:rFonts w:ascii="Cambria Math" w:hAnsi="Cambria Math"/>
                      <w:i/>
                    </w:rPr>
                  </m:ctrlPr>
                </m:sSubPr>
                <m:e>
                  <m:r>
                    <w:rPr>
                      <w:rFonts w:ascii="Cambria Math" w:hAnsi="Cambria Math"/>
                    </w:rPr>
                    <m:t>τ</m:t>
                  </m:r>
                </m:e>
                <m:sub>
                  <m:r>
                    <w:rPr>
                      <w:rFonts w:ascii="Cambria Math" w:hAnsi="Cambria Math"/>
                    </w:rPr>
                    <m:t>IPV</m:t>
                  </m:r>
                </m:sub>
              </m:sSub>
              <m:r>
                <w:rPr>
                  <w:rFonts w:ascii="Cambria Math" w:hAnsi="Cambria Math"/>
                </w:rPr>
                <m:t>)</m:t>
              </m:r>
            </m:oMath>
          </w:p>
        </w:tc>
        <w:tc>
          <w:tcPr>
            <w:tcW w:w="1440" w:type="dxa"/>
          </w:tcPr>
          <w:p w:rsidR="00A15A1B" w:rsidRDefault="00A15A1B" w:rsidP="000A5003">
            <w:pPr>
              <w:rPr>
                <w:rFonts w:eastAsiaTheme="minorEastAsia"/>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A15A1B" w:rsidRPr="002D5939" w:rsidTr="00A15A1B">
        <w:tc>
          <w:tcPr>
            <w:tcW w:w="3330" w:type="dxa"/>
          </w:tcPr>
          <w:p w:rsidR="00A15A1B" w:rsidRPr="002D5939" w:rsidRDefault="00A15A1B" w:rsidP="002D5939">
            <w:r>
              <w:t>IPV acquisition modifier (</w:t>
            </w:r>
            <m:oMath>
              <m:sSub>
                <m:sSubPr>
                  <m:ctrlPr>
                    <w:rPr>
                      <w:rFonts w:ascii="Cambria Math" w:hAnsi="Cambria Math"/>
                      <w:i/>
                    </w:rPr>
                  </m:ctrlPr>
                </m:sSubPr>
                <m:e>
                  <m:r>
                    <w:rPr>
                      <w:rFonts w:ascii="Cambria Math" w:hAnsi="Cambria Math"/>
                    </w:rPr>
                    <m:t>α</m:t>
                  </m:r>
                </m:e>
                <m:sub>
                  <m:r>
                    <w:rPr>
                      <w:rFonts w:ascii="Cambria Math" w:hAnsi="Cambria Math"/>
                    </w:rPr>
                    <m:t>IPV</m:t>
                  </m:r>
                </m:sub>
              </m:sSub>
            </m:oMath>
            <w:r>
              <w:t>)</w:t>
            </w:r>
          </w:p>
        </w:tc>
        <w:tc>
          <w:tcPr>
            <w:tcW w:w="1530" w:type="dxa"/>
          </w:tcPr>
          <w:p w:rsidR="00A15A1B" w:rsidRPr="002D5939" w:rsidRDefault="00A15A1B" w:rsidP="00A207AC">
            <w:r>
              <w:t>0.1</w:t>
            </w:r>
          </w:p>
        </w:tc>
        <w:tc>
          <w:tcPr>
            <w:tcW w:w="4320" w:type="dxa"/>
          </w:tcPr>
          <w:p w:rsidR="00A15A1B" w:rsidRPr="002D5939" w:rsidRDefault="00A15A1B" w:rsidP="002D5939">
            <w:r>
              <w:rPr>
                <w:rFonts w:eastAsiaTheme="minorEastAsia"/>
              </w:rPr>
              <w:t xml:space="preserve">Upon IPV immunization in OPV-naïve individuals:                  </w:t>
            </w:r>
            <m:oMath>
              <m:r>
                <w:rPr>
                  <w:rFonts w:ascii="Cambria Math" w:hAnsi="Cambria Math"/>
                </w:rPr>
                <m:t>α→ α*(1-</m:t>
              </m:r>
              <m:sSub>
                <m:sSubPr>
                  <m:ctrlPr>
                    <w:rPr>
                      <w:rFonts w:ascii="Cambria Math" w:hAnsi="Cambria Math"/>
                      <w:i/>
                    </w:rPr>
                  </m:ctrlPr>
                </m:sSubPr>
                <m:e>
                  <m:r>
                    <w:rPr>
                      <w:rFonts w:ascii="Cambria Math" w:hAnsi="Cambria Math"/>
                    </w:rPr>
                    <m:t>α</m:t>
                  </m:r>
                </m:e>
                <m:sub>
                  <m:r>
                    <w:rPr>
                      <w:rFonts w:ascii="Cambria Math" w:hAnsi="Cambria Math"/>
                    </w:rPr>
                    <m:t>IPV</m:t>
                  </m:r>
                </m:sub>
              </m:sSub>
              <m:r>
                <w:rPr>
                  <w:rFonts w:ascii="Cambria Math" w:hAnsi="Cambria Math"/>
                </w:rPr>
                <m:t>)</m:t>
              </m:r>
            </m:oMath>
          </w:p>
        </w:tc>
        <w:tc>
          <w:tcPr>
            <w:tcW w:w="1440" w:type="dxa"/>
          </w:tcPr>
          <w:p w:rsidR="00A15A1B" w:rsidRDefault="00A15A1B" w:rsidP="000A5003">
            <w:pPr>
              <w:rPr>
                <w:rFonts w:eastAsiaTheme="minorEastAsia"/>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"id" : "ITEM-3", "itemData" : { "DOI" : "10.1371/journal.ppat.1002599", "ISSN" : "1553-7374", "PMID" : "22532797", "abstract" : "Inactivated poliovirus vaccine (IPV) may be used in mass vaccination campaigns during the final stages of polio eradication. It is also likely to be adopted by many countries following the coordinated global cessation of vaccination with oral poliovirus vaccine (OPV) after eradication. The success of IPV in the control of poliomyelitis outbreaks will depend on the degree of nasopharyngeal and intestinal mucosal immunity induced against poliovirus infection. We performed a systematic review of studies published through May 2011 that recorded the prevalence of poliovirus shedding in stool samples or nasopharyngeal secretions collected 5-30 days after a \"challenge\" dose of OPV. Studies were combined in a meta-analysis of the odds of shedding among children vaccinated according to IPV, OPV, and combination schedules. We identified 31 studies of shedding in stool and four in nasopharyngeal samples that met the inclusion criteria. Individuals vaccinated with OPV were protected against infection and shedding of poliovirus in stool samples collected after challenge compared with unvaccinated individuals (summary odds ratio [OR] for shedding 0.13 (95% confidence interval [CI] 0.08-0.24)). In contrast, IPV provided no protection against shedding compared with unvaccinated individuals (summary OR 0.81 [95% CI 0.59-1.11]) or when given in addition to OPV, compared with individuals given OPV alone (summary OR 1.14 [95% CI 0.82-1.58]). There were insufficient studies of nasopharyngeal shedding to draw a conclusion. IPV does not induce sufficient intestinal mucosal immunity to reduce the prevalence of fecal poliovirus shedding after challenge, although there was some evidence that it can reduce the quantity of virus shed. The impact of IPV on poliovirus transmission in countries where fecal-oral spread is common is unknown but is likely to be limited compared with OPV.", "author" : [ { "dropping-particle" : "", "family" : "Hird", "given" : "Thomas R", "non-dropping-particle" : "", "parse-names" : false, "suffix" : "" }, { "dropping-particle" : "", "family" : "Grassly", "given" : "Nicholas C", "non-dropping-particle" : "", "parse-names" : false, "suffix" : "" } ], "container-title" : "PLoS pathogens", "id" : "ITEM-3", "issue" : "4", "issued" : { "date-parts" : [ [ "2012", "1", "19" ] ] }, "page" : "e1002599", "publisher" : "Public Library of Science", "title" : "Systematic review of mucosal immunity induced by oral and inactivated poliovirus vaccines against virus shedding following oral poliovirus challenge.", "type" : "article-journal", "volume" : "8" }, "uris" : [ "http://www.mendeley.com/documents/?uuid=2658667b-77f5-4606-aab5-47804fd075a2" ] } ], "mendeley" : { "formattedCitation" : "&lt;sup&gt;5\u20137&lt;/sup&gt;", "plainTextFormattedCitation" : "5\u20137", "previouslyFormattedCitation" : "&lt;sup&gt;3\u20135&lt;/sup&gt;"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5–7</w:t>
            </w:r>
            <w:r>
              <w:rPr>
                <w:rFonts w:ascii="Calibri" w:eastAsia="Calibri" w:hAnsi="Calibri" w:cs="Times New Roman"/>
              </w:rPr>
              <w:fldChar w:fldCharType="end"/>
            </w:r>
          </w:p>
        </w:tc>
      </w:tr>
      <w:tr w:rsidR="00A15A1B" w:rsidRPr="002D5939" w:rsidTr="00A15A1B">
        <w:tc>
          <w:tcPr>
            <w:tcW w:w="3330" w:type="dxa"/>
          </w:tcPr>
          <w:p w:rsidR="00A15A1B" w:rsidRPr="00305062" w:rsidRDefault="00A15A1B" w:rsidP="00A207AC">
            <w:r>
              <w:t>Age-dependent susceptibility intercept (</w:t>
            </w:r>
            <w:r>
              <w:rPr>
                <w:i/>
              </w:rPr>
              <w:t>f</w:t>
            </w:r>
            <w:r>
              <w:rPr>
                <w:i/>
                <w:vertAlign w:val="subscript"/>
              </w:rPr>
              <w:t>0</w:t>
            </w:r>
            <w:r>
              <w:t>)</w:t>
            </w:r>
          </w:p>
        </w:tc>
        <w:tc>
          <w:tcPr>
            <w:tcW w:w="1530" w:type="dxa"/>
          </w:tcPr>
          <w:p w:rsidR="00A15A1B" w:rsidRPr="002D5939" w:rsidRDefault="00A15A1B" w:rsidP="00A207AC">
            <w:r>
              <w:t>0.0</w:t>
            </w:r>
          </w:p>
        </w:tc>
        <w:tc>
          <w:tcPr>
            <w:tcW w:w="4320" w:type="dxa"/>
          </w:tcPr>
          <w:p w:rsidR="00A15A1B" w:rsidRPr="002D5939" w:rsidRDefault="00A15A1B" w:rsidP="00A207AC">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Pr="00305062" w:rsidRDefault="00A15A1B" w:rsidP="00A207AC">
            <w:r>
              <w:t>Age-dependent susceptibility slope (</w:t>
            </w:r>
            <w:r>
              <w:rPr>
                <w:i/>
              </w:rPr>
              <w:t>f</w:t>
            </w:r>
            <w:r>
              <w:rPr>
                <w:i/>
                <w:vertAlign w:val="subscript"/>
              </w:rPr>
              <w:t>1</w:t>
            </w:r>
            <w:r>
              <w:t>)</w:t>
            </w:r>
          </w:p>
        </w:tc>
        <w:tc>
          <w:tcPr>
            <w:tcW w:w="1530" w:type="dxa"/>
          </w:tcPr>
          <w:p w:rsidR="00A15A1B" w:rsidRDefault="00A15A1B" w:rsidP="00A207AC">
            <w:r>
              <w:t>0.5</w:t>
            </w:r>
          </w:p>
        </w:tc>
        <w:tc>
          <w:tcPr>
            <w:tcW w:w="4320" w:type="dxa"/>
          </w:tcPr>
          <w:p w:rsidR="00A15A1B" w:rsidRDefault="00A15A1B" w:rsidP="00A207AC">
            <w:pPr>
              <w:rPr>
                <w:rFonts w:ascii="Calibri" w:eastAsia="Calibri" w:hAnsi="Calibri" w:cs="Times New Roman"/>
              </w:rPr>
            </w:pPr>
            <m:oMathPara>
              <m:oMath>
                <m:r>
                  <w:rPr>
                    <w:rFonts w:ascii="Cambria Math" w:eastAsia="Calibri" w:hAnsi="Cambria Math" w:cs="Times New Roman"/>
                  </w:rPr>
                  <m:t>α</m:t>
                </m:r>
                <m:d>
                  <m:dPr>
                    <m:ctrlPr>
                      <w:rPr>
                        <w:rFonts w:ascii="Cambria Math" w:eastAsia="Calibri" w:hAnsi="Cambria Math" w:cs="Times New Roman"/>
                        <w:i/>
                      </w:rPr>
                    </m:ctrlPr>
                  </m:dPr>
                  <m:e>
                    <m:r>
                      <w:rPr>
                        <w:rFonts w:ascii="Cambria Math" w:eastAsia="Calibri" w:hAnsi="Cambria Math" w:cs="Times New Roman"/>
                      </w:rPr>
                      <m:t>a</m:t>
                    </m:r>
                  </m:e>
                </m:d>
                <m:r>
                  <w:rPr>
                    <w:rFonts w:ascii="Cambria Math" w:eastAsia="Calibri" w:hAnsi="Cambria Math" w:cs="Times New Roman"/>
                  </w:rPr>
                  <m:t xml:space="preserve">= </m:t>
                </m:r>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0</m:t>
                        </m:r>
                      </m:sub>
                    </m:sSub>
                    <m:r>
                      <w:rPr>
                        <w:rFonts w:ascii="Cambria Math" w:eastAsia="Calibri" w:hAnsi="Cambria Math" w:cs="Times New Roman"/>
                      </w:rPr>
                      <m:t>+f</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1</m:t>
                        </m:r>
                      </m:sub>
                    </m:sSub>
                    <m:r>
                      <w:rPr>
                        <w:rFonts w:ascii="Cambria Math" w:eastAsia="Calibri" w:hAnsi="Cambria Math" w:cs="Times New Roman"/>
                      </w:rPr>
                      <m:t>a</m:t>
                    </m:r>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Default="00A15A1B" w:rsidP="00A207AC">
            <w:r>
              <w:t>Migration rate scalar (</w:t>
            </w:r>
            <m:oMath>
              <m:r>
                <w:rPr>
                  <w:rFonts w:ascii="Cambria Math" w:eastAsia="Calibri" w:hAnsi="Cambria Math" w:cs="Times New Roman"/>
                </w:rPr>
                <m:t>κ</m:t>
              </m:r>
            </m:oMath>
            <w:r>
              <w:t>)</w:t>
            </w:r>
          </w:p>
        </w:tc>
        <w:tc>
          <w:tcPr>
            <w:tcW w:w="1530" w:type="dxa"/>
          </w:tcPr>
          <w:p w:rsidR="00A15A1B" w:rsidRDefault="00A15A1B" w:rsidP="00A207AC">
            <w:r>
              <w:t xml:space="preserve">Varied in </w:t>
            </w:r>
            <w:proofErr w:type="spellStart"/>
            <w:r>
              <w:t>separatrix</w:t>
            </w:r>
            <w:proofErr w:type="spellEnd"/>
          </w:p>
        </w:tc>
        <w:tc>
          <w:tcPr>
            <w:tcW w:w="4320" w:type="dxa"/>
          </w:tcPr>
          <w:p w:rsidR="00A15A1B" w:rsidRDefault="00A15A1B" w:rsidP="00305062">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A15A1B" w:rsidRPr="009C67B9"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"&lt;sup&gt;8&lt;/sup&gt;", "plainTextFormattedCitation" : "8",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8</w:t>
            </w:r>
            <w:r>
              <w:rPr>
                <w:rFonts w:ascii="Calibri" w:eastAsia="Calibri" w:hAnsi="Calibri" w:cs="Times New Roman"/>
              </w:rPr>
              <w:fldChar w:fldCharType="end"/>
            </w:r>
          </w:p>
        </w:tc>
      </w:tr>
      <w:tr w:rsidR="00A15A1B" w:rsidRPr="002D5939" w:rsidTr="00A15A1B">
        <w:tc>
          <w:tcPr>
            <w:tcW w:w="3330" w:type="dxa"/>
          </w:tcPr>
          <w:p w:rsidR="00A15A1B" w:rsidRDefault="00A15A1B" w:rsidP="00A207AC">
            <w:r>
              <w:t>Migration rate distance dependence (</w:t>
            </w:r>
            <m:oMath>
              <m:r>
                <w:rPr>
                  <w:rFonts w:ascii="Cambria Math" w:hAnsi="Cambria Math"/>
                </w:rPr>
                <m:t>c</m:t>
              </m:r>
              <m:r>
                <w:rPr>
                  <w:rFonts w:ascii="Cambria Math" w:eastAsia="Calibri" w:hAnsi="Cambria Math" w:cs="Times New Roman"/>
                </w:rPr>
                <m:t>)</m:t>
              </m:r>
            </m:oMath>
          </w:p>
        </w:tc>
        <w:tc>
          <w:tcPr>
            <w:tcW w:w="1530" w:type="dxa"/>
          </w:tcPr>
          <w:p w:rsidR="00A15A1B" w:rsidRDefault="00A15A1B" w:rsidP="00A207AC">
            <w:r>
              <w:t>{1, 2}</w:t>
            </w:r>
          </w:p>
        </w:tc>
        <w:tc>
          <w:tcPr>
            <w:tcW w:w="4320" w:type="dxa"/>
          </w:tcPr>
          <w:p w:rsidR="00A15A1B" w:rsidRDefault="00A15A1B" w:rsidP="00305062">
            <w:pPr>
              <w:rPr>
                <w:rFonts w:ascii="Calibri" w:eastAsia="Calibri" w:hAnsi="Calibri" w:cs="Times New Roman"/>
              </w:rPr>
            </w:pPr>
            <m:oMathPara>
              <m:oMath>
                <m:r>
                  <w:rPr>
                    <w:rFonts w:ascii="Cambria Math" w:eastAsia="Calibri" w:hAnsi="Cambria Math" w:cs="Times New Roman"/>
                  </w:rPr>
                  <m:t>M</m:t>
                </m:r>
                <m:sSub>
                  <m:sSubPr>
                    <m:ctrlPr>
                      <w:rPr>
                        <w:rFonts w:ascii="Cambria Math" w:eastAsia="Calibri" w:hAnsi="Cambria Math" w:cs="Times New Roman"/>
                        <w:i/>
                      </w:rPr>
                    </m:ctrlPr>
                  </m:sSubPr>
                  <m:e>
                    <m:r>
                      <m:rPr>
                        <m:sty m:val="p"/>
                      </m:rPr>
                      <w:rPr>
                        <w:rFonts w:ascii="Cambria Math" w:eastAsia="Calibri" w:hAnsi="Cambria Math" w:cs="Times New Roman"/>
                      </w:rPr>
                      <w:softHyphen/>
                    </m:r>
                  </m:e>
                  <m:sub>
                    <m:r>
                      <w:rPr>
                        <w:rFonts w:ascii="Cambria Math" w:eastAsia="Calibri" w:hAnsi="Cambria Math" w:cs="Times New Roman"/>
                      </w:rPr>
                      <m:t>ij</m:t>
                    </m:r>
                  </m:sub>
                </m:sSub>
                <m:r>
                  <w:rPr>
                    <w:rFonts w:ascii="Cambria Math" w:eastAsia="Calibri" w:hAnsi="Cambria Math" w:cs="Times New Roman"/>
                  </w:rPr>
                  <m:t>=κ</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 xml:space="preserve"> p</m:t>
                        </m:r>
                      </m:e>
                      <m:sub>
                        <m:r>
                          <w:rPr>
                            <w:rFonts w:ascii="Cambria Math" w:eastAsia="Calibri" w:hAnsi="Cambria Math" w:cs="Times New Roman"/>
                          </w:rPr>
                          <m:t>j</m:t>
                        </m:r>
                      </m:sub>
                    </m:sSub>
                  </m:num>
                  <m:den>
                    <m:sSubSup>
                      <m:sSubSupPr>
                        <m:ctrlPr>
                          <w:rPr>
                            <w:rFonts w:ascii="Cambria Math" w:eastAsia="Calibri" w:hAnsi="Cambria Math" w:cs="Times New Roman"/>
                            <w:i/>
                          </w:rPr>
                        </m:ctrlPr>
                      </m:sSubSupPr>
                      <m:e>
                        <m:r>
                          <w:rPr>
                            <w:rFonts w:ascii="Cambria Math" w:eastAsia="Calibri" w:hAnsi="Cambria Math" w:cs="Times New Roman"/>
                          </w:rPr>
                          <m:t>d</m:t>
                        </m:r>
                      </m:e>
                      <m:sub>
                        <m:r>
                          <w:rPr>
                            <w:rFonts w:ascii="Cambria Math" w:eastAsia="Calibri" w:hAnsi="Cambria Math" w:cs="Times New Roman"/>
                          </w:rPr>
                          <m:t>ij</m:t>
                        </m:r>
                      </m:sub>
                      <m:sup>
                        <m:r>
                          <w:rPr>
                            <w:rFonts w:ascii="Cambria Math" w:eastAsia="Calibri" w:hAnsi="Cambria Math" w:cs="Times New Roman"/>
                          </w:rPr>
                          <m:t>c</m:t>
                        </m:r>
                      </m:sup>
                    </m:sSubSup>
                  </m:den>
                </m:f>
              </m:oMath>
            </m:oMathPara>
          </w:p>
        </w:tc>
        <w:tc>
          <w:tcPr>
            <w:tcW w:w="1440" w:type="dxa"/>
          </w:tcPr>
          <w:p w:rsidR="00A15A1B" w:rsidRPr="009C67B9"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"10.1371/journal.pone.0052971", "ISSN" : "1932-6203", "author" : [ { "dropping-particle" : "", "family" : "Wesolowski", "given" : "Amy", "non-dropping-particle" : "", "parse-names" : false, "suffix" : "" }, { "dropping-particle" : "", "family" : "Buckee", "given" : "Caroline O.", "non-dropping-particle" : "", "parse-names" : false, "suffix" : "" }, { "dropping-particle" : "", "family" : "Pindolia", "given" : "Deepa K.", "non-dropping-particle" : "", "parse-names" : false, "suffix" : "" }, { "dropping-particle" : "", "family" : "Eagle", "given" : "Nathan", "non-dropping-particle" : "", "parse-names" : false, "suffix" : "" }, { "dropping-particle" : "", "family" : "Smith", "given" : "David L.", "non-dropping-particle" : "", "parse-names" : false, "suffix" : "" }, { "dropping-particle" : "", "family" : "Garcia", "given" : "Andres J.", "non-dropping-particle" : "", "parse-names" : false, "suffix" : "" }, { "dropping-particle" : "", "family" : "Tatem", "given" : "Andrew J.", "non-dropping-particle" : "", "parse-names" : false, "suffix" : "" }, { "dropping-particle" : "", "family" : "Viboud", "given" : "C", "non-dropping-particle" : "", "parse-names" : false, "suffix" : "" }, { "dropping-particle" : "", "family" : "Bjornstad", "given" : "ON", "non-dropping-particle" : "", "parse-names" : false, "suffix" : "" }, { "dropping-particle" : "", "family" : "Smith", "given" : "DL", "non-dropping-particle" : "", "parse-names" : false, "suffix" : "" }, { "dropping-particle" : "", "family" : "Simonsen", "given" : "L", "non-dropping-particle" : "", "parse-names" : false, "suffix" : "" }, { "dropping-particle" : "", "family" : "Miller", "given" : "MA", "non-dropping-particle" : "", "parse-names" : false, "suffix" : "" }, { "dropping-particle" : "", "family" : "Prothero", "given" : "RM", "non-dropping-particle" : "", "parse-names" : false, "suffix" : "" }, { "dropping-particle" : "", "family" : "Ferguson", "given" : "NM", "non-dropping-particle" : "", "parse-names" : false, "suffix" : "" }, { "dropping-particle" : "", "family" : "Cummings", "given" : "DA", "non-dropping-particle" : "", "parse-names" : false, "suffix" : "" }, { "dropping-particle" : "", "family" : "Cauchemez", "given" : "S", "non-dropping-particle" : "", "parse-names" : false, "suffix" : "" }, { "dropping-particle" : "", "family" : "Fraser", "given" : "C", "non-dropping-particle" : "", "parse-names" : false, "suffix" : "" }, { "dropping-particle" : "", "family" : "Riley", "given" : "S", "non-dropping-particle" : "", "parse-names" : false, "suffix" : "" }, { "dropping-particle" : "", "family" : "Balcan", "given" : "D", "non-dropping-particle" : "", "parse-names" : false, "suffix" : "" }, { "dropping-particle" : "", "family" : "Colizza", "given" : "V", "non-dropping-particle" : "", "parse-names" : false, "suffix" : "" }, { "dropping-particle" : "", "family" : "Goncalves", "given" : "B", "non-dropping-particle" : "", "parse-names" : false, "suffix" : "" }, { "dropping-particle" : "", "family" : "Hu", "given" : "H", "non-dropping-particle" : "", "parse-names" : false, "suffix" : "" }, { "dropping-particle" : "", "family" : "Ramasco", "given" : "JJ", "non-dropping-particle" : "", "parse-names" : false, "suffix" : "" }, { "dropping-particle" : "", "family" : "Longini", "given" : "IM", "non-dropping-particle" : "", "parse-names" : false, "suffix" : "" }, { "dropping-particle" : "", "family" : "Nizam", "given" : "A", "non-dropping-particle" : "", "parse-names" : false, "suffix" : "" }, { "dropping-particle" : "", "family" : "Xu", "given" : "S", "non-dropping-particle" : "", "parse-names" : false, "suffix" : "" }, { "dropping-particle" : "", "family" : "Ungchusak", "given" : "K", "non-dropping-particle" : "", "parse-names" : false, "suffix" : "" }, { "dropping-particle" : "", "family" : "Hanshaoworakul", "given" : "W", "non-dropping-particle" : "", "parse-names" : false, "suffix" : "" }, { "dropping-particle" : "", "family" : "Wesolowski", "given" : "A", "non-dropping-particle" : "", "parse-names" : false, "suffix" : "" }, { "dropping-particle" : "", "family" : "Eagle", "given" : "N", "non-dropping-particle" : "", "parse-names" : false, "suffix" : "" }, { "dropping-particle" : "", "family" : "Tatem", "given" : "AJ", "non-dropping-particle" : "", "parse-names" : false, "suffix" : "" }, { "dropping-particle" : "", "family" : "Smith", "given" : "DL", "non-dropping-particle" : "", "parse-names" : false, "suffix" : "" }, { "dropping-particle" : "", "family" : "Noor", "given" : "AM", "non-dropping-particle" : "", "parse-names" : false, "suffix" : "" }, { "dropping-particle" : "", "family" : "Bryceson", "given" : "DF", "non-dropping-particle" : "", "parse-names" : false, "suffix" : "" }, { "dropping-particle" : "", "family" : "Bradbury", "given" : "A", "non-dropping-particle" : "", "parse-names" : false, "suffix" : "" }, { "dropping-particle" : "", "family" : "Bradbury", "given" : "T", "non-dropping-particle" : "", "parse-names" : false, "suffix" : "" }, { "dropping-particle" : "", "family" : "Okwi", "given" : "PO", "non-dropping-particle" : "", "parse-names" : false, "suffix" : "" }, { "dropping-particle" : "", "family" : "Ndeng\u2019e", "given" : "G", "non-dropping-particle" : "", "parse-names" : false, "suffix" : "" }, { "dropping-particle" : "", "family" : "Kristjanson", "given" : "P", "non-dropping-particle" : "", "parse-names" : false, "suffix" : "" }, { "dropping-particle" : "", "family" : "Arunga", "given" : "M", "non-dropping-particle" : "", "parse-names" : false, "suffix" : "" }, { "dropping-particle" : "", "family" : "Notenbaert", "given" : "A", "non-dropping-particle" : "", "parse-names" : false, "suffix" : "" }, { "dropping-particle" : "", "family" : "Tatem", "given" : "AJ", "non-dropping-particle" : "", "parse-names" : false, "suffix" : "" }, { "dropping-particle" : "", "family" : "Hay", "given" : "SI", "non-dropping-particle" : "", "parse-names" : false, "suffix" : "" }, { "dropping-particle" : "", "family" : "Rogers", "given" : "DJ", "non-dropping-particle" : "", "parse-names" : false, "suffix" : "" }, { "dropping-particle" : "", "family" : "Pimental", "given" : "D", "non-dropping-particle" : "", "parse-names" : false, "suffix" : "" }, { "dropping-particle" : "", "family" : "Zuniga", "given" : "R", "non-dropping-particle" : "", "parse-names" : false, "suffix" : "" }, { "dropping-particle" : "", "family" : "Morrison", "given" : "D", "non-dropping-particle" : "", "parse-names" : false, "suffix" : "" }, { "dropping-particle" : "", "family" : "Yang", "given" : "Y", "non-dropping-particle" : "", "parse-names" : false, "suffix" : "" }, { "dropping-particle" : "", "family" : "Atkinson", "given" : "P", "non-dropping-particle" : "", "parse-names" : false, "suffix" : "" }, { "dropping-particle" : "", "family" : "Ettema", "given" : "D", "non-dropping-particle" : "", "parse-names" : false, "suffix" : "" }, { "dropping-particle" : "", "family" : "Keeling", "given" : "MJ", "non-dropping-particle" : "", "parse-names" : false, "suffix" : "" }, { "dropping-particle" : "", "family" : "Danon", "given" : "L", "non-dropping-particle" : "", "parse-names" : false, "suffix" : "" }, { "dropping-particle" : "", "family" : "Vernon", "given" : "MC", "non-dropping-particle" : "", "parse-names" : false, "suffix" : "" }, { "dropping-particle" : "", "family" : "House", "given" : "T", "non-dropping-particle" : "", "parse-names" : false, "suffix" : "" }, { "dropping-particle" : "", "family" : "Riley", "given" : "S", "non-dropping-particle" : "", "parse-names" : false, "suffix" : "" }, { "dropping-particle" : "", "family" : "Ferguson", "given" : "NM", "non-dropping-particle" : "", "parse-names" : false, "suffix" : "" }, { "dropping-particle" : "", "family" : "Shanks", "given" : "GD", "non-dropping-particle" : "", "parse-names" : false, "suffix" : "" }, { "dropping-particle" : "", "family" : "Hay", "given" : "SI", "non-dropping-particle" : "", "parse-names" : false, "suffix" : "" }, { "dropping-particle" : "", "family" : "Stern", "given" : "DI", "non-dropping-particle" : "", "parse-names" : false, "suffix" : "" }, { "dropping-particle" : "", "family" : "Biomndo", "given" : "K", "non-dropping-particle" : "", "parse-names" : false, "suffix" : "" }, { "dropping-particle" : "", "family" : "Snow", "given" : "RW", "non-dropping-particle" : "", "parse-names" : false, "suffix" : "" }, { "dropping-particle" : "", "family" : "Buliung", "given" : "RN", "non-dropping-particle" : "", "parse-names" : false, "suffix" : "" }, { "dropping-particle" : "", "family" : "Remmel", "given" : "TK", "non-dropping-particle" : "", "parse-names" : false, "suffix" : "" }, { "dropping-particle" : "", "family" : "Schlich", "given" : "R", "non-dropping-particle" : "", "parse-names" : false, "suffix" : "" }, { "dropping-particle" : "", "family" : "Axhausen", "given" : "KW", "non-dropping-particle" : "", "parse-names" : false, "suffix" : "" }, { "dropping-particle" : "", "family" : "Henry", "given" : "S", "non-dropping-particle" : "", "parse-names" : false, "suffix" : "" }, { "dropping-particle" : "", "family" : "Boyle", "given" : "P", "non-dropping-particle" : "", "parse-names" : false, "suffix" : "" }, { "dropping-particle" : "", "family" : "Lambin", "given" : "EF", "non-dropping-particle" : "", "parse-names" : false, "suffix" : "" }, { "dropping-particle" : "", "family" : "Goddard", "given" : "AD", "non-dropping-particle" : "", "parse-names" : false, "suffix" : "" }, { "dropping-particle" : "", "family" : "Gould", "given" : "WTS", "non-dropping-particle" : "", "parse-names" : false, "suffix" : "" }, { "dropping-particle" : "", "family" : "Masser", "given" : "FI", "non-dropping-particle" : "", "parse-names" : false, "suffix" : "" }, { "dropping-particle" : "", "family" : "Gonz\u00e1lez", "given" : "MC", "non-dropping-particle" : "", "parse-names" : false, "suffix" : "" }, { "dropping-particle" : "", "family" : "Hidalgo", "given" : "CA", "non-dropping-particle" : "", "parse-names" : false, "suffix" : "" }, { "dropping-particle" : "", "family" : "Barab\u00e1si", "given" : "AL", "non-dropping-particle" : "", "parse-names" : false, "suffix" : "" }, { "dropping-particle" : "", "family" : "Simini", "given" : "F", "non-dropping-particle" : "", "parse-names" : false, "suffix" : "" }, { "dropping-particle" : "", "family" : "Gonz\u00e1lez", "given" : "MC", "non-dropping-particle" : "", "parse-names" : false, "suffix" : "" }, { "dropping-particle" : "", "family" : "Maritan", "given" : "A", "non-dropping-particle" : "", "parse-names" : false, "suffix" : "" }, { "dropping-particle" : "", "family" : "Barab\u00e1si", "given" : "AL", "non-dropping-particle" : "", "parse-names" : false, "suffix" : "" }, { "dropping-particle" : "", "family" : "Song", "given" : "C", "non-dropping-particle" : "", "parse-names" : false, "suffix" : "" }, { "dropping-particle" : "", "family" : "Qu", "given" : "Z", "non-dropping-particle" : "", "parse-names" : false, "suffix" : "" }, { "dropping-particle" : "", "family" : "Blumm", "given" : "N", "non-dropping-particle" : "", "parse-names" : false, "suffix" : "" }, { "dropping-particle" : "", "family" : "Barabasi", "given" : "AL", "non-dropping-particle" : "", "parse-names" : false, "suffix" : "" }, { "dropping-particle" : "", "family" : "Flowerdew", "given" : "R", "non-dropping-particle" : "", "parse-names" : false, "suffix" : "" }, { "dropping-particle" : "", "family" : "Aitkin", "given" : "M", "non-dropping-particle" : "", "parse-names" : false, "suffix" : "" }, { "dropping-particle" : "", "family" : "Massey", "given" : "FJ", "non-dropping-particle" : "", "parse-names" : false, "suffix" : "" }, { "dropping-particle" : "", "family" : "Bharti", "given" : "N", "non-dropping-particle" : "", "parse-names" : false, "suffix" : "" }, { "dropping-particle" : "", "family" : "Tatem", "given" : "AJ", "non-dropping-particle" : "", "parse-names" : false, "suffix" : "" }, { "dropping-particle" : "", "family" : "Ferrari", "given" : "MJ", "non-dropping-particle" : "", "parse-names" : false, "suffix" : "" }, { "dropping-particle" : "", "family" : "Grais", "given" : "RF", "non-dropping-particle" : "", "parse-names" : false, "suffix" : "" }, { "dropping-particle" : "", "family" : "Djibo", "given" : "A", "non-dropping-particle" : "", "parse-names" : false, "suffix" : "" }, { "dropping-particle" : "", "family" : "Tatem", "given" : "AJ", "non-dropping-particle" : "", "parse-names" : false, "suffix" : "" }, { "dropping-particle" : "", "family" : "Smith", "given" : "DL", "non-dropping-particle" : "", "parse-names" : false, "suffix" : "" }, { "dropping-particle" : "", "family" : "Hollingsworth", "given" : "TD", "non-dropping-particle" : "", "parse-names" : false, "suffix" : "" }, { "dropping-particle" : "", "family" : "Ferguson", "given" : "NM", "non-dropping-particle" : "", "parse-names" : false, "suffix" : "" }, { "dropping-particle" : "", "family" : "Anderson", "given" : "RM", "non-dropping-particle" : "", "parse-names" : false, "suffix" : "" }, { "dropping-particle" : "", "family" : "Sheik-Mohamed", "given" : "A", "non-dropping-particle" : "", "parse-names" : false, "suffix" : "" }, { "dropping-particle" : "", "family" : "Velema", "given" : "JP", "non-dropping-particle" : "", "parse-names" : false, "suffix" : "" } ], "container-title" : "PLoS ONE", "editor" : [ { "dropping-particle" : "", "family" : "Hart", "given" : "John P.", "non-dropping-particle" : "", "parse-names" : false, "suffix" : "" } ], "id" : "ITEM-1", "issue" : "1", "issued" : { "date-parts" : [ [ "2013", "1", "9" ] ] }, "page" : "e52971", "publisher" : "Public Library of Science", "title" : "The Use of Census Migration Data to Approximate Human Movement Patterns across Temporal Scales", "type" : "article-journal", "volume" : "8" }, "uris" : [ "http://www.mendeley.com/documents/?uuid=8d1c2dff-0420-34b2-a019-59f2408bde16" ] } ], "mendeley" : { "formattedCitation" : "&lt;sup&gt;8&lt;/sup&gt;", "plainTextFormattedCitation" : "8", "previouslyFormattedCitation" : "&lt;sup&gt;6&lt;/sup&gt;"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8</w:t>
            </w:r>
            <w:r>
              <w:rPr>
                <w:rFonts w:ascii="Calibri" w:eastAsia="Calibri" w:hAnsi="Calibri" w:cs="Times New Roman"/>
              </w:rPr>
              <w:fldChar w:fldCharType="end"/>
            </w:r>
          </w:p>
        </w:tc>
      </w:tr>
      <w:tr w:rsidR="00A15A1B" w:rsidRPr="002D5939" w:rsidTr="00A15A1B">
        <w:tc>
          <w:tcPr>
            <w:tcW w:w="3330" w:type="dxa"/>
          </w:tcPr>
          <w:p w:rsidR="00A15A1B" w:rsidRDefault="00A15A1B" w:rsidP="00A207AC">
            <w:r>
              <w:lastRenderedPageBreak/>
              <w:t>Duration of exposed state (</w:t>
            </w:r>
            <m:oMath>
              <m:r>
                <w:rPr>
                  <w:rFonts w:ascii="Cambria Math" w:eastAsiaTheme="minorEastAsia" w:hAnsi="Cambria Math"/>
                </w:rPr>
                <m:t>σ)</m:t>
              </m:r>
            </m:oMath>
          </w:p>
        </w:tc>
        <w:tc>
          <w:tcPr>
            <w:tcW w:w="1530" w:type="dxa"/>
          </w:tcPr>
          <w:p w:rsidR="00A15A1B" w:rsidRDefault="00A15A1B" w:rsidP="00A207AC">
            <w:r>
              <w:t>3</w:t>
            </w:r>
          </w:p>
        </w:tc>
        <w:tc>
          <w:tcPr>
            <w:tcW w:w="4320" w:type="dxa"/>
          </w:tcPr>
          <w:p w:rsidR="00A15A1B" w:rsidRDefault="00A15A1B" w:rsidP="00A207AC">
            <w:pPr>
              <w:rPr>
                <w:rFonts w:ascii="Calibri" w:eastAsia="Calibri" w:hAnsi="Calibri" w:cs="Times New Roman"/>
              </w:rPr>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d>
                      <m:dPr>
                        <m:begChr m:val="{"/>
                        <m:endChr m:val="}"/>
                        <m:ctrlPr>
                          <w:rPr>
                            <w:rFonts w:ascii="Cambria Math" w:hAnsi="Cambria Math"/>
                            <w:i/>
                          </w:rPr>
                        </m:ctrlPr>
                      </m:dPr>
                      <m:e>
                        <m:r>
                          <w:rPr>
                            <w:rFonts w:ascii="Cambria Math" w:hAnsi="Cambria Math"/>
                          </w:rPr>
                          <m:t>I, 0</m:t>
                        </m:r>
                      </m:e>
                    </m:d>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-σ</m:t>
                    </m:r>
                  </m:e>
                </m:d>
              </m:oMath>
            </m:oMathPara>
          </w:p>
        </w:tc>
        <w:tc>
          <w:tcPr>
            <w:tcW w:w="1440" w:type="dxa"/>
          </w:tcPr>
          <w:p w:rsidR="00A15A1B"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"&lt;sup&gt;5,6&lt;/sup&gt;", "plainTextFormattedCitation" : "5,6",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5,6</w:t>
            </w:r>
            <w:r>
              <w:rPr>
                <w:rFonts w:ascii="Calibri" w:eastAsia="Calibri" w:hAnsi="Calibri" w:cs="Times New Roman"/>
              </w:rPr>
              <w:fldChar w:fldCharType="end"/>
            </w:r>
          </w:p>
        </w:tc>
      </w:tr>
      <w:tr w:rsidR="00A15A1B" w:rsidRPr="002D5939" w:rsidTr="00A15A1B">
        <w:tc>
          <w:tcPr>
            <w:tcW w:w="3330" w:type="dxa"/>
          </w:tcPr>
          <w:p w:rsidR="00A15A1B" w:rsidRDefault="00A15A1B" w:rsidP="00A207AC">
            <w:r>
              <w:t>Duration of infectious state (</w:t>
            </w:r>
            <m:oMath>
              <m:r>
                <w:rPr>
                  <w:rFonts w:ascii="Cambria Math" w:eastAsiaTheme="minorEastAsia" w:hAnsi="Cambria Math"/>
                </w:rPr>
                <m:t xml:space="preserve">γ) </m:t>
              </m:r>
            </m:oMath>
          </w:p>
        </w:tc>
        <w:tc>
          <w:tcPr>
            <w:tcW w:w="1530" w:type="dxa"/>
          </w:tcPr>
          <w:p w:rsidR="00A15A1B" w:rsidRDefault="00A15A1B" w:rsidP="00A207AC">
            <w:r>
              <w:t>27</w:t>
            </w:r>
          </w:p>
        </w:tc>
        <w:tc>
          <w:tcPr>
            <w:tcW w:w="4320" w:type="dxa"/>
          </w:tcPr>
          <w:p w:rsidR="00A15A1B" w:rsidRDefault="00A15A1B" w:rsidP="00A207AC">
            <w:pPr>
              <w:rPr>
                <w:rFonts w:ascii="Calibri" w:eastAsia="Calibri" w:hAnsi="Calibri" w:cs="Times New Roman"/>
              </w:rPr>
            </w:pPr>
            <m:oMathPara>
              <m:oMath>
                <m:r>
                  <w:rPr>
                    <w:rFonts w:ascii="Cambria Math" w:hAnsi="Cambria Math"/>
                  </w:rPr>
                  <m:t>p</m:t>
                </m:r>
                <m:d>
                  <m:dPr>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I,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α, τ</m:t>
                        </m:r>
                      </m:e>
                    </m:d>
                    <m:r>
                      <w:rPr>
                        <w:rFonts w:ascii="Cambria Math" w:hAnsi="Cambria Math"/>
                      </w:rPr>
                      <m:t>→</m:t>
                    </m:r>
                    <m:d>
                      <m:dPr>
                        <m:begChr m:val="{"/>
                        <m:endChr m:val="}"/>
                        <m:ctrlPr>
                          <w:rPr>
                            <w:rFonts w:ascii="Cambria Math" w:hAnsi="Cambria Math"/>
                            <w:i/>
                          </w:rPr>
                        </m:ctrlPr>
                      </m:dPr>
                      <m:e>
                        <m:r>
                          <w:rPr>
                            <w:rFonts w:ascii="Cambria Math" w:hAnsi="Cambria Math"/>
                          </w:rPr>
                          <m:t xml:space="preserve">S, 0, </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τ</m:t>
                            </m:r>
                          </m:e>
                          <m:sup>
                            <m:r>
                              <w:rPr>
                                <w:rFonts w:ascii="Cambria Math" w:hAnsi="Cambria Math"/>
                              </w:rPr>
                              <m:t>*</m:t>
                            </m:r>
                          </m:sup>
                        </m:sSup>
                      </m:e>
                    </m:d>
                    <m:r>
                      <w:rPr>
                        <w:rFonts w:ascii="Cambria Math" w:hAnsi="Cambria Math"/>
                      </w:rPr>
                      <m:t xml:space="preserve"> </m:t>
                    </m:r>
                  </m:e>
                </m:d>
                <m:r>
                  <w:rPr>
                    <w:rFonts w:ascii="Cambria Math" w:hAnsi="Cambria Math"/>
                  </w:rPr>
                  <m:t>=</m:t>
                </m:r>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-γ</m:t>
                    </m:r>
                  </m:e>
                </m:d>
              </m:oMath>
            </m:oMathPara>
          </w:p>
        </w:tc>
        <w:tc>
          <w:tcPr>
            <w:tcW w:w="1440" w:type="dxa"/>
          </w:tcPr>
          <w:p w:rsidR="00A15A1B"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"10.1016/j.ijid.2013.09.005", "ISSN" : "12019712", "abstract" : "OBJECTIVE\nTo examine forces that drive vaccination policy to eradicate wild- and vaccine-derived poliovirus, and to focus on the efficacy of vaccines to support decision-making and further research. \n\nMETHODS\nWe searched PubMed and Ovid databases for English-language publications, without date restrictions. We also collected references from major reviews on polio vaccine immunogenicity or protection. We conducted a meta-analysis of human immunity to polio infections using multiple non-linear regression, and built a database from a broad (but not systematic) set of polio vaccine studies (46 studies, &gt;10000 subjects). \n\nRESULTS\nThe outcome was an immunological model representative of many different datasets. Parameters measured immunogenicity to both humoral and mucosal immune compartments for Salk and Sabin vaccines. The immunity model was more highly correlated with the data than a simpler per-dose efficacy model. \n\nCONCLUSIONS\nThe model offers new insights for immunization policy. We measured the mucosal immunogenicity of IPV to a precision that is useful in decision-making for end-game polio immunization policies.", "author" : [ { "dropping-particle" : "", "family" : "Behrend", "given" : "Matthew R.", "non-dropping-particle" : "", "parse-names" : false, "suffix" : "" }, { "dropping-particle" : "", "family" : "Hu", "given" : "Hao", "non-dropping-particle" : "", "parse-names" : false, "suffix" : "" }, { "dropping-particle" : "", "family" : "Nigmatulina", "given" : "Karima R.", "non-dropping-particle" : "", "parse-names" : false, "suffix" : "" }, { "dropping-particle" : "", "family" : "Eckhoff", "given" : "Philip", "non-dropping-particle" : "", "parse-names" : false, "suffix" : "" } ], "container-title" : "International Journal of Infectious Diseases", "id" : "ITEM-1", "issued" : { "date-parts" : [ [ "2014" ] ] }, "page" : "4-13", "title" : "A quantitative survey of the literature on poliovirus infection and immunity", "type" : "article-journal", "volume" : "18" }, "uris" : [ "http://www.mendeley.com/documents/?uuid=62aab3b9-8d12-34a8-bae6-606873678760" ] }, { "id" : "ITEM-2",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"ITEM-2",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"&lt;sup&gt;5,6&lt;/sup&gt;", "plainTextFormattedCitation" : "5,6", "previouslyFormattedCitation" : "&lt;sup&gt;3,4&lt;/sup&gt;"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5,6</w:t>
            </w:r>
            <w:r>
              <w:rPr>
                <w:rFonts w:ascii="Calibri" w:eastAsia="Calibri" w:hAnsi="Calibri" w:cs="Times New Roman"/>
              </w:rPr>
              <w:fldChar w:fldCharType="end"/>
            </w:r>
          </w:p>
        </w:tc>
      </w:tr>
      <w:tr w:rsidR="00A15A1B" w:rsidRPr="002D5939" w:rsidTr="00A15A1B">
        <w:tc>
          <w:tcPr>
            <w:tcW w:w="3330" w:type="dxa"/>
          </w:tcPr>
          <w:p w:rsidR="00A15A1B" w:rsidRDefault="00A15A1B" w:rsidP="00716908">
            <w:r>
              <w:t>Initial infectiousness of Sabin 2 relative to fully-reverted (</w:t>
            </w:r>
            <m:oMath>
              <m:r>
                <w:rPr>
                  <w:rFonts w:ascii="Cambria Math" w:hAnsi="Cambria Math"/>
                </w:rPr>
                <m:t>f)</m:t>
              </m:r>
            </m:oMath>
          </w:p>
        </w:tc>
        <w:tc>
          <w:tcPr>
            <w:tcW w:w="1530" w:type="dxa"/>
          </w:tcPr>
          <w:p w:rsidR="00A15A1B" w:rsidRDefault="00A15A1B" w:rsidP="00A207AC">
            <w:r>
              <w:t xml:space="preserve">{0.25, 0.5} </w:t>
            </w:r>
          </w:p>
        </w:tc>
        <w:tc>
          <w:tcPr>
            <w:tcW w:w="4320" w:type="dxa"/>
          </w:tcPr>
          <w:p w:rsidR="00A15A1B" w:rsidRDefault="00A15A1B" w:rsidP="00716908">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1-f</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716908" w:rsidP="000A5003">
            <w:pPr>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"10.1111/risa.12044", "ISSN" : "1539-6924", "PMID" : "23521018", "abstract" : "With national and global health policymakers facing numerous complex decisions related to achieving and maintaining polio eradication, we expanded our previously developed dynamic poliovirus transmission model using information from an expert literature review process and including additional immunity states and the evolution of oral poliovirus vaccine (OPV). The model explicitly considers serotype differences and distinguishes fecal-oral and oropharyngeal transmission. We evaluated the model by simulating diverse historical experiences with polioviruses, including one country that eliminated wild poliovirus using both OPV and inactivated poliovirus vaccine (IPV) (USA), three importation outbreaks of wild poliovirus (Albania, the Netherlands, Tajikistan), one situation in which no circulating vaccine-derived polioviruses (cVDPVs) emerge despite annual OPV use and cessation (Cuba), three cVDPV outbreaks (Haiti, Madura Island in Indonesia, northern Nigeria), one area of current endemic circulation of all three serotypes (northern Nigeria), and one area with recent endemic circulation and subsequent elimination of multiple serotypes (northern India). We find that when sufficient information about the conditions exists, the model can reproduce the general behavior of poliovirus transmission and outbreaks while maintaining consistency in the generic model inputs. The assumption of spatially homogeneous mixing remains a significant limitation that affects the performance of the differential equation-based model when significant heterogeneities in immunity and mixing may exist. Further studies on OPV virus evolution and improved understanding of the mechanisms of mixing and transmission may help to better characterize poliovirus transmission in populations. Broad application of the model promises to offer insights in the context of global and national policy and economic models.", "author" : [ { "dropping-particle" : "", "family" : "Duintjer Tebbens", "given" : "Radboud J", "non-dropping-particle" : "", "parse-names" : false, "suffix" : "" }, { "dropping-particle" : "", "family" : "Pallansch", "given" : "Mark A", "non-dropping-particle" : "", "parse-names" : false, "suffix" : "" }, { "dropping-particle" : "", "family" : "Kalkowska", "given" : "Dominika A",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"703-49", "title" : "Characterizing poliovirus transmission and evolution: insights from modeling experiences with wild and vaccine-related polioviruses.", "type" : "article-journal", "volume" : "33" }, "uris" : [ "http://www.mendeley.com/documents/?uuid=df74f093-9cee-3447-b94d-5f1b17ef2d20" ] } ], "mendeley" : { "formattedCitation" : "&lt;sup&gt;6&lt;/sup&gt;", "plainTextFormattedCitation" : "6", "previouslyFormattedCitation" : "&lt;sup&gt;4&lt;/sup&gt;"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6</w:t>
            </w:r>
            <w:r>
              <w:rPr>
                <w:rFonts w:ascii="Calibri" w:eastAsia="Calibri" w:hAnsi="Calibri" w:cs="Times New Roman"/>
              </w:rPr>
              <w:fldChar w:fldCharType="end"/>
            </w:r>
          </w:p>
        </w:tc>
      </w:tr>
      <w:tr w:rsidR="00A15A1B" w:rsidRPr="002D5939" w:rsidTr="00A15A1B">
        <w:tc>
          <w:tcPr>
            <w:tcW w:w="3330" w:type="dxa"/>
          </w:tcPr>
          <w:p w:rsidR="00A15A1B" w:rsidRDefault="00A15A1B" w:rsidP="00A207AC">
            <w:r>
              <w:t>Final R</w:t>
            </w:r>
            <w:r>
              <w:softHyphen/>
            </w:r>
            <w:r>
              <w:rPr>
                <w:vertAlign w:val="subscript"/>
              </w:rPr>
              <w:t>0</w:t>
            </w:r>
            <w:r>
              <w:t xml:space="preserve"> of reverted Sabin 2</w:t>
            </w:r>
          </w:p>
        </w:tc>
        <w:tc>
          <w:tcPr>
            <w:tcW w:w="1530" w:type="dxa"/>
          </w:tcPr>
          <w:p w:rsidR="00A15A1B" w:rsidRDefault="00A15A1B" w:rsidP="00A207AC">
            <w:r>
              <w:t>{1.2, 1.5, 2, 3}</w:t>
            </w:r>
          </w:p>
        </w:tc>
        <w:tc>
          <w:tcPr>
            <w:tcW w:w="4320" w:type="dxa"/>
          </w:tcPr>
          <w:p w:rsidR="00A15A1B" w:rsidRPr="006F704B" w:rsidRDefault="009C0BDF" w:rsidP="006F704B">
            <w:pPr>
              <w:rPr>
                <w:rFonts w:ascii="Calibri" w:eastAsia="Calibri" w:hAnsi="Calibri" w:cs="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r>
                      <w:rPr>
                        <w:rFonts w:ascii="Cambria Math" w:eastAsia="Calibri" w:hAnsi="Cambria Math" w:cs="Times New Roman"/>
                      </w:rPr>
                      <m:t>γ</m:t>
                    </m:r>
                  </m:num>
                  <m:den>
                    <m:nary>
                      <m:naryPr>
                        <m:limLoc m:val="undOvr"/>
                        <m:subHide m:val="1"/>
                        <m:supHide m:val="1"/>
                        <m:ctrlPr>
                          <w:rPr>
                            <w:rFonts w:ascii="Cambria Math" w:hAnsi="Cambria Math"/>
                            <w:i/>
                          </w:rPr>
                        </m:ctrlPr>
                      </m:naryPr>
                      <m:sub/>
                      <m:sup/>
                      <m:e>
                        <m:r>
                          <w:rPr>
                            <w:rFonts w:ascii="Cambria Math" w:hAnsi="Cambria Math"/>
                          </w:rPr>
                          <m:t>α</m:t>
                        </m:r>
                        <m:d>
                          <m:dPr>
                            <m:ctrlPr>
                              <w:rPr>
                                <w:rFonts w:ascii="Cambria Math" w:hAnsi="Cambria Math"/>
                                <w:i/>
                              </w:rPr>
                            </m:ctrlPr>
                          </m:dPr>
                          <m:e>
                            <m:r>
                              <w:rPr>
                                <w:rFonts w:ascii="Cambria Math" w:hAnsi="Cambria Math"/>
                              </w:rPr>
                              <m:t>a</m:t>
                            </m:r>
                          </m:e>
                        </m:d>
                        <m:r>
                          <w:rPr>
                            <w:rFonts w:ascii="Cambria Math" w:hAnsi="Cambria Math"/>
                          </w:rPr>
                          <m:t xml:space="preserve"> * f</m:t>
                        </m:r>
                        <m:d>
                          <m:dPr>
                            <m:ctrlPr>
                              <w:rPr>
                                <w:rFonts w:ascii="Cambria Math" w:hAnsi="Cambria Math"/>
                                <w:i/>
                              </w:rPr>
                            </m:ctrlPr>
                          </m:dPr>
                          <m:e>
                            <m:r>
                              <w:rPr>
                                <w:rFonts w:ascii="Cambria Math" w:hAnsi="Cambria Math"/>
                              </w:rPr>
                              <m:t>a</m:t>
                            </m:r>
                          </m:e>
                        </m:d>
                        <m:r>
                          <w:rPr>
                            <w:rFonts w:ascii="Cambria Math" w:hAnsi="Cambria Math"/>
                          </w:rPr>
                          <m:t>da</m:t>
                        </m:r>
                      </m:e>
                    </m:nary>
                  </m:den>
                </m:f>
              </m:oMath>
            </m:oMathPara>
          </w:p>
          <w:p w:rsidR="00A15A1B" w:rsidRPr="006F704B" w:rsidRDefault="00A15A1B" w:rsidP="006F704B">
            <w:pPr>
              <w:rPr>
                <w:rFonts w:ascii="Calibri" w:eastAsia="Calibri" w:hAnsi="Calibri" w:cs="Times New Roman"/>
              </w:rPr>
            </w:pPr>
            <w:r>
              <w:rPr>
                <w:rFonts w:ascii="Calibri" w:eastAsia="Calibri" w:hAnsi="Calibri" w:cs="Times New Roman"/>
              </w:rPr>
              <w:t xml:space="preserve">Denominator indicates correction for age-dependent susceptibility, with </w:t>
            </w:r>
            <m:oMath>
              <m:r>
                <w:rPr>
                  <w:rFonts w:ascii="Cambria Math" w:hAnsi="Cambria Math"/>
                </w:rPr>
                <m:t>α</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defined as in (1) and </w:t>
            </w:r>
            <m:oMath>
              <m:r>
                <w:rPr>
                  <w:rFonts w:ascii="Cambria Math" w:hAnsi="Cambria Math"/>
                </w:rPr>
                <m:t>f</m:t>
              </m:r>
              <m:d>
                <m:dPr>
                  <m:ctrlPr>
                    <w:rPr>
                      <w:rFonts w:ascii="Cambria Math" w:hAnsi="Cambria Math"/>
                      <w:i/>
                    </w:rPr>
                  </m:ctrlPr>
                </m:dPr>
                <m:e>
                  <m:r>
                    <w:rPr>
                      <w:rFonts w:ascii="Cambria Math" w:hAnsi="Cambria Math"/>
                    </w:rPr>
                    <m:t>a</m:t>
                  </m:r>
                </m:e>
              </m:d>
            </m:oMath>
            <w:r>
              <w:rPr>
                <w:rFonts w:ascii="Calibri" w:eastAsia="Calibri" w:hAnsi="Calibri" w:cs="Times New Roman"/>
              </w:rPr>
              <w:t xml:space="preserve"> the population age distribution.</w:t>
            </w:r>
          </w:p>
        </w:tc>
        <w:tc>
          <w:tcPr>
            <w:tcW w:w="1440" w:type="dxa"/>
          </w:tcPr>
          <w:p w:rsidR="00A15A1B" w:rsidRDefault="00A15A1B" w:rsidP="006F704B">
            <w:pPr>
              <w:rPr>
                <w:rFonts w:ascii="Calibri" w:eastAsia="Calibri" w:hAnsi="Calibri" w:cs="Times New Roman"/>
              </w:rPr>
            </w:pPr>
          </w:p>
        </w:tc>
      </w:tr>
      <w:tr w:rsidR="00A15A1B" w:rsidRPr="002D5939" w:rsidTr="00A15A1B">
        <w:tc>
          <w:tcPr>
            <w:tcW w:w="3330" w:type="dxa"/>
          </w:tcPr>
          <w:p w:rsidR="00A15A1B" w:rsidRDefault="00A15A1B" w:rsidP="00A207AC">
            <w:r>
              <w:t>Delay before Sabin reversion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p>
        </w:tc>
        <w:tc>
          <w:tcPr>
            <w:tcW w:w="1530" w:type="dxa"/>
          </w:tcPr>
          <w:p w:rsidR="00A15A1B" w:rsidRDefault="00A15A1B" w:rsidP="006F704B">
            <w:r>
              <w:t>86 (time of final outbreak response campaign)</w:t>
            </w:r>
          </w:p>
        </w:tc>
        <w:tc>
          <w:tcPr>
            <w:tcW w:w="4320" w:type="dxa"/>
          </w:tcPr>
          <w:p w:rsidR="00A15A1B" w:rsidRDefault="00A15A1B" w:rsidP="00A207AC">
            <w:pPr>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A15A1B" w:rsidP="00A207AC">
            <w:pPr>
              <w:rPr>
                <w:rFonts w:ascii="Calibri" w:eastAsia="Calibri" w:hAnsi="Calibri" w:cs="Times New Roman"/>
              </w:rPr>
            </w:pPr>
          </w:p>
        </w:tc>
      </w:tr>
      <w:tr w:rsidR="00A15A1B" w:rsidRPr="002D5939" w:rsidTr="00A15A1B">
        <w:tc>
          <w:tcPr>
            <w:tcW w:w="3330" w:type="dxa"/>
          </w:tcPr>
          <w:p w:rsidR="00A15A1B" w:rsidRDefault="00A15A1B" w:rsidP="00A207AC">
            <w:r>
              <w:t>Timescale of Sabin reversion (</w:t>
            </w:r>
            <m:oMath>
              <m:r>
                <w:rPr>
                  <w:rFonts w:ascii="Cambria Math" w:hAnsi="Cambria Math"/>
                </w:rPr>
                <m:t>λ)</m:t>
              </m:r>
            </m:oMath>
          </w:p>
        </w:tc>
        <w:tc>
          <w:tcPr>
            <w:tcW w:w="1530" w:type="dxa"/>
          </w:tcPr>
          <w:p w:rsidR="00A15A1B" w:rsidRDefault="00A15A1B" w:rsidP="006F704B">
            <w:r>
              <w:t>{60, 150}</w:t>
            </w:r>
          </w:p>
        </w:tc>
        <w:tc>
          <w:tcPr>
            <w:tcW w:w="4320" w:type="dxa"/>
          </w:tcPr>
          <w:p w:rsidR="00A15A1B" w:rsidRDefault="00A15A1B" w:rsidP="00226F59">
            <w:pPr>
              <w:keepNext/>
              <w:rPr>
                <w:rFonts w:ascii="Calibri" w:eastAsia="Calibri" w:hAnsi="Calibri" w:cs="Times New Roman"/>
              </w:rPr>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gβ</m:t>
                                    </m:r>
                                  </m:e>
                                  <m:sub>
                                    <m:r>
                                      <w:rPr>
                                        <w:rFonts w:ascii="Cambria Math" w:hAnsi="Cambria Math"/>
                                      </w:rPr>
                                      <m:t>f</m:t>
                                    </m:r>
                                  </m:sub>
                                </m:sSub>
                              </m:e>
                              <m:e>
                                <m:r>
                                  <w:rPr>
                                    <w:rFonts w:ascii="Cambria Math" w:hAnsi="Cambria Math"/>
                                  </w:rPr>
                                  <m:t xml:space="preserve">                                       ,t&lt;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1-g</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r>
                                              <w:rPr>
                                                <w:rFonts w:ascii="Cambria Math" w:hAnsi="Cambria Math"/>
                                              </w:rPr>
                                              <m:t>λ</m:t>
                                            </m:r>
                                          </m:den>
                                        </m:f>
                                      </m:sup>
                                    </m:sSup>
                                  </m:e>
                                </m:d>
                              </m:e>
                              <m:e>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d</m:t>
                                    </m:r>
                                  </m:sub>
                                </m:sSub>
                              </m:e>
                            </m:mr>
                          </m:m>
                        </m:e>
                      </m:mr>
                    </m:m>
                  </m:e>
                </m:d>
              </m:oMath>
            </m:oMathPara>
          </w:p>
        </w:tc>
        <w:tc>
          <w:tcPr>
            <w:tcW w:w="1440" w:type="dxa"/>
          </w:tcPr>
          <w:p w:rsidR="00A15A1B" w:rsidRDefault="00716908" w:rsidP="000A5003">
            <w:pPr>
              <w:keepNext/>
              <w:rPr>
                <w:rFonts w:ascii="Calibri" w:eastAsia="Calibri" w:hAnsi="Calibri" w:cs="Times New Roman"/>
              </w:rPr>
            </w:pPr>
            <w:r>
              <w:rPr>
                <w:rFonts w:ascii="Calibri" w:eastAsia="Calibri" w:hAnsi="Calibri" w:cs="Times New Roman"/>
              </w:rPr>
              <w:fldChar w:fldCharType="begin" w:fldLock="1"/>
            </w:r>
            <w:r w:rsidR="000A5003">
              <w:rPr>
                <w:rFonts w:ascii="Calibri" w:eastAsia="Calibri" w:hAnsi="Calibri" w:cs="Times New Roman"/>
              </w:rPr>
              <w:instrText>ADDIN CSL_CITATION { "citationItems" : [ { "id" : "ITEM-1", "itemData" : { "DOI" : "10.1111/risa.12022", "ISSN" : "1539-6924", "PMID" : "23470192", "abstract" : "The live, attenuated oral poliovirus vaccine (OPV) provides a powerful tool for controlling and stopping the transmission of wild polioviruses (WPVs), although the risks of vaccine-associated paralytic polio (VAPP) and circulating vaccine-derived poliovirus (cVDPV) outbreaks exist as long as OPV remains in use. Understanding the dynamics of cVDPV emergence and outbreaks as a function of population immunity and other risk factors may help to improve risk management and the development of strategies to respond to possible outbreaks. We performed a comprehensive review of the literature related to the process of OPV evolution and information available from actual experiences with cVDPV outbreaks. Only a relatively small fraction of poliovirus infections cause symptoms, which makes direct observation of the trajectory of OPV evolution within a population impractical and leads to significant uncertainty. Despite a large global surveillance system, the existing genetic sequence data largely provide information about transmitted virulent polioviruses that caused acute flaccid paralysis, and essentially no data track the changes that occur in OPV sequences as the viruses transmit largely asymptomatically through real populations with suboptimal immunity. We updated estimates of cVDPV risks based on actual experiences and identified the many limitations in the existing data on poliovirus transmission and immunity and OPV virus evolution that complicate modeling. Modelers should explore the space of potential model formulations and inputs consistent with the available evidence and future studies should seek to improve our understanding of the OPV virus evolution process to provide better information for policymakers working to manage cVDPV risks.", "author" : [ { "dropping-particle" : "", "family" : "Duintjer Tebbens", "given" : "Radboud J", "non-dropping-particle" : "", "parse-names" : false, "suffix" : "" }, { "dropping-particle" : "", "family" : "Pallansch", "given" : "Mark A", "non-dropping-particle" : "", "parse-names" : false, "suffix" : "" }, { "dropping-particle" : "", "family" : "Kim", "given" : "Jong-Hoon", "non-dropping-particle" : "", "parse-names" : false, "suffix" : "" }, { "dropping-particle" : "", "family" : "Burns", "given" : "Cara C", "non-dropping-particle" : "", "parse-names" : false, "suffix" : "" }, { "dropping-particle" : "", "family" : "Kew", "given" : "Olen M", "non-dropping-particle" : "", "parse-names" : false, "suffix" : "" }, { "dropping-particle" : "", "family" : "Oberste", "given" : "M Steven", "non-dropping-particle" : "", "parse-names" : false, "suffix" : "" }, { "dropping-particle" : "", "family" : "Diop", "given" : "Ousmane M", "non-dropping-particle" : "", "parse-names" : false, "suffix" : "" }, { "dropping-particle" : "", "family" : "Wassilak", "given" : "Steven G F", "non-dropping-particle" : "", "parse-names" : false, "suffix" : "" }, { "dropping-particle" : "", "family" : "Cochi", "given" : "Stephen L", "non-dropping-particle" : "", "parse-names" : false, "suffix" : "" }, { "dropping-particle" : "", "family" : "Thompson", "given" : "Kimberly M", "non-dropping-particle" : "", "parse-names" : false, "suffix" : "" } ], "container-title" : "Risk analysis : an official publication of the Society for Risk Analysis", "id" : "ITEM-1", "issue" : "4", "issued" : { "date-parts" : [ [ "2013", "4" ] ] }, "page" : "680-702", "title" : "Oral poliovirus vaccine evolution and insights relevant to modeling the risks of circulating vaccine-derived polioviruses (cVDPVs).", "type" : "article-journal", "volume" : "33" }, "uris" : [ "http://www.mendeley.com/documents/?uuid=60c59e46-ee49-3212-9bf3-c478c538342f" ] } ], "mendeley" : { "formattedCitation" : "&lt;sup&gt;9&lt;/sup&gt;", "plainTextFormattedCitation" : "9", "previouslyFormattedCitation" : "&lt;sup&gt;7&lt;/sup&gt;" }, "properties" : { "noteIndex" : 0 }, "schema" : "https://github.com/citation-style-language/schema/raw/master/csl-citation.json" }</w:instrText>
            </w:r>
            <w:r>
              <w:rPr>
                <w:rFonts w:ascii="Calibri" w:eastAsia="Calibri" w:hAnsi="Calibri" w:cs="Times New Roman"/>
              </w:rPr>
              <w:fldChar w:fldCharType="separate"/>
            </w:r>
            <w:r w:rsidR="000A5003" w:rsidRPr="000A5003">
              <w:rPr>
                <w:rFonts w:ascii="Calibri" w:eastAsia="Calibri" w:hAnsi="Calibri" w:cs="Times New Roman"/>
                <w:noProof/>
                <w:vertAlign w:val="superscript"/>
              </w:rPr>
              <w:t>9</w:t>
            </w:r>
            <w:r>
              <w:rPr>
                <w:rFonts w:ascii="Calibri" w:eastAsia="Calibri" w:hAnsi="Calibri" w:cs="Times New Roman"/>
              </w:rPr>
              <w:fldChar w:fldCharType="end"/>
            </w:r>
          </w:p>
        </w:tc>
      </w:tr>
    </w:tbl>
    <w:p w:rsidR="002D5939" w:rsidRPr="002D5939" w:rsidRDefault="00226F59" w:rsidP="00226F59">
      <w:pPr>
        <w:pStyle w:val="Caption"/>
      </w:pPr>
      <w:bookmarkStart w:id="0" w:name="_Ref458507313"/>
      <w:r>
        <w:t xml:space="preserve">Table </w:t>
      </w:r>
      <w:fldSimple w:instr=" SEQ Table \* ARABIC ">
        <w:r>
          <w:rPr>
            <w:noProof/>
          </w:rPr>
          <w:t>1</w:t>
        </w:r>
      </w:fldSimple>
      <w:bookmarkEnd w:id="0"/>
      <w:r>
        <w:t>: Description of all model parameters relevant to the study</w:t>
      </w:r>
    </w:p>
    <w:p w:rsidR="00671627" w:rsidRDefault="00671627" w:rsidP="00DD2597">
      <w:pPr>
        <w:rPr>
          <w:b/>
        </w:rPr>
      </w:pPr>
    </w:p>
    <w:p w:rsidR="00DD2597" w:rsidRPr="00C63835" w:rsidRDefault="00DD2597" w:rsidP="00DD2597">
      <w:r>
        <w:rPr>
          <w:b/>
        </w:rPr>
        <w:t>Calibration</w:t>
      </w:r>
    </w:p>
    <w:p w:rsidR="00FF7A91" w:rsidRDefault="00FF7A91" w:rsidP="00FF7A91">
      <w:r>
        <w:t xml:space="preserve">In 2008, a seasonal peak in endemic transmission in Nigeria apparently seeded outbreaks that propagated over the following two years throughout the West African countries modeled in this work.  Comparing this historical outbreak with the behavior of modeled outbreaks allows for qualitative bounds to be placed on the magnitude of migration rates in the model.  </w:t>
      </w:r>
      <w:r w:rsidR="00555CB6">
        <w:fldChar w:fldCharType="begin"/>
      </w:r>
      <w:r w:rsidR="00555CB6">
        <w:instrText xml:space="preserve"> REF _Ref459891284 \h </w:instrText>
      </w:r>
      <w:r w:rsidR="00555CB6">
        <w:fldChar w:fldCharType="separate"/>
      </w:r>
      <w:r w:rsidR="00555CB6">
        <w:t xml:space="preserve">Figure </w:t>
      </w:r>
      <w:r w:rsidR="00555CB6">
        <w:rPr>
          <w:noProof/>
        </w:rPr>
        <w:t>1</w:t>
      </w:r>
      <w:r w:rsidR="00555CB6">
        <w:fldChar w:fldCharType="end"/>
      </w:r>
      <w:r w:rsidR="00555CB6">
        <w:t xml:space="preserve"> </w:t>
      </w:r>
      <w:r>
        <w:t>presents this historical outbreak, with countries placed into a rough ordering from northwest at the top to southeast at the bottom, producing a striking traveling epidemic pattern.</w:t>
      </w:r>
    </w:p>
    <w:p w:rsidR="000104BD" w:rsidRDefault="00A21F7F" w:rsidP="000104BD">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1.5pt">
            <v:imagedata r:id="rId6" o:title="outbreak_data"/>
          </v:shape>
        </w:pict>
      </w:r>
    </w:p>
    <w:p w:rsidR="000104BD" w:rsidRPr="00E63A02" w:rsidRDefault="000104BD" w:rsidP="000104BD">
      <w:pPr>
        <w:pStyle w:val="Caption"/>
      </w:pPr>
      <w:bookmarkStart w:id="1" w:name="_Ref459891284"/>
      <w:r>
        <w:t xml:space="preserve">Figure </w:t>
      </w:r>
      <w:fldSimple w:instr=" SEQ Figure \* ARABIC ">
        <w:r w:rsidR="00D4305D">
          <w:rPr>
            <w:noProof/>
          </w:rPr>
          <w:t>1</w:t>
        </w:r>
      </w:fldSimple>
      <w:bookmarkEnd w:id="1"/>
      <w:r>
        <w:t xml:space="preserve">: Wild Poliovirus Type 1 outbreak in West Africa, 2008-2010. Countries are roughly ordered northwest to southeast from top to bottom.  </w:t>
      </w:r>
    </w:p>
    <w:p w:rsidR="009C5E9D" w:rsidRDefault="00E63A02">
      <w:r>
        <w:t xml:space="preserve">Calibrating the properties of the </w:t>
      </w:r>
      <w:r w:rsidR="00FF7A91">
        <w:t xml:space="preserve">modeled </w:t>
      </w:r>
      <w:r>
        <w:t xml:space="preserve">migration network to </w:t>
      </w:r>
      <w:r w:rsidR="00FF7A91">
        <w:t xml:space="preserve">this </w:t>
      </w:r>
      <w:r>
        <w:t>past poliovirus outbreak presents inherent difficulties – due to the case-to-infection ratio, the spread of infection is poorly sampled; disease propagation on the network is stochastic</w:t>
      </w:r>
      <w:r w:rsidR="009C5E9D">
        <w:t>, and only a single observation of propagation on the network is observed</w:t>
      </w:r>
      <w:r>
        <w:t>; and the propagation process depends not only on the structure of the migration network, but also on the uncertain transmissibility and immunity conditions in the nodes of the network.  For these reasons, a detailed calibra</w:t>
      </w:r>
      <w:r w:rsidR="00FF7A91">
        <w:t>tion of the migration models to the full spatial infection traces is not attempted.  R</w:t>
      </w:r>
      <w:r>
        <w:t xml:space="preserve">ather, </w:t>
      </w:r>
      <w:r w:rsidR="00FF7A91">
        <w:t xml:space="preserve">calibration </w:t>
      </w:r>
      <w:r w:rsidR="009C5E9D">
        <w:t xml:space="preserve">qualitatively </w:t>
      </w:r>
      <w:r w:rsidR="00FF7A91">
        <w:t xml:space="preserve">targets </w:t>
      </w:r>
      <w:r>
        <w:t xml:space="preserve">the </w:t>
      </w:r>
      <w:r w:rsidR="009C5E9D">
        <w:t xml:space="preserve">temporal behavior of the outbreak, seeking to </w:t>
      </w:r>
      <w:r w:rsidR="00DB2A38">
        <w:t>minimize the differences between</w:t>
      </w:r>
      <w:r w:rsidR="009C5E9D">
        <w:t xml:space="preserve"> a “case-weighted time” in each country from data</w:t>
      </w:r>
      <w:r w:rsidR="00DB2A38">
        <w:t xml:space="preserve"> (Eq. </w:t>
      </w:r>
      <w:r w:rsidR="00555CB6">
        <w:t>15</w:t>
      </w:r>
      <w:r w:rsidR="00DB2A38">
        <w:fldChar w:fldCharType="begin"/>
      </w:r>
      <w:r w:rsidR="00DB2A38">
        <w:instrText xml:space="preserve"> REF _Ref459817352 \h </w:instrText>
      </w:r>
      <w:r w:rsidR="00DB2A38">
        <w:fldChar w:fldCharType="end"/>
      </w:r>
      <w:r w:rsidR="00DB2A38">
        <w:t>)</w:t>
      </w:r>
      <w:r w:rsidR="009C5E9D">
        <w:t xml:space="preserve"> and “incidence-weighted time” from simulation in each country</w:t>
      </w:r>
      <w:r w:rsidR="00DB2A38">
        <w:t xml:space="preserve"> (Eq. </w:t>
      </w:r>
      <w:r w:rsidR="00555CB6">
        <w:t>16</w:t>
      </w:r>
      <w:r w:rsidR="00DB2A38">
        <w:t>)</w:t>
      </w:r>
      <w:r w:rsidR="009C5E9D">
        <w:t>.</w:t>
      </w:r>
      <w:r>
        <w:t xml:space="preserve"> </w:t>
      </w:r>
      <w:r w:rsidR="009C5E9D">
        <w:t xml:space="preserve"> The relative amplitudes of the outbreaks in different countries are not targeted as part of the calibration.</w:t>
      </w:r>
    </w:p>
    <w:tbl>
      <w:tblPr>
        <w:tblStyle w:val="TableGrid"/>
        <w:tblW w:w="0" w:type="auto"/>
        <w:tblLook w:val="04A0" w:firstRow="1" w:lastRow="0" w:firstColumn="1" w:lastColumn="0" w:noHBand="0" w:noVBand="1"/>
      </w:tblPr>
      <w:tblGrid>
        <w:gridCol w:w="8005"/>
        <w:gridCol w:w="1345"/>
      </w:tblGrid>
      <w:tr w:rsidR="00DB2A38" w:rsidTr="00DB2A38">
        <w:tc>
          <w:tcPr>
            <w:tcW w:w="8005" w:type="dxa"/>
          </w:tcPr>
          <w:p w:rsidR="00DB2A38" w:rsidRPr="00555CB6" w:rsidRDefault="009C0BDF" w:rsidP="00DB2A38">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 t</m:t>
                                </m:r>
                              </m:sub>
                            </m:sSub>
                          </m:e>
                        </m:d>
                      </m:e>
                    </m:nary>
                  </m:den>
                </m:f>
                <m:r>
                  <w:rPr>
                    <w:rFonts w:ascii="Cambria Math" w:hAnsi="Cambria Math"/>
                  </w:rPr>
                  <m:t xml:space="preserve"> </m:t>
                </m:r>
              </m:oMath>
            </m:oMathPara>
          </w:p>
        </w:tc>
        <w:tc>
          <w:tcPr>
            <w:tcW w:w="1345" w:type="dxa"/>
          </w:tcPr>
          <w:p w:rsidR="00DB2A38" w:rsidRPr="00555CB6" w:rsidRDefault="009C0BDF" w:rsidP="00555CB6">
            <w:pPr>
              <w:pStyle w:val="Caption"/>
              <w:rPr>
                <w:b w:val="0"/>
                <w:color w:val="auto"/>
              </w:rPr>
            </w:pPr>
            <m:oMathPara>
              <m:oMath>
                <m:d>
                  <m:dPr>
                    <m:ctrlPr>
                      <w:rPr>
                        <w:rFonts w:ascii="Cambria Math" w:eastAsiaTheme="minorEastAsia" w:hAnsi="Cambria Math"/>
                        <w:b w:val="0"/>
                        <w:i/>
                        <w:color w:val="auto"/>
                      </w:rPr>
                    </m:ctrlPr>
                  </m:dPr>
                  <m:e>
                    <m:r>
                      <m:rPr>
                        <m:sty m:val="bi"/>
                      </m:rPr>
                      <w:rPr>
                        <w:rFonts w:ascii="Cambria Math" w:eastAsiaTheme="minorEastAsia" w:hAnsi="Cambria Math"/>
                        <w:color w:val="auto"/>
                      </w:rPr>
                      <m:t>15</m:t>
                    </m:r>
                  </m:e>
                </m:d>
              </m:oMath>
            </m:oMathPara>
          </w:p>
        </w:tc>
      </w:tr>
      <w:tr w:rsidR="00DB2A38" w:rsidTr="00DB2A38">
        <w:tc>
          <w:tcPr>
            <w:tcW w:w="8005" w:type="dxa"/>
          </w:tcPr>
          <w:p w:rsidR="00DB2A38" w:rsidRPr="00555CB6" w:rsidRDefault="009C0BDF" w:rsidP="00DB2A38">
            <w:pPr>
              <w:jc w:val="center"/>
              <w:rPr>
                <w:rFonts w:eastAsiaTheme="minorEastAsia"/>
              </w:rP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r>
                  <w:rPr>
                    <w:rFonts w:ascii="Cambria Math" w:hAnsi="Cambria Math"/>
                  </w:rPr>
                  <m:t>=</m:t>
                </m:r>
                <m:f>
                  <m:fPr>
                    <m:ctrlPr>
                      <w:rPr>
                        <w:rFonts w:ascii="Cambria Math" w:hAnsi="Cambria Math"/>
                        <w:i/>
                      </w:rPr>
                    </m:ctrlPr>
                  </m:fPr>
                  <m:num>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t</m:t>
                            </m:r>
                          </m:sub>
                          <m:sup/>
                          <m:e>
                            <m:r>
                              <w:rPr>
                                <w:rFonts w:ascii="Cambria Math" w:hAnsi="Cambria Math"/>
                              </w:rPr>
                              <m:t>t*</m:t>
                            </m:r>
                            <m:sSub>
                              <m:sSubPr>
                                <m:ctrlPr>
                                  <w:rPr>
                                    <w:rFonts w:ascii="Cambria Math" w:hAnsi="Cambria Math"/>
                                    <w:i/>
                                  </w:rPr>
                                </m:ctrlPr>
                              </m:sSubPr>
                              <m:e>
                                <m:r>
                                  <w:rPr>
                                    <w:rFonts w:ascii="Cambria Math" w:hAnsi="Cambria Math"/>
                                  </w:rPr>
                                  <m:t>I</m:t>
                                </m:r>
                              </m:e>
                              <m:sub>
                                <m:r>
                                  <w:rPr>
                                    <w:rFonts w:ascii="Cambria Math" w:hAnsi="Cambria Math"/>
                                  </w:rPr>
                                  <m:t>j,t</m:t>
                                </m:r>
                              </m:sub>
                            </m:sSub>
                          </m:e>
                        </m:nary>
                      </m:e>
                    </m:d>
                  </m:num>
                  <m:den>
                    <m:nary>
                      <m:naryPr>
                        <m:chr m:val="∑"/>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j, t</m:t>
                                </m:r>
                              </m:sub>
                            </m:sSub>
                          </m:e>
                        </m:d>
                      </m:e>
                    </m:nary>
                  </m:den>
                </m:f>
                <m:r>
                  <w:rPr>
                    <w:rFonts w:ascii="Cambria Math" w:hAnsi="Cambria Math"/>
                  </w:rPr>
                  <m:t xml:space="preserve"> </m:t>
                </m:r>
              </m:oMath>
            </m:oMathPara>
          </w:p>
        </w:tc>
        <w:tc>
          <w:tcPr>
            <w:tcW w:w="1345" w:type="dxa"/>
          </w:tcPr>
          <w:p w:rsidR="00DB2A38" w:rsidRPr="00555CB6" w:rsidRDefault="009C0BDF" w:rsidP="00555CB6">
            <w:pPr>
              <w:pStyle w:val="Caption"/>
              <w:rPr>
                <w:b w:val="0"/>
                <w:color w:val="auto"/>
              </w:rPr>
            </w:pPr>
            <m:oMathPara>
              <m:oMath>
                <m:d>
                  <m:dPr>
                    <m:ctrlPr>
                      <w:rPr>
                        <w:rFonts w:ascii="Cambria Math" w:eastAsiaTheme="minorEastAsia" w:hAnsi="Cambria Math"/>
                        <w:b w:val="0"/>
                        <w:i/>
                        <w:color w:val="auto"/>
                      </w:rPr>
                    </m:ctrlPr>
                  </m:dPr>
                  <m:e>
                    <m:r>
                      <m:rPr>
                        <m:sty m:val="bi"/>
                      </m:rPr>
                      <w:rPr>
                        <w:rFonts w:ascii="Cambria Math" w:eastAsiaTheme="minorEastAsia" w:hAnsi="Cambria Math"/>
                        <w:color w:val="auto"/>
                      </w:rPr>
                      <m:t>16</m:t>
                    </m:r>
                  </m:e>
                </m:d>
              </m:oMath>
            </m:oMathPara>
          </w:p>
        </w:tc>
      </w:tr>
      <w:tr w:rsidR="00DB2A38" w:rsidTr="00DB2A38">
        <w:tc>
          <w:tcPr>
            <w:tcW w:w="8005" w:type="dxa"/>
          </w:tcPr>
          <w:p w:rsidR="00DB2A38" w:rsidRPr="00555CB6" w:rsidRDefault="00555CB6" w:rsidP="00DB2A38">
            <w:pPr>
              <w:jc w:val="center"/>
              <w:rPr>
                <w:rFonts w:eastAsiaTheme="minorEastAsia"/>
              </w:rPr>
            </w:pPr>
            <m:oMath>
              <m:r>
                <w:rPr>
                  <w:rFonts w:ascii="Cambria Math" w:hAnsi="Cambria Math"/>
                </w:rPr>
                <m:t xml:space="preserve">σ=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data</m:t>
                                      </m:r>
                                    </m:sub>
                                  </m:sSub>
                                </m:e>
                              </m:bar>
                              <m:r>
                                <w:rPr>
                                  <w:rFonts w:ascii="Cambria Math" w:hAnsi="Cambria Math"/>
                                </w:rPr>
                                <m:t xml:space="preserve">- </m:t>
                              </m:r>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e>
                          </m:d>
                        </m:e>
                        <m:sup>
                          <m:r>
                            <w:rPr>
                              <w:rFonts w:ascii="Cambria Math" w:hAnsi="Cambria Math"/>
                            </w:rPr>
                            <m:t>2</m:t>
                          </m:r>
                        </m:sup>
                      </m:sSup>
                    </m:e>
                  </m:nary>
                </m:e>
              </m:rad>
              <m:r>
                <w:rPr>
                  <w:rFonts w:ascii="Cambria Math" w:hAnsi="Cambria Math"/>
                </w:rPr>
                <m:t xml:space="preserve"> </m:t>
              </m:r>
            </m:oMath>
            <w:r w:rsidR="00DB2A38" w:rsidRPr="00555CB6">
              <w:rPr>
                <w:rFonts w:eastAsiaTheme="minorEastAsia"/>
              </w:rPr>
              <w:t xml:space="preserve">  </w:t>
            </w:r>
            <m:oMath>
              <m:r>
                <w:rPr>
                  <w:rFonts w:ascii="Cambria Math" w:hAnsi="Cambria Math"/>
                </w:rPr>
                <m:t xml:space="preserve"> </m:t>
              </m:r>
            </m:oMath>
          </w:p>
        </w:tc>
        <w:tc>
          <w:tcPr>
            <w:tcW w:w="1345" w:type="dxa"/>
          </w:tcPr>
          <w:p w:rsidR="00DB2A38" w:rsidRPr="00555CB6" w:rsidRDefault="009C0BDF" w:rsidP="00555CB6">
            <w:pPr>
              <w:pStyle w:val="Caption"/>
              <w:rPr>
                <w:b w:val="0"/>
                <w:color w:val="auto"/>
              </w:rPr>
            </w:pPr>
            <m:oMathPara>
              <m:oMath>
                <m:d>
                  <m:dPr>
                    <m:ctrlPr>
                      <w:rPr>
                        <w:rFonts w:ascii="Cambria Math" w:eastAsiaTheme="minorEastAsia" w:hAnsi="Cambria Math"/>
                        <w:b w:val="0"/>
                        <w:i/>
                        <w:color w:val="auto"/>
                      </w:rPr>
                    </m:ctrlPr>
                  </m:dPr>
                  <m:e>
                    <m:r>
                      <m:rPr>
                        <m:sty m:val="bi"/>
                      </m:rPr>
                      <w:rPr>
                        <w:rFonts w:ascii="Cambria Math" w:eastAsiaTheme="minorEastAsia" w:hAnsi="Cambria Math"/>
                        <w:color w:val="auto"/>
                      </w:rPr>
                      <m:t>17</m:t>
                    </m:r>
                  </m:e>
                </m:d>
              </m:oMath>
            </m:oMathPara>
          </w:p>
        </w:tc>
      </w:tr>
    </w:tbl>
    <w:p w:rsidR="00FE45FA" w:rsidRDefault="00FE45FA">
      <w:pPr>
        <w:rPr>
          <w:rFonts w:eastAsiaTheme="minorEastAsia"/>
        </w:rPr>
      </w:pPr>
      <w:r>
        <w:t xml:space="preserve">With </w:t>
      </w:r>
      <w:r>
        <w:rPr>
          <w:i/>
        </w:rPr>
        <w:t xml:space="preserve">t </w:t>
      </w:r>
      <w:r>
        <w:t xml:space="preserve">stepping in 30-day increments beginning on Jan 1, 2008; </w:t>
      </w:r>
      <m:oMath>
        <m:sSub>
          <m:sSubPr>
            <m:ctrlPr>
              <w:rPr>
                <w:rFonts w:ascii="Cambria Math" w:hAnsi="Cambria Math"/>
                <w:i/>
              </w:rPr>
            </m:ctrlPr>
          </m:sSubPr>
          <m:e>
            <m:r>
              <w:rPr>
                <w:rFonts w:ascii="Cambria Math" w:hAnsi="Cambria Math"/>
              </w:rPr>
              <m:t>C</m:t>
            </m:r>
          </m:e>
          <m:sub>
            <m:r>
              <w:rPr>
                <w:rFonts w:ascii="Cambria Math" w:hAnsi="Cambria Math"/>
              </w:rPr>
              <m:t>j,t</m:t>
            </m:r>
          </m:sub>
        </m:sSub>
      </m:oMath>
      <w:r>
        <w:rPr>
          <w:rFonts w:eastAsiaTheme="minorEastAsia"/>
        </w:rPr>
        <w:t xml:space="preserve"> indicating the number of cases in country </w:t>
      </w:r>
      <w:r w:rsidRPr="00FE45FA">
        <w:rPr>
          <w:rFonts w:eastAsiaTheme="minorEastAsia"/>
          <w:i/>
        </w:rPr>
        <w:t>j</w:t>
      </w:r>
      <w:r>
        <w:t xml:space="preserve"> during time bin </w:t>
      </w:r>
      <w:r w:rsidRPr="00FE45FA">
        <w:rPr>
          <w:i/>
        </w:rPr>
        <w:t>t</w:t>
      </w:r>
      <w:r>
        <w:t xml:space="preserve">, </w:t>
      </w:r>
      <w:r>
        <w:rPr>
          <w:rFonts w:eastAsiaTheme="minorEastAsia"/>
        </w:rPr>
        <w:t xml:space="preserve">and </w:t>
      </w:r>
      <m:oMath>
        <m:sSub>
          <m:sSubPr>
            <m:ctrlPr>
              <w:rPr>
                <w:rFonts w:ascii="Cambria Math" w:hAnsi="Cambria Math"/>
                <w:i/>
              </w:rPr>
            </m:ctrlPr>
          </m:sSubPr>
          <m:e>
            <m:r>
              <w:rPr>
                <w:rFonts w:ascii="Cambria Math" w:hAnsi="Cambria Math"/>
              </w:rPr>
              <m:t>I</m:t>
            </m:r>
          </m:e>
          <m:sub>
            <m:r>
              <w:rPr>
                <w:rFonts w:ascii="Cambria Math" w:hAnsi="Cambria Math"/>
              </w:rPr>
              <m:t>j,t</m:t>
            </m:r>
          </m:sub>
        </m:sSub>
      </m:oMath>
      <w:r>
        <w:rPr>
          <w:rFonts w:eastAsiaTheme="minorEastAsia"/>
        </w:rPr>
        <w:t xml:space="preserve"> indicating the number of infections in country </w:t>
      </w:r>
      <w:r>
        <w:rPr>
          <w:rFonts w:eastAsiaTheme="minorEastAsia"/>
          <w:i/>
        </w:rPr>
        <w:t xml:space="preserve">j </w:t>
      </w:r>
      <w:r>
        <w:rPr>
          <w:rFonts w:eastAsiaTheme="minorEastAsia"/>
        </w:rPr>
        <w:t xml:space="preserve">during time bin </w:t>
      </w:r>
      <w:r w:rsidRPr="00FE45FA">
        <w:rPr>
          <w:rFonts w:eastAsiaTheme="minorEastAsia"/>
          <w:i/>
        </w:rPr>
        <w:t>t</w:t>
      </w:r>
      <w:r>
        <w:rPr>
          <w:rFonts w:eastAsiaTheme="minorEastAsia"/>
        </w:rPr>
        <w:t xml:space="preserve">. As the exact peak of the Nigeria outbreak may shift from simulation to simulation,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t</m:t>
                </m:r>
              </m:e>
              <m:sub>
                <m:r>
                  <w:rPr>
                    <w:rFonts w:ascii="Cambria Math" w:hAnsi="Cambria Math"/>
                  </w:rPr>
                  <m:t>j, sim</m:t>
                </m:r>
              </m:sub>
            </m:sSub>
          </m:e>
        </m:bar>
      </m:oMath>
      <w:r>
        <w:rPr>
          <w:rFonts w:eastAsiaTheme="minorEastAsia"/>
        </w:rPr>
        <w:t xml:space="preserve"> is defined relative </w:t>
      </w:r>
      <w:r>
        <w:rPr>
          <w:rFonts w:eastAsiaTheme="minorEastAsia"/>
        </w:rPr>
        <w:lastRenderedPageBreak/>
        <w:t xml:space="preserve">to that peak in each simulation.  </w:t>
      </w:r>
      <w:r w:rsidR="00DB2A38" w:rsidRPr="00FE45FA">
        <w:t>The</w:t>
      </w:r>
      <w:r w:rsidR="00DB2A38">
        <w:t xml:space="preserve"> calibration aims to minimize the term </w:t>
      </w:r>
      <m:oMath>
        <m:r>
          <w:rPr>
            <w:rFonts w:ascii="Cambria Math" w:hAnsi="Cambria Math"/>
          </w:rPr>
          <m:t>σ</m:t>
        </m:r>
      </m:oMath>
      <w:r w:rsidR="00DB2A38">
        <w:rPr>
          <w:rFonts w:eastAsiaTheme="minorEastAsia"/>
        </w:rPr>
        <w:t xml:space="preserve"> defined in Eq. </w:t>
      </w:r>
      <w:r w:rsidR="00555CB6">
        <w:rPr>
          <w:rFonts w:eastAsiaTheme="minorEastAsia"/>
        </w:rPr>
        <w:t>17</w:t>
      </w:r>
      <w:r w:rsidR="00DB2A38">
        <w:rPr>
          <w:rFonts w:eastAsiaTheme="minorEastAsia"/>
        </w:rPr>
        <w:t xml:space="preserve"> above (in practice, it actually aims to maximize </w:t>
      </w:r>
      <m:oMath>
        <m:r>
          <w:rPr>
            <w:rFonts w:ascii="Cambria Math" w:hAnsi="Cambria Math"/>
          </w:rPr>
          <m:t>-log10(σ)</m:t>
        </m:r>
      </m:oMath>
      <w:r w:rsidR="00DB2A38">
        <w:rPr>
          <w:rFonts w:eastAsiaTheme="minorEastAsia"/>
        </w:rPr>
        <w:t xml:space="preserve">).  </w:t>
      </w:r>
    </w:p>
    <w:p w:rsidR="00DB2A38" w:rsidRDefault="00DB2A38">
      <w:pPr>
        <w:rPr>
          <w:rFonts w:eastAsiaTheme="minorEastAsia"/>
        </w:rPr>
      </w:pPr>
      <w:r>
        <w:rPr>
          <w:rFonts w:eastAsiaTheme="minorEastAsia"/>
        </w:rPr>
        <w:t>Incremental Mixture Importance Sampling (IMIS) is used to sample and re-sample a 2D parameter space of R</w:t>
      </w:r>
      <w:r>
        <w:rPr>
          <w:rFonts w:eastAsiaTheme="minorEastAsia"/>
          <w:vertAlign w:val="subscript"/>
        </w:rPr>
        <w:t>0</w:t>
      </w:r>
      <w:r>
        <w:rPr>
          <w:rFonts w:eastAsiaTheme="minorEastAsia"/>
        </w:rPr>
        <w:t xml:space="preserve"> and overall migration rate.</w:t>
      </w:r>
      <w:r>
        <w:rPr>
          <w:rFonts w:eastAsiaTheme="minorEastAsia"/>
        </w:rPr>
        <w:fldChar w:fldCharType="begin" w:fldLock="1"/>
      </w:r>
      <w:r w:rsidR="000A5003">
        <w:rPr>
          <w:rFonts w:eastAsiaTheme="minorEastAsia"/>
        </w:rPr>
        <w:instrText>ADDIN CSL_CITATION { "citationItems" : [ { "id" : "ITEM-1", "itemData" : { "DOI" : "10.1111/j.1541-0420.2010.01399.x", "ISSN" : "1541-0420", "PMID" : "20222935", "abstract" : "The Joint United Nations Programme on HIV/AIDS (UNAIDS) has decided to use Bayesian melding as the basis for its probabilistic projections of HIV prevalence in countries with generalized epidemics. This combines a mechanistic epidemiological model, prevalence data, and expert opinion. Initially, the posterior distribution was approximated by sampling-importance-resampling, which is simple to implement, easy to interpret, transparent to users, and gave acceptable results for most countries. For some countries, however, this is not computationally efficient because the posterior distribution tends to be concentrated around nonlinear ridges and can also be multimodal. We propose instead incremental mixture importance sampling (IMIS), which iteratively builds up a better importance sampling function. This retains the simplicity and transparency of sampling importance resampling, but is much more efficient computationally. It also leads to a simple estimator of the integrated likelihood that is the basis for Bayesian model comparison and model averaging. In simulation experiments and on real data, it outperformed both sampling importance resampling and three publicly available generic Markov chain Monte Carlo algorithms for this kind of problem.", "author" : [ { "dropping-particle" : "", "family" : "Raftery", "given" : "Adrian E", "non-dropping-particle" : "", "parse-names" : false, "suffix" : "" }, { "dropping-particle" : "", "family" : "Bao", "given" : "Le", "non-dropping-particle" : "", "parse-names" : false, "suffix" : "" } ], "container-title" : "Biometrics", "id" : "ITEM-1", "issue" : "4", "issued" : { "date-parts" : [ [ "2010", "12" ] ] }, "page" : "1162-73", "title" : "Estimating and Projecting Trends in HIV/AIDS Generalized Epidemics Using Incremental Mixture Importance Sampling.", "type" : "article-journal", "volume" : "66" }, "uris" : [ "http://www.mendeley.com/documents/?uuid=c9e3b548-d232-4001-a131-45c058d44e7a" ] } ], "mendeley" : { "formattedCitation" : "&lt;sup&gt;10&lt;/sup&gt;", "plainTextFormattedCitation" : "10", "previouslyFormattedCitation" : "&lt;sup&gt;8&lt;/sup&gt;" }, "properties" : { "noteIndex" : 0 }, "schema" : "https://github.com/citation-style-language/schema/raw/master/csl-citation.json" }</w:instrText>
      </w:r>
      <w:r>
        <w:rPr>
          <w:rFonts w:eastAsiaTheme="minorEastAsia"/>
        </w:rPr>
        <w:fldChar w:fldCharType="separate"/>
      </w:r>
      <w:r w:rsidR="000A5003" w:rsidRPr="000A5003">
        <w:rPr>
          <w:rFonts w:eastAsiaTheme="minorEastAsia"/>
          <w:noProof/>
          <w:vertAlign w:val="superscript"/>
        </w:rPr>
        <w:t>10</w:t>
      </w:r>
      <w:r>
        <w:rPr>
          <w:rFonts w:eastAsiaTheme="minorEastAsia"/>
        </w:rPr>
        <w:fldChar w:fldCharType="end"/>
      </w:r>
      <w:r>
        <w:rPr>
          <w:rFonts w:eastAsiaTheme="minorEastAsia"/>
        </w:rPr>
        <w:t xml:space="preserve">  IMIS </w:t>
      </w:r>
      <w:r w:rsidR="00B75F6E">
        <w:rPr>
          <w:rFonts w:eastAsiaTheme="minorEastAsia"/>
        </w:rPr>
        <w:t>was</w:t>
      </w:r>
      <w:r>
        <w:rPr>
          <w:rFonts w:eastAsiaTheme="minorEastAsia"/>
        </w:rPr>
        <w:t xml:space="preserve"> designed to work with deterministic models and proportionally sample a true posterior density based on an appropriately-defined likelihood function</w:t>
      </w:r>
      <w:r w:rsidR="00B75F6E">
        <w:rPr>
          <w:rFonts w:eastAsiaTheme="minorEastAsia"/>
        </w:rPr>
        <w:t xml:space="preserve">. </w:t>
      </w:r>
      <w:r>
        <w:rPr>
          <w:rFonts w:eastAsiaTheme="minorEastAsia"/>
        </w:rPr>
        <w:t xml:space="preserve"> </w:t>
      </w:r>
      <w:r w:rsidR="00B75F6E">
        <w:rPr>
          <w:rFonts w:eastAsiaTheme="minorEastAsia"/>
        </w:rPr>
        <w:t>However, the author</w:t>
      </w:r>
      <w:r>
        <w:rPr>
          <w:rFonts w:eastAsiaTheme="minorEastAsia"/>
        </w:rPr>
        <w:t xml:space="preserve"> has found it effective </w:t>
      </w:r>
      <w:r w:rsidR="00B75F6E">
        <w:rPr>
          <w:rFonts w:eastAsiaTheme="minorEastAsia"/>
        </w:rPr>
        <w:t>as a means of maximizing and mapping the surface of an objective function (not necessarily likelihoods) applied to a stochastic model, so long as the stochastic variance in the objective function at a single point is outweighed by the “parameter-based” variation throughout the calibration space - in some sense, as long the objective surface is “smooth”, or has a high signal-to-noise.</w:t>
      </w:r>
      <w:r>
        <w:rPr>
          <w:rFonts w:eastAsiaTheme="minorEastAsia"/>
        </w:rPr>
        <w:t xml:space="preserve"> </w:t>
      </w:r>
      <w:r w:rsidR="00B75F6E">
        <w:rPr>
          <w:rFonts w:eastAsiaTheme="minorEastAsia"/>
        </w:rPr>
        <w:t xml:space="preserve">Additionally, </w:t>
      </w:r>
      <w:r>
        <w:rPr>
          <w:rFonts w:eastAsiaTheme="minorEastAsia"/>
        </w:rPr>
        <w:t xml:space="preserve">a code base for interfacing IMIS directly to IDM’s computational cluster already exists from previous work.   </w:t>
      </w:r>
    </w:p>
    <w:p w:rsidR="00D80B82" w:rsidRDefault="00D80B82">
      <w:pPr>
        <w:rPr>
          <w:rFonts w:eastAsiaTheme="minorEastAsia"/>
        </w:rPr>
      </w:pPr>
      <w:r>
        <w:rPr>
          <w:rFonts w:eastAsiaTheme="minorEastAsia"/>
        </w:rPr>
        <w:t>The model utilized in calibration is not strictly equivalent to that used in the investigations of post-cessation outbreak behavior.  The immunity levels in each province are not set equal to each other, but are rather derived from vaccine dose histories reported by acute flaccid paralysis cases during the time period in question.</w:t>
      </w:r>
      <w:r>
        <w:rPr>
          <w:rFonts w:eastAsiaTheme="minorEastAsia"/>
        </w:rPr>
        <w:fldChar w:fldCharType="begin" w:fldLock="1"/>
      </w:r>
      <w:r w:rsidR="000A5003">
        <w:rPr>
          <w:rFonts w:eastAsiaTheme="minorEastAsia"/>
        </w:rPr>
        <w:instrText>ADDIN CSL_CITATION { "citationItems" : [ { "id" : "ITEM-1", "itemData" : { "DOI" : "10.1186/1741-7015-12-92", "ISSN" : "1741-7015", "abstract" : "BACKGROUND:One of the challenges facing the Global Polio Eradication Initiative is efficiently directing limited resources, such as specially trained personnel, community outreach activities, and satellite vaccinator tracking, to the most at-risk areas to maximize the impact of interventions. A validated predictive model of wild poliovirus circulation would greatly inform prioritization efforts by accurately forecasting areas at greatest risk, thus enabling the greatest effect of program interventions.METHODS:Using Nigerian acute flaccid paralysis surveillance data from 2004-2013, we developed a spatial hierarchical Poisson hurdle model fitted within a Bayesian framework to study historical polio caseload patterns and forecast future circulation of type 1 and 3 wild poliovirus within districts in Nigeria. A Bayesian temporal smoothing model was applied to address data sparsity underlying estimates of covariates at the district level.RESULTS:We find that calculated vaccine-derived population immunity is significantly negatively associated with the probability and number of wild poliovirus case(s) within a district. Recent case information is significantly positively associated with probability of a case, but not the number of cases. We used lagged indicators and coefficients from the fitted models to forecast reported cases in the subsequent six-month periods. Over the past three years, the average predictive ability is 86 +/- 2% and 85 +/- 4% for wild poliovirus type 1 and 3, respectively. Interestingly, the predictive accuracy of historical transmission patterns alone is equivalent (86 +/- 2% and 84 +/- 4% for type 1 and 3, respectively). We calculate uncertainty in risk ranking to inform assessments of changes in rank between time periods.CONCLUSIONS:The model developed in this study successfully predicts districts at risk for future wild poliovirus cases in Nigeria. The highest predicted district risk was 12.8 WPV1 cases in 2006, while the lowest district risk was 0.001 WPV1 cases in 2013. Model results have been used to direct the allocation of many different interventions, including political and religious advocacy visits. This modeling approach could be applied to other vaccine preventable diseases for use in other control and elimination programs.", "author" : [ { "dropping-particle" : "", "family" : "Upfill-Brown", "given" : "Alexander M", "non-dropping-particle" : "", "parse-names" : false, "suffix" : "" }, { "dropping-particle" : "", "family" : "Lyons", "given" : "Hil M", "non-dropping-particle" : "", "parse-names" : false, "suffix" : "" }, { "dropping-particle" : "", "family" : "Pate", "given" : "Muhammad A", "non-dropping-particle" : "", "parse-names" : false, "suffix" : "" }, { "dropping-particle" : "", "family" : "Shuaib", "given" : "Faisal", "non-dropping-particle" : "", "parse-names" : false, "suffix" : "" }, { "dropping-particle" : "", "family" : "Baig", "given" : "Shahzad", "non-dropping-particle" : "", "parse-names" : false, "suffix" : "" }, { "dropping-particle" : "", "family" : "Hu", "given" : "Hao", "non-dropping-particle" : "", "parse-names" : false, "suffix" : "" }, { "dropping-particle" : "", "family" : "Eckhoff", "given" : "Philip A", "non-dropping-particle" : "", "parse-names" : false, "suffix" : "" }, { "dropping-particle" : "", "family" : "Chabot-Couture", "given" : "Guillaume", "non-dropping-particle" : "", "parse-names" : false, "suffix" : "" } ], "container-title" : "BMC Medicine", "id" : "ITEM-1", "issue" : "1", "issued" : { "date-parts" : [ [ "2014" ] ] }, "page" : "92", "title" : "Predictive spatial risk model of poliovirus to aid prioritization and hasten eradication in Nigeria", "type" : "article-journal", "volume" : "12" }, "uris" : [ "http://www.mendeley.com/documents/?uuid=9dfd0f07-ad3f-46d4-845b-abb054b40ba8" ] } ], "mendeley" : { "formattedCitation" : "&lt;sup&gt;11&lt;/sup&gt;", "plainTextFormattedCitation" : "11", "previouslyFormattedCitation" : "&lt;sup&gt;9&lt;/sup&gt;" }, "properties" : { "noteIndex" : 0 }, "schema" : "https://github.com/citation-style-language/schema/raw/master/csl-citation.json" }</w:instrText>
      </w:r>
      <w:r>
        <w:rPr>
          <w:rFonts w:eastAsiaTheme="minorEastAsia"/>
        </w:rPr>
        <w:fldChar w:fldCharType="separate"/>
      </w:r>
      <w:r w:rsidR="000A5003" w:rsidRPr="000A5003">
        <w:rPr>
          <w:rFonts w:eastAsiaTheme="minorEastAsia"/>
          <w:noProof/>
          <w:vertAlign w:val="superscript"/>
        </w:rPr>
        <w:t>11</w:t>
      </w:r>
      <w:r>
        <w:rPr>
          <w:rFonts w:eastAsiaTheme="minorEastAsia"/>
        </w:rPr>
        <w:fldChar w:fldCharType="end"/>
      </w:r>
      <w:r>
        <w:rPr>
          <w:rFonts w:eastAsiaTheme="minorEastAsia"/>
        </w:rPr>
        <w:t xml:space="preserve">  </w:t>
      </w:r>
      <w:r w:rsidR="00FE45FA">
        <w:rPr>
          <w:rFonts w:eastAsiaTheme="minorEastAsia"/>
        </w:rPr>
        <w:t>Partial</w:t>
      </w:r>
      <w:r>
        <w:rPr>
          <w:rFonts w:eastAsiaTheme="minorEastAsia"/>
        </w:rPr>
        <w:t xml:space="preserve"> immunity is </w:t>
      </w:r>
      <w:r w:rsidR="00FE45FA">
        <w:rPr>
          <w:rFonts w:eastAsiaTheme="minorEastAsia"/>
        </w:rPr>
        <w:t xml:space="preserve">also not treated in the calibration version of the model; transmission takes place only through fully susceptible children.  Simulations begin in January 2008, with an outbreak seeded in Nigeria, and run through June 2013 (though the comparison only considers times through July 2010).  </w:t>
      </w:r>
      <w:r>
        <w:rPr>
          <w:rFonts w:eastAsiaTheme="minorEastAsia"/>
        </w:rPr>
        <w:t xml:space="preserve"> </w:t>
      </w:r>
    </w:p>
    <w:p w:rsidR="0088587B" w:rsidRDefault="00555CB6">
      <w:pPr>
        <w:rPr>
          <w:rFonts w:eastAsiaTheme="minorEastAsia"/>
        </w:rPr>
      </w:pPr>
      <w:r>
        <w:rPr>
          <w:rFonts w:eastAsiaTheme="minorEastAsia"/>
          <w:highlight w:val="yellow"/>
        </w:rPr>
        <w:fldChar w:fldCharType="begin"/>
      </w:r>
      <w:r>
        <w:rPr>
          <w:rFonts w:eastAsiaTheme="minorEastAsia"/>
        </w:rPr>
        <w:instrText xml:space="preserve"> REF _Ref459891633 \h </w:instrText>
      </w:r>
      <w:r>
        <w:rPr>
          <w:rFonts w:eastAsiaTheme="minorEastAsia"/>
          <w:highlight w:val="yellow"/>
        </w:rPr>
      </w:r>
      <w:r>
        <w:rPr>
          <w:rFonts w:eastAsiaTheme="minorEastAsia"/>
          <w:highlight w:val="yellow"/>
        </w:rPr>
        <w:fldChar w:fldCharType="separate"/>
      </w:r>
      <w:r>
        <w:t xml:space="preserve">Figure </w:t>
      </w:r>
      <w:r>
        <w:rPr>
          <w:noProof/>
        </w:rPr>
        <w:t>2</w:t>
      </w:r>
      <w:r>
        <w:rPr>
          <w:rFonts w:eastAsiaTheme="minorEastAsia"/>
          <w:highlight w:val="yellow"/>
        </w:rPr>
        <w:fldChar w:fldCharType="end"/>
      </w:r>
      <w:r>
        <w:rPr>
          <w:rFonts w:eastAsiaTheme="minorEastAsia"/>
        </w:rPr>
        <w:t xml:space="preserve"> </w:t>
      </w:r>
      <w:r w:rsidR="00FE45FA">
        <w:rPr>
          <w:rFonts w:eastAsiaTheme="minorEastAsia"/>
        </w:rPr>
        <w:t>presents t</w:t>
      </w:r>
      <w:r w:rsidR="00671627">
        <w:rPr>
          <w:rFonts w:eastAsiaTheme="minorEastAsia"/>
        </w:rPr>
        <w:t xml:space="preserve">he results of the calibration; points in the 2D space represent a single sampled pair of </w:t>
      </w:r>
      <w:r w:rsidR="0088587B">
        <w:rPr>
          <w:rFonts w:eastAsiaTheme="minorEastAsia"/>
        </w:rPr>
        <w:t>infectivity</w:t>
      </w:r>
      <w:r w:rsidR="00671627">
        <w:rPr>
          <w:rFonts w:eastAsiaTheme="minorEastAsia"/>
        </w:rPr>
        <w:t xml:space="preserve"> and </w:t>
      </w:r>
      <m:oMath>
        <m:r>
          <w:rPr>
            <w:rFonts w:ascii="Cambria Math" w:eastAsia="Calibri" w:hAnsi="Cambria Math" w:cs="Times New Roman"/>
          </w:rPr>
          <m:t>κ</m:t>
        </m:r>
      </m:oMath>
      <w:r w:rsidR="0088587B">
        <w:rPr>
          <w:rFonts w:eastAsiaTheme="minorEastAsia"/>
        </w:rPr>
        <w:t xml:space="preserve"> values, and the color indicating </w:t>
      </w:r>
      <m:oMath>
        <m:r>
          <w:rPr>
            <w:rFonts w:ascii="Cambria Math" w:eastAsiaTheme="minorEastAsia" w:hAnsi="Cambria Math"/>
          </w:rPr>
          <m:t>-</m:t>
        </m:r>
        <m:r>
          <w:rPr>
            <w:rFonts w:ascii="Cambria Math" w:hAnsi="Cambria Math"/>
          </w:rPr>
          <m:t>log10(σ)</m:t>
        </m:r>
      </m:oMath>
      <w:r w:rsidR="0088587B">
        <w:rPr>
          <w:rFonts w:eastAsiaTheme="minorEastAsia"/>
        </w:rPr>
        <w:t xml:space="preserve">.  A broad maximum is apparent around mean migration rates from </w:t>
      </w:r>
      <w:r>
        <w:rPr>
          <w:rFonts w:eastAsiaTheme="minorEastAsia"/>
        </w:rPr>
        <w:t xml:space="preserve">approximately -3.5 </w:t>
      </w:r>
      <w:r w:rsidR="0088587B">
        <w:rPr>
          <w:rFonts w:eastAsiaTheme="minorEastAsia"/>
        </w:rPr>
        <w:t xml:space="preserve">to </w:t>
      </w:r>
      <w:r>
        <w:rPr>
          <w:rFonts w:eastAsiaTheme="minorEastAsia"/>
        </w:rPr>
        <w:t>-2.5 (in log-10 units)</w:t>
      </w:r>
      <w:r w:rsidR="007661C8">
        <w:rPr>
          <w:rFonts w:eastAsiaTheme="minorEastAsia"/>
        </w:rPr>
        <w:t>, representing the preferred region outlined in the figures in the main text</w:t>
      </w:r>
      <w:r>
        <w:rPr>
          <w:rFonts w:eastAsiaTheme="minorEastAsia"/>
        </w:rPr>
        <w:t>; this corresponds to the average child traveling outside of their home state approximately once per year to once per decade</w:t>
      </w:r>
      <w:r w:rsidR="007661C8">
        <w:rPr>
          <w:rFonts w:eastAsiaTheme="minorEastAsia"/>
        </w:rPr>
        <w:t xml:space="preserve">. </w:t>
      </w:r>
      <w:r>
        <w:rPr>
          <w:rFonts w:eastAsiaTheme="minorEastAsia"/>
          <w:highlight w:val="yellow"/>
        </w:rPr>
        <w:fldChar w:fldCharType="begin"/>
      </w:r>
      <w:r>
        <w:rPr>
          <w:rFonts w:eastAsiaTheme="minorEastAsia"/>
        </w:rPr>
        <w:instrText xml:space="preserve"> REF _Ref459891818 \h </w:instrText>
      </w:r>
      <w:r>
        <w:rPr>
          <w:rFonts w:eastAsiaTheme="minorEastAsia"/>
          <w:highlight w:val="yellow"/>
        </w:rPr>
      </w:r>
      <w:r>
        <w:rPr>
          <w:rFonts w:eastAsiaTheme="minorEastAsia"/>
          <w:highlight w:val="yellow"/>
        </w:rPr>
        <w:fldChar w:fldCharType="separate"/>
      </w:r>
      <w:r>
        <w:t xml:space="preserve">Figure </w:t>
      </w:r>
      <w:r>
        <w:rPr>
          <w:noProof/>
        </w:rPr>
        <w:t>3</w:t>
      </w:r>
      <w:r>
        <w:rPr>
          <w:rFonts w:eastAsiaTheme="minorEastAsia"/>
          <w:highlight w:val="yellow"/>
        </w:rPr>
        <w:fldChar w:fldCharType="end"/>
      </w:r>
      <w:r>
        <w:rPr>
          <w:rFonts w:eastAsiaTheme="minorEastAsia"/>
        </w:rPr>
        <w:t xml:space="preserve"> </w:t>
      </w:r>
      <w:r w:rsidR="0088587B">
        <w:rPr>
          <w:rFonts w:eastAsiaTheme="minorEastAsia"/>
        </w:rPr>
        <w:t xml:space="preserve">presents the infection traces from </w:t>
      </w:r>
      <w:r w:rsidR="007661C8">
        <w:rPr>
          <w:rFonts w:eastAsiaTheme="minorEastAsia"/>
        </w:rPr>
        <w:t>two representative simulations in the preferred region</w:t>
      </w:r>
      <w:r w:rsidR="0088587B">
        <w:rPr>
          <w:rFonts w:eastAsiaTheme="minorEastAsia"/>
        </w:rPr>
        <w:t xml:space="preserve"> </w:t>
      </w:r>
      <w:r>
        <w:rPr>
          <w:rFonts w:eastAsiaTheme="minorEastAsia"/>
        </w:rPr>
        <w:t xml:space="preserve">under the actual outbreak.  </w:t>
      </w:r>
      <w:r w:rsidR="00D4305D">
        <w:rPr>
          <w:rFonts w:eastAsiaTheme="minorEastAsia"/>
        </w:rPr>
        <w:t xml:space="preserve">  Above this range of migration rates, transmission across the region becomes increasingly </w:t>
      </w:r>
      <w:r w:rsidR="0088587B">
        <w:rPr>
          <w:rFonts w:eastAsiaTheme="minorEastAsia"/>
        </w:rPr>
        <w:t>synchronous</w:t>
      </w:r>
      <w:r w:rsidR="007661C8">
        <w:rPr>
          <w:rFonts w:eastAsiaTheme="minorEastAsia"/>
        </w:rPr>
        <w:t xml:space="preserve">, </w:t>
      </w:r>
      <w:r w:rsidR="0088587B">
        <w:rPr>
          <w:rFonts w:eastAsiaTheme="minorEastAsia"/>
        </w:rPr>
        <w:t>qualitatively ruling out these values as realistic</w:t>
      </w:r>
      <w:r w:rsidR="00D4305D">
        <w:rPr>
          <w:rFonts w:eastAsiaTheme="minorEastAsia"/>
        </w:rPr>
        <w:t xml:space="preserve">; an example is shown in </w:t>
      </w:r>
      <w:r w:rsidR="0001541F">
        <w:rPr>
          <w:rFonts w:eastAsiaTheme="minorEastAsia"/>
        </w:rPr>
        <w:fldChar w:fldCharType="begin"/>
      </w:r>
      <w:r w:rsidR="0001541F">
        <w:rPr>
          <w:rFonts w:eastAsiaTheme="minorEastAsia"/>
        </w:rPr>
        <w:instrText xml:space="preserve"> REF _Ref459892185 \h </w:instrText>
      </w:r>
      <w:r w:rsidR="0001541F">
        <w:rPr>
          <w:rFonts w:eastAsiaTheme="minorEastAsia"/>
        </w:rPr>
      </w:r>
      <w:r w:rsidR="0001541F">
        <w:rPr>
          <w:rFonts w:eastAsiaTheme="minorEastAsia"/>
        </w:rPr>
        <w:fldChar w:fldCharType="separate"/>
      </w:r>
      <w:r w:rsidR="0001541F">
        <w:t xml:space="preserve">Figure </w:t>
      </w:r>
      <w:r w:rsidR="0001541F">
        <w:rPr>
          <w:noProof/>
        </w:rPr>
        <w:t>4</w:t>
      </w:r>
      <w:r w:rsidR="0001541F">
        <w:rPr>
          <w:rFonts w:eastAsiaTheme="minorEastAsia"/>
        </w:rPr>
        <w:fldChar w:fldCharType="end"/>
      </w:r>
      <w:r w:rsidR="00D4305D">
        <w:rPr>
          <w:rFonts w:eastAsiaTheme="minorEastAsia"/>
        </w:rPr>
        <w:t>.  Below this preferred</w:t>
      </w:r>
      <w:r w:rsidR="0088587B">
        <w:rPr>
          <w:rFonts w:eastAsiaTheme="minorEastAsia"/>
        </w:rPr>
        <w:t xml:space="preserve"> </w:t>
      </w:r>
      <w:r w:rsidR="00D4305D">
        <w:rPr>
          <w:rFonts w:eastAsiaTheme="minorEastAsia"/>
        </w:rPr>
        <w:t xml:space="preserve">region, the </w:t>
      </w:r>
      <w:proofErr w:type="spellStart"/>
      <w:r w:rsidR="00D4305D">
        <w:rPr>
          <w:rFonts w:eastAsiaTheme="minorEastAsia"/>
        </w:rPr>
        <w:t>metapopulations</w:t>
      </w:r>
      <w:proofErr w:type="spellEnd"/>
      <w:r w:rsidR="00D4305D">
        <w:rPr>
          <w:rFonts w:eastAsiaTheme="minorEastAsia"/>
        </w:rPr>
        <w:t xml:space="preserve"> become more disconnected and </w:t>
      </w:r>
      <w:r w:rsidR="007661C8">
        <w:rPr>
          <w:rFonts w:eastAsiaTheme="minorEastAsia"/>
        </w:rPr>
        <w:t>transmission fails to ex</w:t>
      </w:r>
      <w:r w:rsidR="00D4305D">
        <w:rPr>
          <w:rFonts w:eastAsiaTheme="minorEastAsia"/>
        </w:rPr>
        <w:t xml:space="preserve">port broadly across the network; an example is shown in </w:t>
      </w:r>
      <w:r w:rsidR="0001541F">
        <w:rPr>
          <w:rFonts w:eastAsiaTheme="minorEastAsia"/>
        </w:rPr>
        <w:fldChar w:fldCharType="begin"/>
      </w:r>
      <w:r w:rsidR="0001541F">
        <w:rPr>
          <w:rFonts w:eastAsiaTheme="minorEastAsia"/>
        </w:rPr>
        <w:instrText xml:space="preserve"> REF _Ref459892190 \h </w:instrText>
      </w:r>
      <w:r w:rsidR="0001541F">
        <w:rPr>
          <w:rFonts w:eastAsiaTheme="minorEastAsia"/>
        </w:rPr>
      </w:r>
      <w:r w:rsidR="0001541F">
        <w:rPr>
          <w:rFonts w:eastAsiaTheme="minorEastAsia"/>
        </w:rPr>
        <w:fldChar w:fldCharType="separate"/>
      </w:r>
      <w:r w:rsidR="0001541F">
        <w:t xml:space="preserve">Figure </w:t>
      </w:r>
      <w:r w:rsidR="0001541F">
        <w:rPr>
          <w:noProof/>
        </w:rPr>
        <w:t>5</w:t>
      </w:r>
      <w:r w:rsidR="0001541F">
        <w:rPr>
          <w:rFonts w:eastAsiaTheme="minorEastAsia"/>
        </w:rPr>
        <w:fldChar w:fldCharType="end"/>
      </w:r>
      <w:r w:rsidR="0088587B">
        <w:rPr>
          <w:rFonts w:eastAsiaTheme="minorEastAsia"/>
        </w:rPr>
        <w:t xml:space="preserve">.  </w:t>
      </w:r>
    </w:p>
    <w:p w:rsidR="00555CB6" w:rsidRDefault="00A21F7F" w:rsidP="00555CB6">
      <w:pPr>
        <w:keepNext/>
      </w:pPr>
      <w:r>
        <w:rPr>
          <w:rFonts w:eastAsiaTheme="minorEastAsia"/>
        </w:rPr>
        <w:lastRenderedPageBreak/>
        <w:pict>
          <v:shape id="_x0000_i1026" type="#_x0000_t75" style="width:468pt;height:241.5pt">
            <v:imagedata r:id="rId7" o:title="objective_space"/>
          </v:shape>
        </w:pict>
      </w:r>
    </w:p>
    <w:p w:rsidR="00555CB6" w:rsidRDefault="00555CB6" w:rsidP="00555CB6">
      <w:pPr>
        <w:pStyle w:val="Caption"/>
      </w:pPr>
      <w:bookmarkStart w:id="2" w:name="_Ref459891633"/>
      <w:r>
        <w:t xml:space="preserve">Figure </w:t>
      </w:r>
      <w:fldSimple w:instr=" SEQ Figure \* ARABIC ">
        <w:r w:rsidR="00D4305D">
          <w:rPr>
            <w:noProof/>
          </w:rPr>
          <w:t>2</w:t>
        </w:r>
      </w:fldSimple>
      <w:bookmarkEnd w:id="2"/>
      <w:r>
        <w:t xml:space="preserve">: Results of calibration of migration rates.  The x and y- axes represent the infectivity and mean migration rate, respectively, with color indicating the value of the objective function defined in </w:t>
      </w:r>
      <w:proofErr w:type="spellStart"/>
      <w:r>
        <w:t>Eqs</w:t>
      </w:r>
      <w:proofErr w:type="spellEnd"/>
      <w:r>
        <w:t xml:space="preserve"> (15-17).  The results indicate a broad maximum around mean migration rates from roughly -3.5 to -2.5 (in log10 units), i.e., the average child leaving their home state approximately once per year to once per decade.  </w:t>
      </w:r>
    </w:p>
    <w:p w:rsidR="00555CB6" w:rsidRDefault="00A21F7F" w:rsidP="00555CB6">
      <w:pPr>
        <w:keepNext/>
        <w:jc w:val="center"/>
      </w:pPr>
      <w:r>
        <w:lastRenderedPageBreak/>
        <w:pict>
          <v:shape id="_x0000_i1027" type="#_x0000_t75" style="width:315pt;height:514.5pt">
            <v:imagedata r:id="rId8" o:title="goodfits"/>
          </v:shape>
        </w:pict>
      </w:r>
    </w:p>
    <w:p w:rsidR="00555CB6" w:rsidRDefault="00555CB6" w:rsidP="00555CB6">
      <w:pPr>
        <w:pStyle w:val="Caption"/>
      </w:pPr>
      <w:bookmarkStart w:id="3" w:name="_Ref459891818"/>
      <w:r>
        <w:t xml:space="preserve">Figure </w:t>
      </w:r>
      <w:fldSimple w:instr=" SEQ Figure \* ARABIC ">
        <w:r w:rsidR="00D4305D">
          <w:rPr>
            <w:noProof/>
          </w:rPr>
          <w:t>3</w:t>
        </w:r>
      </w:fldSimple>
      <w:bookmarkEnd w:id="3"/>
      <w:r>
        <w:t>: Top: WPV1 outbreak in West Africa, 2008-2010, representing the calibration target for this exercise.  Middle and bottom: Two example simulation outputs from the preferred region of parameter space.</w:t>
      </w:r>
    </w:p>
    <w:p w:rsidR="00D4305D" w:rsidRDefault="00A21F7F" w:rsidP="00D4305D">
      <w:pPr>
        <w:keepNext/>
      </w:pPr>
      <w:r>
        <w:lastRenderedPageBreak/>
        <w:pict>
          <v:shape id="_x0000_i1028" type="#_x0000_t75" style="width:468pt;height:241.5pt">
            <v:imagedata r:id="rId9" o:title="outbreak_toohigh_1"/>
          </v:shape>
        </w:pict>
      </w:r>
    </w:p>
    <w:p w:rsidR="00D4305D" w:rsidRDefault="00D4305D" w:rsidP="00D4305D">
      <w:pPr>
        <w:pStyle w:val="Caption"/>
      </w:pPr>
      <w:bookmarkStart w:id="4" w:name="_Ref459892185"/>
      <w:r>
        <w:t xml:space="preserve">Figure </w:t>
      </w:r>
      <w:fldSimple w:instr=" SEQ Figure \* ARABIC ">
        <w:r>
          <w:rPr>
            <w:noProof/>
          </w:rPr>
          <w:t>4</w:t>
        </w:r>
      </w:fldSimple>
      <w:bookmarkEnd w:id="4"/>
      <w:r>
        <w:t>: Example simulation output with migration rate set above the preferred range from calibration.  As can be seen, transmission across the region is essentially synchronous, in contrast to the travelling outbreak actually observed.</w:t>
      </w:r>
    </w:p>
    <w:p w:rsidR="00D4305D" w:rsidRDefault="00A21F7F" w:rsidP="00D4305D">
      <w:pPr>
        <w:keepNext/>
      </w:pPr>
      <w:r>
        <w:pict>
          <v:shape id="_x0000_i1029" type="#_x0000_t75" style="width:468pt;height:241.5pt">
            <v:imagedata r:id="rId10" o:title="outbreak_toolow_2"/>
          </v:shape>
        </w:pict>
      </w:r>
    </w:p>
    <w:p w:rsidR="00D4305D" w:rsidRPr="00D4305D" w:rsidRDefault="00D4305D" w:rsidP="00D4305D">
      <w:pPr>
        <w:pStyle w:val="Caption"/>
      </w:pPr>
      <w:bookmarkStart w:id="5" w:name="_Ref459892190"/>
      <w:r>
        <w:t xml:space="preserve">Figure </w:t>
      </w:r>
      <w:fldSimple w:instr=" SEQ Figure \* ARABIC ">
        <w:r>
          <w:rPr>
            <w:noProof/>
          </w:rPr>
          <w:t>5</w:t>
        </w:r>
      </w:fldSimple>
      <w:bookmarkEnd w:id="5"/>
      <w:r>
        <w:t>: Example simulation output with migration rate set below the preferred range from calibration.  In this case, transmission fails to export broadly across the region (though one or two exportations are not uncommon to observe), in contrast to the travelling outbreak observed in 2008.</w:t>
      </w:r>
    </w:p>
    <w:p w:rsidR="00D4305D" w:rsidRPr="00D4305D" w:rsidRDefault="0001541F" w:rsidP="00D4305D">
      <w:r>
        <w:t>While the simulations investigating the risk of Sabin 2 use post-cessation are allowed to explore a wide range of migration rates, this calibration allows for the identification of a preferred region of migration space, aiding interpretability of the results.</w:t>
      </w:r>
    </w:p>
    <w:p w:rsidR="00305062" w:rsidRDefault="00226F59">
      <w:pPr>
        <w:rPr>
          <w:b/>
        </w:rPr>
      </w:pPr>
      <w:r w:rsidRPr="00226F59">
        <w:rPr>
          <w:b/>
        </w:rPr>
        <w:lastRenderedPageBreak/>
        <w:t>Additional figures</w:t>
      </w:r>
    </w:p>
    <w:p w:rsidR="0009078D" w:rsidRDefault="0009078D">
      <w:r>
        <w:t xml:space="preserve">The simulation </w:t>
      </w:r>
      <w:proofErr w:type="spellStart"/>
      <w:r>
        <w:t>metapopulations</w:t>
      </w:r>
      <w:proofErr w:type="spellEnd"/>
      <w:r>
        <w:t xml:space="preserve"> are generated by applying</w:t>
      </w:r>
      <w:r w:rsidR="00A21F7F">
        <w:t xml:space="preserve"> WHO</w:t>
      </w:r>
      <w:r>
        <w:t xml:space="preserve"> shapefiles from</w:t>
      </w:r>
      <w:r w:rsidR="00CF0E5D">
        <w:t xml:space="preserve"> POLIS </w:t>
      </w:r>
      <w:r>
        <w:t xml:space="preserve">to population maps of Africa obtained from the </w:t>
      </w:r>
      <w:proofErr w:type="spellStart"/>
      <w:r>
        <w:t>Worldpop</w:t>
      </w:r>
      <w:proofErr w:type="spellEnd"/>
      <w:r>
        <w:t xml:space="preserve"> collaboration.</w:t>
      </w:r>
      <w:r w:rsidR="00852FDF">
        <w:fldChar w:fldCharType="begin" w:fldLock="1"/>
      </w:r>
      <w:r w:rsidR="000A5003">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"&lt;sup&gt;4,12&lt;/sup&gt;", "plainTextFormattedCitation" : "4,12", "previouslyFormattedCitation" : "&lt;sup&gt;2,10&lt;/sup&gt;" }, "properties" : { "noteIndex" : 0 }, "schema" : "https://github.com/citation-style-language/schema/raw/master/csl-citation.json" }</w:instrText>
      </w:r>
      <w:r w:rsidR="00852FDF">
        <w:fldChar w:fldCharType="separate"/>
      </w:r>
      <w:r w:rsidR="000A5003" w:rsidRPr="000A5003">
        <w:rPr>
          <w:noProof/>
          <w:vertAlign w:val="superscript"/>
        </w:rPr>
        <w:t>4,12</w:t>
      </w:r>
      <w:r w:rsidR="00852FDF">
        <w:fldChar w:fldCharType="end"/>
      </w:r>
      <w:r>
        <w:t xml:space="preserve"> </w:t>
      </w:r>
      <w:r w:rsidR="00564214">
        <w:fldChar w:fldCharType="begin"/>
      </w:r>
      <w:r w:rsidR="00564214">
        <w:instrText xml:space="preserve"> REF _Ref458514130 \h </w:instrText>
      </w:r>
      <w:r w:rsidR="00564214">
        <w:fldChar w:fldCharType="separate"/>
      </w:r>
      <w:r w:rsidR="00564214">
        <w:t xml:space="preserve">Figure </w:t>
      </w:r>
      <w:r w:rsidR="00564214">
        <w:rPr>
          <w:noProof/>
        </w:rPr>
        <w:t>1</w:t>
      </w:r>
      <w:r w:rsidR="00564214">
        <w:fldChar w:fldCharType="end"/>
      </w:r>
      <w:r>
        <w:t xml:space="preserve"> </w:t>
      </w:r>
      <w:r w:rsidR="00564214">
        <w:t>i</w:t>
      </w:r>
      <w:r>
        <w:t>llustrates the population map (color) and country/province boundaries (thick/thin black solid lines)</w:t>
      </w:r>
      <w:r w:rsidR="00564214">
        <w:t xml:space="preserve"> that were used</w:t>
      </w:r>
      <w:r>
        <w:t xml:space="preserve">.  The total size of </w:t>
      </w:r>
      <w:r w:rsidR="00564214">
        <w:t>a given</w:t>
      </w:r>
      <w:r>
        <w:t xml:space="preserve"> </w:t>
      </w:r>
      <w:proofErr w:type="spellStart"/>
      <w:r>
        <w:t>metapopulation</w:t>
      </w:r>
      <w:proofErr w:type="spellEnd"/>
      <w:r>
        <w:t xml:space="preserve"> is the aggregated sum of the per-pixel population map within the boundaries, and </w:t>
      </w:r>
      <w:r w:rsidR="00564214">
        <w:t>each</w:t>
      </w:r>
      <w:r>
        <w:t xml:space="preserve"> population is placed at the population-weighted centroid of the province</w:t>
      </w:r>
      <w:r w:rsidR="00564214">
        <w:t xml:space="preserve"> (for purposes of computing distances between </w:t>
      </w:r>
      <w:proofErr w:type="spellStart"/>
      <w:r w:rsidR="00564214">
        <w:t>metapopulations</w:t>
      </w:r>
      <w:proofErr w:type="spellEnd"/>
      <w:r w:rsidR="00564214">
        <w:t xml:space="preserve"> in the gravity model of migration)</w:t>
      </w:r>
      <w:r>
        <w:t>.</w:t>
      </w:r>
    </w:p>
    <w:p w:rsidR="0086743A" w:rsidRDefault="0086743A">
      <w:r>
        <w:t xml:space="preserve">Changing the distance-dependence in the gravity model of migration is found to have a negligible effect on the position of the </w:t>
      </w:r>
      <w:proofErr w:type="spellStart"/>
      <w:r>
        <w:t>separatrix</w:t>
      </w:r>
      <w:proofErr w:type="spellEnd"/>
      <w:r>
        <w:t xml:space="preserve"> line, with an inverse-linear distance-dependence (</w:t>
      </w:r>
      <w:r w:rsidRPr="00032696">
        <w:rPr>
          <w:i/>
        </w:rPr>
        <w:t>c</w:t>
      </w:r>
      <w:r>
        <w:t xml:space="preserve">=1, </w:t>
      </w:r>
      <w:r w:rsidRPr="00032696">
        <w:t>relatively</w:t>
      </w:r>
      <w:r>
        <w:t xml:space="preserve"> higher migration rates to provinces of highest population) producing very slightly more risk than an inverse-square dependence (</w:t>
      </w:r>
      <w:r w:rsidRPr="00032696">
        <w:rPr>
          <w:i/>
        </w:rPr>
        <w:t>c</w:t>
      </w:r>
      <w:r>
        <w:t xml:space="preserve">=2, </w:t>
      </w:r>
      <w:r w:rsidRPr="00032696">
        <w:t>relatively</w:t>
      </w:r>
      <w:r>
        <w:t xml:space="preserve"> higher migration rates to nearest neighbor provinces).  </w:t>
      </w:r>
      <w:r w:rsidR="00840C9E">
        <w:rPr>
          <w:highlight w:val="yellow"/>
        </w:rPr>
        <w:fldChar w:fldCharType="begin"/>
      </w:r>
      <w:r w:rsidR="00840C9E">
        <w:instrText xml:space="preserve"> REF _Ref458511164 \h </w:instrText>
      </w:r>
      <w:r w:rsidR="00840C9E">
        <w:rPr>
          <w:highlight w:val="yellow"/>
        </w:rPr>
      </w:r>
      <w:r w:rsidR="00840C9E">
        <w:rPr>
          <w:highlight w:val="yellow"/>
        </w:rPr>
        <w:fldChar w:fldCharType="separate"/>
      </w:r>
      <w:r w:rsidR="00564214">
        <w:t xml:space="preserve">Figure </w:t>
      </w:r>
      <w:r w:rsidR="00564214">
        <w:rPr>
          <w:noProof/>
        </w:rPr>
        <w:t>2</w:t>
      </w:r>
      <w:r w:rsidR="00840C9E">
        <w:rPr>
          <w:highlight w:val="yellow"/>
        </w:rPr>
        <w:fldChar w:fldCharType="end"/>
      </w:r>
      <w:r w:rsidR="00840C9E">
        <w:t xml:space="preserve"> </w:t>
      </w:r>
      <w:r>
        <w:t>presents the results of this comparison.</w:t>
      </w:r>
    </w:p>
    <w:p w:rsidR="003014F0" w:rsidRDefault="003014F0" w:rsidP="003014F0">
      <w:r>
        <w:rPr>
          <w:highlight w:val="yellow"/>
        </w:rPr>
        <w:fldChar w:fldCharType="begin"/>
      </w:r>
      <w:r>
        <w:instrText xml:space="preserve"> REF _Ref458507062 \h </w:instrText>
      </w:r>
      <w:r>
        <w:rPr>
          <w:highlight w:val="yellow"/>
        </w:rPr>
      </w:r>
      <w:r>
        <w:rPr>
          <w:highlight w:val="yellow"/>
        </w:rPr>
        <w:fldChar w:fldCharType="separate"/>
      </w:r>
      <w:r w:rsidR="000E2C22">
        <w:t xml:space="preserve">Figure </w:t>
      </w:r>
      <w:r w:rsidR="000E2C22">
        <w:rPr>
          <w:noProof/>
        </w:rPr>
        <w:t>3</w:t>
      </w:r>
      <w:r>
        <w:rPr>
          <w:highlight w:val="yellow"/>
        </w:rPr>
        <w:fldChar w:fldCharType="end"/>
      </w:r>
      <w:r>
        <w:t xml:space="preserve"> shows that increasing the timescale of Sabin</w:t>
      </w:r>
      <w:r w:rsidR="00045A36">
        <w:t xml:space="preserve"> </w:t>
      </w:r>
      <w:r>
        <w:t xml:space="preserve">2 reversion from </w:t>
      </w:r>
      <w:r>
        <w:rPr>
          <w:i/>
        </w:rPr>
        <w:t>λ</w:t>
      </w:r>
      <w:r>
        <w:t xml:space="preserve">= 60 days to </w:t>
      </w:r>
      <w:r>
        <w:rPr>
          <w:i/>
        </w:rPr>
        <w:t>λ</w:t>
      </w:r>
      <w:r>
        <w:t xml:space="preserve">= 150 days provides a moderate mitigation of the survival risk, similar to the effect of changing </w:t>
      </w:r>
      <w:r>
        <w:rPr>
          <w:i/>
        </w:rPr>
        <w:t>f</w:t>
      </w:r>
      <w:r>
        <w:t xml:space="preserve"> from 0.5 to 0.25 and small compared to the effects of changing R</w:t>
      </w:r>
      <w:r>
        <w:rPr>
          <w:vertAlign w:val="subscript"/>
        </w:rPr>
        <w:t>0f</w:t>
      </w:r>
      <w:r>
        <w:t xml:space="preserve"> or N</w:t>
      </w:r>
      <w:r>
        <w:rPr>
          <w:vertAlign w:val="subscript"/>
        </w:rPr>
        <w:t>IPV</w:t>
      </w:r>
      <w:r>
        <w:t>.  However, at the lower values of R</w:t>
      </w:r>
      <w:r>
        <w:rPr>
          <w:vertAlign w:val="subscript"/>
        </w:rPr>
        <w:t xml:space="preserve">0f </w:t>
      </w:r>
      <w:r>
        <w:t xml:space="preserve">tested in these scenarios, a longer reversion timescale can have substantial impact, as the effective reproductive number of the circulating Sabin 2 remains well below 1 for multiple generations of infection after the campaigns. </w:t>
      </w:r>
    </w:p>
    <w:p w:rsidR="003014F0" w:rsidRDefault="003014F0"/>
    <w:p w:rsidR="0009078D" w:rsidRDefault="00A21F7F" w:rsidP="0009078D">
      <w:pPr>
        <w:keepNext/>
      </w:pPr>
      <w:r>
        <w:rPr>
          <w:highlight w:val="yellow"/>
        </w:rPr>
        <w:lastRenderedPageBreak/>
        <w:pict>
          <v:shape id="_x0000_i1030" type="#_x0000_t75" style="width:467.25pt;height:6in">
            <v:imagedata r:id="rId11" o:title="region_map"/>
          </v:shape>
        </w:pict>
      </w:r>
    </w:p>
    <w:p w:rsidR="0009078D" w:rsidRDefault="0009078D" w:rsidP="0009078D">
      <w:pPr>
        <w:pStyle w:val="Caption"/>
        <w:rPr>
          <w:highlight w:val="yellow"/>
        </w:rPr>
      </w:pPr>
      <w:bookmarkStart w:id="6" w:name="_Ref458514130"/>
      <w:r>
        <w:t xml:space="preserve">Figure </w:t>
      </w:r>
      <w:fldSimple w:instr=" SEQ Figure \* ARABIC ">
        <w:r w:rsidR="00D4305D">
          <w:rPr>
            <w:noProof/>
          </w:rPr>
          <w:t>6</w:t>
        </w:r>
      </w:fldSimple>
      <w:bookmarkEnd w:id="6"/>
      <w:r>
        <w:t xml:space="preserve">: Population map (color, from </w:t>
      </w:r>
      <w:proofErr w:type="spellStart"/>
      <w:r>
        <w:t>Worldpop</w:t>
      </w:r>
      <w:proofErr w:type="spellEnd"/>
      <w:r>
        <w:t xml:space="preserve">) and country/province boundaries (thick/thin solid black lines, from POLIS) used to generate the </w:t>
      </w:r>
      <w:proofErr w:type="spellStart"/>
      <w:r>
        <w:t>meta</w:t>
      </w:r>
      <w:r w:rsidR="00852FDF">
        <w:t>populations</w:t>
      </w:r>
      <w:proofErr w:type="spellEnd"/>
      <w:r w:rsidR="00852FDF">
        <w:t xml:space="preserve"> for the simulation.</w:t>
      </w:r>
      <w:r w:rsidR="00852FDF">
        <w:fldChar w:fldCharType="begin" w:fldLock="1"/>
      </w:r>
      <w:r w:rsidR="000A5003">
        <w:instrText>ADDIN CSL_CITATION { "citationItems" : [ { "id" : "ITEM-1", "itemData" : { "URL" : "http://www.worldpop.org.uk/data/summary/?contselect=Africa&amp;countselect=Whole+Continent&amp;typeselect=Population+2010", "accessed" : { "date-parts" : [ [ "2016", "8", "24" ] ] }, "author" : [ { "dropping-particle" : "", "family" : "WorldPop Collaboration", "given" : "", "non-dropping-particle" : "", "parse-names" : false, "suffix" : "" } ], "id" : "ITEM-1", "issued" : { "date-parts" : [ [ "2012" ] ] }, "title" : "Worldpop - Selected Data: Africa &amp;gt; Whole Continent &amp;gt; Population 2010", "type" : "webpage" }, "uris" : [ "http://www.mendeley.com/documents/?uuid=20af384e-8869-3dde-ab11-0b59713b5504" ] }, { "id" : "ITEM-2", "itemData" : { "URL" : "https://extranet.who.int/polis/Search", "accessed" : { "date-parts" : [ [ "2016", "8", "2" ] ] }, "id" : "ITEM-2", "issued" : { "date-parts" : [ [ "0" ] ] }, "title" : "POLIS: The polio information system", "type" : "webpage" }, "uris" : [ "http://www.mendeley.com/documents/?uuid=82e25ada-6e23-3b9a-843d-95f02a1f35a6" ] } ], "mendeley" : { "formattedCitation" : "&lt;sup&gt;4,12&lt;/sup&gt;", "plainTextFormattedCitation" : "4,12", "previouslyFormattedCitation" : "&lt;sup&gt;2,10&lt;/sup&gt;" }, "properties" : { "noteIndex" : 0 }, "schema" : "https://github.com/citation-style-language/schema/raw/master/csl-citation.json" }</w:instrText>
      </w:r>
      <w:r w:rsidR="00852FDF">
        <w:fldChar w:fldCharType="separate"/>
      </w:r>
      <w:r w:rsidR="000A5003" w:rsidRPr="000A5003">
        <w:rPr>
          <w:b w:val="0"/>
          <w:noProof/>
          <w:vertAlign w:val="superscript"/>
        </w:rPr>
        <w:t>4,12</w:t>
      </w:r>
      <w:r w:rsidR="00852FDF">
        <w:fldChar w:fldCharType="end"/>
      </w:r>
      <w:r w:rsidR="00852FDF" w:rsidRPr="009C0BDF">
        <w:t xml:space="preserve"> </w:t>
      </w:r>
      <w:r w:rsidR="009C0BDF">
        <w:t xml:space="preserve">The boundaries and names shown and the designations used in the maps in the supplement of this document do not imply the expression of any opinion whatsoever on the part of the World Health Organization concerning the legal status of any country, territory, city, or area or of its authorities, or concerning the delimitation of its frontiers or boundaries.  </w:t>
      </w:r>
      <w:bookmarkStart w:id="7" w:name="_GoBack"/>
      <w:bookmarkEnd w:id="7"/>
    </w:p>
    <w:p w:rsidR="0009078D" w:rsidRDefault="0009078D" w:rsidP="0086743A">
      <w:pPr>
        <w:keepNext/>
        <w:rPr>
          <w:highlight w:val="yellow"/>
        </w:rPr>
      </w:pPr>
    </w:p>
    <w:p w:rsidR="0086743A" w:rsidRDefault="008872FA" w:rsidP="0086743A">
      <w:pPr>
        <w:keepNext/>
      </w:pPr>
      <w:r>
        <w:rPr>
          <w:noProof/>
        </w:rPr>
        <w:drawing>
          <wp:inline distT="0" distB="0" distL="0" distR="0">
            <wp:extent cx="5943600" cy="5454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rat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454015"/>
                    </a:xfrm>
                    <a:prstGeom prst="rect">
                      <a:avLst/>
                    </a:prstGeom>
                  </pic:spPr>
                </pic:pic>
              </a:graphicData>
            </a:graphic>
          </wp:inline>
        </w:drawing>
      </w:r>
    </w:p>
    <w:p w:rsidR="0086743A" w:rsidRDefault="0086743A" w:rsidP="0086743A">
      <w:pPr>
        <w:pStyle w:val="Caption"/>
      </w:pPr>
      <w:bookmarkStart w:id="8" w:name="_Ref458511164"/>
      <w:r>
        <w:t xml:space="preserve">Figure </w:t>
      </w:r>
      <w:fldSimple w:instr=" SEQ Figure \* ARABIC ">
        <w:r w:rsidR="00D4305D">
          <w:rPr>
            <w:noProof/>
          </w:rPr>
          <w:t>7</w:t>
        </w:r>
      </w:fldSimple>
      <w:bookmarkEnd w:id="8"/>
      <w:r>
        <w:t xml:space="preserve">: Position of the 50% </w:t>
      </w:r>
      <w:proofErr w:type="spellStart"/>
      <w:r>
        <w:t>separatrix</w:t>
      </w:r>
      <w:proofErr w:type="spellEnd"/>
      <w:r>
        <w:t xml:space="preserve"> line as the distance dependence in the gravity model of migration varies, at constant </w:t>
      </w:r>
      <w:r>
        <w:rPr>
          <w:i/>
        </w:rPr>
        <w:t>λ</w:t>
      </w:r>
      <w:r>
        <w:t>= 60 days, N</w:t>
      </w:r>
      <w:r>
        <w:softHyphen/>
      </w:r>
      <w:r>
        <w:rPr>
          <w:vertAlign w:val="subscript"/>
        </w:rPr>
        <w:t>IPV</w:t>
      </w:r>
      <w:r>
        <w:t xml:space="preserve">= 1, </w:t>
      </w:r>
      <w:r>
        <w:rPr>
          <w:i/>
        </w:rPr>
        <w:t>c</w:t>
      </w:r>
      <w:r>
        <w:t>= 1.  The solid and dashed lines respectively indicate c = 1 and c = 2, while the cyan, red, grey, and black respectively indicate R</w:t>
      </w:r>
      <w:r>
        <w:rPr>
          <w:vertAlign w:val="subscript"/>
        </w:rPr>
        <w:t>0f</w:t>
      </w:r>
      <w:r>
        <w:t xml:space="preserve"> values of 3, 2, 1.5, and 1.2.  The relative distribution of migration rates in the network induces a negligible effect compared with the overall mean migration rate of individuals on the network to all possible destinations.</w:t>
      </w:r>
    </w:p>
    <w:p w:rsidR="003014F0" w:rsidRDefault="003014F0" w:rsidP="003014F0">
      <w:pPr>
        <w:keepNext/>
      </w:pPr>
      <w:r>
        <w:rPr>
          <w:noProof/>
        </w:rPr>
        <w:lastRenderedPageBreak/>
        <w:drawing>
          <wp:inline distT="0" distB="0" distL="0" distR="0" wp14:anchorId="65754988" wp14:editId="5F92C63D">
            <wp:extent cx="5943600" cy="54538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rate.tiff"/>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3803"/>
                    </a:xfrm>
                    <a:prstGeom prst="rect">
                      <a:avLst/>
                    </a:prstGeom>
                  </pic:spPr>
                </pic:pic>
              </a:graphicData>
            </a:graphic>
          </wp:inline>
        </w:drawing>
      </w:r>
    </w:p>
    <w:p w:rsidR="003014F0" w:rsidRPr="002613BD" w:rsidRDefault="003014F0" w:rsidP="003014F0">
      <w:pPr>
        <w:pStyle w:val="Caption"/>
      </w:pPr>
      <w:bookmarkStart w:id="9" w:name="_Ref458507062"/>
      <w:r>
        <w:t xml:space="preserve">Figure </w:t>
      </w:r>
      <w:fldSimple w:instr=" SEQ Figure \* ARABIC ">
        <w:r w:rsidR="00D4305D">
          <w:rPr>
            <w:noProof/>
          </w:rPr>
          <w:t>8</w:t>
        </w:r>
      </w:fldSimple>
      <w:bookmarkEnd w:id="9"/>
      <w:r>
        <w:t xml:space="preserve">: Position of the 50% </w:t>
      </w:r>
      <w:proofErr w:type="spellStart"/>
      <w:r>
        <w:t>separatrix</w:t>
      </w:r>
      <w:proofErr w:type="spellEnd"/>
      <w:r>
        <w:t xml:space="preserve"> line as the timescale of R</w:t>
      </w:r>
      <w:r>
        <w:rPr>
          <w:vertAlign w:val="subscript"/>
        </w:rPr>
        <w:t>0</w:t>
      </w:r>
      <w:r>
        <w:t xml:space="preserve"> reversion varies, at constant f=0.5, N</w:t>
      </w:r>
      <w:r>
        <w:softHyphen/>
      </w:r>
      <w:r>
        <w:rPr>
          <w:vertAlign w:val="subscript"/>
        </w:rPr>
        <w:t>IPV</w:t>
      </w:r>
      <w:r>
        <w:t xml:space="preserve">= 1, </w:t>
      </w:r>
      <w:r>
        <w:rPr>
          <w:i/>
        </w:rPr>
        <w:t>c</w:t>
      </w:r>
      <w:r>
        <w:t xml:space="preserve">= 1.  The solid and dashed lines respectively indicate </w:t>
      </w:r>
      <w:r>
        <w:rPr>
          <w:i/>
        </w:rPr>
        <w:t>λ</w:t>
      </w:r>
      <w:r>
        <w:t xml:space="preserve">= 60 days and </w:t>
      </w:r>
      <w:r>
        <w:rPr>
          <w:i/>
        </w:rPr>
        <w:t>λ</w:t>
      </w:r>
      <w:r>
        <w:t>= 150 days, while the cyan, red, grey, and black respectively indicate R</w:t>
      </w:r>
      <w:r>
        <w:rPr>
          <w:vertAlign w:val="subscript"/>
        </w:rPr>
        <w:t>0f</w:t>
      </w:r>
      <w:r>
        <w:t xml:space="preserve"> values of 3, 2, 1.5, and 1.2.  The final R</w:t>
      </w:r>
      <w:r>
        <w:rPr>
          <w:vertAlign w:val="subscript"/>
        </w:rPr>
        <w:t>0</w:t>
      </w:r>
      <w:r>
        <w:t xml:space="preserve"> is observed to have the dominant effect.  At the higher values of R</w:t>
      </w:r>
      <w:r>
        <w:rPr>
          <w:vertAlign w:val="subscript"/>
        </w:rPr>
        <w:t>0f</w:t>
      </w:r>
      <w:r>
        <w:t>, changing the reversion timescale provides minimal mitigation of the Sabin 2 survival risk, but the effect grows at lower values of R</w:t>
      </w:r>
      <w:r>
        <w:rPr>
          <w:vertAlign w:val="subscript"/>
        </w:rPr>
        <w:t>0f</w:t>
      </w:r>
      <w:r>
        <w:t>, as the effective reproductive rate of Sabin 2 remains below 1 for more transmission generations.</w:t>
      </w:r>
    </w:p>
    <w:p w:rsidR="00716908" w:rsidRDefault="00716908" w:rsidP="00716908"/>
    <w:p w:rsidR="00716908" w:rsidRDefault="00716908" w:rsidP="00716908">
      <w:pPr>
        <w:rPr>
          <w:b/>
        </w:rPr>
      </w:pPr>
      <w:r>
        <w:rPr>
          <w:b/>
        </w:rPr>
        <w:t>References</w:t>
      </w:r>
    </w:p>
    <w:p w:rsidR="000A5003" w:rsidRPr="000A5003" w:rsidRDefault="00716908" w:rsidP="000A5003">
      <w:pPr>
        <w:widowControl w:val="0"/>
        <w:autoSpaceDE w:val="0"/>
        <w:autoSpaceDN w:val="0"/>
        <w:adjustRightInd w:val="0"/>
        <w:spacing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0A5003" w:rsidRPr="000A5003">
        <w:rPr>
          <w:rFonts w:ascii="Calibri" w:hAnsi="Calibri" w:cs="Times New Roman"/>
          <w:noProof/>
          <w:szCs w:val="24"/>
        </w:rPr>
        <w:t>1</w:t>
      </w:r>
      <w:r w:rsidR="000A5003" w:rsidRPr="000A5003">
        <w:rPr>
          <w:rFonts w:ascii="Calibri" w:hAnsi="Calibri" w:cs="Times New Roman"/>
          <w:noProof/>
          <w:szCs w:val="24"/>
        </w:rPr>
        <w:tab/>
        <w:t xml:space="preserve">Asturias EJ, Bandyopadhyay AS, Self S, </w:t>
      </w:r>
      <w:r w:rsidR="000A5003" w:rsidRPr="000A5003">
        <w:rPr>
          <w:rFonts w:ascii="Calibri" w:hAnsi="Calibri" w:cs="Times New Roman"/>
          <w:i/>
          <w:iCs/>
          <w:noProof/>
          <w:szCs w:val="24"/>
        </w:rPr>
        <w:t>et al.</w:t>
      </w:r>
      <w:r w:rsidR="000A5003" w:rsidRPr="000A5003">
        <w:rPr>
          <w:rFonts w:ascii="Calibri" w:hAnsi="Calibri" w:cs="Times New Roman"/>
          <w:noProof/>
          <w:szCs w:val="24"/>
        </w:rPr>
        <w:t xml:space="preserve"> Humoral and intestinal immunity induced by new schedules of bivalent oral poliovirus vaccine and one or two doses of inactivated poliovirus vaccine in Latin American infants: an open-label randomised controlled trial. </w:t>
      </w:r>
      <w:r w:rsidR="000A5003" w:rsidRPr="000A5003">
        <w:rPr>
          <w:rFonts w:ascii="Calibri" w:hAnsi="Calibri" w:cs="Times New Roman"/>
          <w:i/>
          <w:iCs/>
          <w:noProof/>
          <w:szCs w:val="24"/>
        </w:rPr>
        <w:t>Lancet</w:t>
      </w:r>
      <w:r w:rsidR="000A5003" w:rsidRPr="000A5003">
        <w:rPr>
          <w:rFonts w:ascii="Calibri" w:hAnsi="Calibri" w:cs="Times New Roman"/>
          <w:noProof/>
          <w:szCs w:val="24"/>
        </w:rPr>
        <w:t xml:space="preserve"> 2016; </w:t>
      </w:r>
      <w:r w:rsidR="000A5003" w:rsidRPr="000A5003">
        <w:rPr>
          <w:rFonts w:ascii="Calibri" w:hAnsi="Calibri" w:cs="Times New Roman"/>
          <w:b/>
          <w:bCs/>
          <w:noProof/>
          <w:szCs w:val="24"/>
        </w:rPr>
        <w:t>388</w:t>
      </w:r>
      <w:r w:rsidR="000A5003" w:rsidRPr="000A5003">
        <w:rPr>
          <w:rFonts w:ascii="Calibri" w:hAnsi="Calibri" w:cs="Times New Roman"/>
          <w:noProof/>
          <w:szCs w:val="24"/>
        </w:rPr>
        <w:t>: 158–69.</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2</w:t>
      </w:r>
      <w:r w:rsidRPr="000A5003">
        <w:rPr>
          <w:rFonts w:ascii="Calibri" w:hAnsi="Calibri" w:cs="Times New Roman"/>
          <w:noProof/>
          <w:szCs w:val="24"/>
        </w:rPr>
        <w:tab/>
        <w:t xml:space="preserve">O’Ryan M, Bandyopadhyay AS, Villena R, </w:t>
      </w:r>
      <w:r w:rsidRPr="000A5003">
        <w:rPr>
          <w:rFonts w:ascii="Calibri" w:hAnsi="Calibri" w:cs="Times New Roman"/>
          <w:i/>
          <w:iCs/>
          <w:noProof/>
          <w:szCs w:val="24"/>
        </w:rPr>
        <w:t>et al.</w:t>
      </w:r>
      <w:r w:rsidRPr="000A5003">
        <w:rPr>
          <w:rFonts w:ascii="Calibri" w:hAnsi="Calibri" w:cs="Times New Roman"/>
          <w:noProof/>
          <w:szCs w:val="24"/>
        </w:rPr>
        <w:t xml:space="preserve"> Inactivated poliovirus vaccine given alone or in a sequential schedule with bivalent oral poliovirus vaccine in Chilean infants: a randomised, </w:t>
      </w:r>
      <w:r w:rsidRPr="000A5003">
        <w:rPr>
          <w:rFonts w:ascii="Calibri" w:hAnsi="Calibri" w:cs="Times New Roman"/>
          <w:noProof/>
          <w:szCs w:val="24"/>
        </w:rPr>
        <w:lastRenderedPageBreak/>
        <w:t xml:space="preserve">controlled, open-label, phase 4, non-inferiority study. </w:t>
      </w:r>
      <w:r w:rsidRPr="000A5003">
        <w:rPr>
          <w:rFonts w:ascii="Calibri" w:hAnsi="Calibri" w:cs="Times New Roman"/>
          <w:i/>
          <w:iCs/>
          <w:noProof/>
          <w:szCs w:val="24"/>
        </w:rPr>
        <w:t>Lancet Infect Dis</w:t>
      </w:r>
      <w:r w:rsidRPr="000A5003">
        <w:rPr>
          <w:rFonts w:ascii="Calibri" w:hAnsi="Calibri" w:cs="Times New Roman"/>
          <w:noProof/>
          <w:szCs w:val="24"/>
        </w:rPr>
        <w:t xml:space="preserve"> 2015; </w:t>
      </w:r>
      <w:r w:rsidRPr="000A5003">
        <w:rPr>
          <w:rFonts w:ascii="Calibri" w:hAnsi="Calibri" w:cs="Times New Roman"/>
          <w:b/>
          <w:bCs/>
          <w:noProof/>
          <w:szCs w:val="24"/>
        </w:rPr>
        <w:t>15</w:t>
      </w:r>
      <w:r w:rsidRPr="000A5003">
        <w:rPr>
          <w:rFonts w:ascii="Calibri" w:hAnsi="Calibri" w:cs="Times New Roman"/>
          <w:noProof/>
          <w:szCs w:val="24"/>
        </w:rPr>
        <w:t>: 1273–82.</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3</w:t>
      </w:r>
      <w:r w:rsidRPr="000A5003">
        <w:rPr>
          <w:rFonts w:ascii="Calibri" w:hAnsi="Calibri" w:cs="Times New Roman"/>
          <w:noProof/>
          <w:szCs w:val="24"/>
        </w:rPr>
        <w:tab/>
        <w:t>National Population Commission - Federal Republic of Nigeria, ICF International. Nigeria Demographic and Health Survey, 2013 - Final Report. 2014.</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4</w:t>
      </w:r>
      <w:r w:rsidRPr="000A5003">
        <w:rPr>
          <w:rFonts w:ascii="Calibri" w:hAnsi="Calibri" w:cs="Times New Roman"/>
          <w:noProof/>
          <w:szCs w:val="24"/>
        </w:rPr>
        <w:tab/>
        <w:t>POLIS: The polio information system. https://extranet.who.int/polis/Search (accessed Aug 2, 2016).</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5</w:t>
      </w:r>
      <w:r w:rsidRPr="000A5003">
        <w:rPr>
          <w:rFonts w:ascii="Calibri" w:hAnsi="Calibri" w:cs="Times New Roman"/>
          <w:noProof/>
          <w:szCs w:val="24"/>
        </w:rPr>
        <w:tab/>
        <w:t xml:space="preserve">Behrend MR, Hu H, Nigmatulina KR, Eckhoff P. A quantitative survey of the literature on poliovirus infection and immunity. </w:t>
      </w:r>
      <w:r w:rsidRPr="000A5003">
        <w:rPr>
          <w:rFonts w:ascii="Calibri" w:hAnsi="Calibri" w:cs="Times New Roman"/>
          <w:i/>
          <w:iCs/>
          <w:noProof/>
          <w:szCs w:val="24"/>
        </w:rPr>
        <w:t>Int J Infect Dis</w:t>
      </w:r>
      <w:r w:rsidRPr="000A5003">
        <w:rPr>
          <w:rFonts w:ascii="Calibri" w:hAnsi="Calibri" w:cs="Times New Roman"/>
          <w:noProof/>
          <w:szCs w:val="24"/>
        </w:rPr>
        <w:t xml:space="preserve"> 2014; </w:t>
      </w:r>
      <w:r w:rsidRPr="000A5003">
        <w:rPr>
          <w:rFonts w:ascii="Calibri" w:hAnsi="Calibri" w:cs="Times New Roman"/>
          <w:b/>
          <w:bCs/>
          <w:noProof/>
          <w:szCs w:val="24"/>
        </w:rPr>
        <w:t>18</w:t>
      </w:r>
      <w:r w:rsidRPr="000A5003">
        <w:rPr>
          <w:rFonts w:ascii="Calibri" w:hAnsi="Calibri" w:cs="Times New Roman"/>
          <w:noProof/>
          <w:szCs w:val="24"/>
        </w:rPr>
        <w:t>: 4–13.</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6</w:t>
      </w:r>
      <w:r w:rsidRPr="000A5003">
        <w:rPr>
          <w:rFonts w:ascii="Calibri" w:hAnsi="Calibri" w:cs="Times New Roman"/>
          <w:noProof/>
          <w:szCs w:val="24"/>
        </w:rPr>
        <w:tab/>
        <w:t xml:space="preserve">Duintjer Tebbens RJ, Pallansch MA, Kalkowska DA, Wassilak SGF, Cochi SL, Thompson KM. Characterizing poliovirus transmission and evolution: insights from modeling experiences with wild and vaccine-related polioviruses. </w:t>
      </w:r>
      <w:r w:rsidRPr="000A5003">
        <w:rPr>
          <w:rFonts w:ascii="Calibri" w:hAnsi="Calibri" w:cs="Times New Roman"/>
          <w:i/>
          <w:iCs/>
          <w:noProof/>
          <w:szCs w:val="24"/>
        </w:rPr>
        <w:t>Risk Anal</w:t>
      </w:r>
      <w:r w:rsidRPr="000A5003">
        <w:rPr>
          <w:rFonts w:ascii="Calibri" w:hAnsi="Calibri" w:cs="Times New Roman"/>
          <w:noProof/>
          <w:szCs w:val="24"/>
        </w:rPr>
        <w:t xml:space="preserve"> 2013; </w:t>
      </w:r>
      <w:r w:rsidRPr="000A5003">
        <w:rPr>
          <w:rFonts w:ascii="Calibri" w:hAnsi="Calibri" w:cs="Times New Roman"/>
          <w:b/>
          <w:bCs/>
          <w:noProof/>
          <w:szCs w:val="24"/>
        </w:rPr>
        <w:t>33</w:t>
      </w:r>
      <w:r w:rsidRPr="000A5003">
        <w:rPr>
          <w:rFonts w:ascii="Calibri" w:hAnsi="Calibri" w:cs="Times New Roman"/>
          <w:noProof/>
          <w:szCs w:val="24"/>
        </w:rPr>
        <w:t>: 703–49.</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7</w:t>
      </w:r>
      <w:r w:rsidRPr="000A5003">
        <w:rPr>
          <w:rFonts w:ascii="Calibri" w:hAnsi="Calibri" w:cs="Times New Roman"/>
          <w:noProof/>
          <w:szCs w:val="24"/>
        </w:rPr>
        <w:tab/>
        <w:t xml:space="preserve">Hird TR, Grassly NC. Systematic review of mucosal immunity induced by oral and inactivated poliovirus vaccines against virus shedding following oral poliovirus challenge. </w:t>
      </w:r>
      <w:r w:rsidRPr="000A5003">
        <w:rPr>
          <w:rFonts w:ascii="Calibri" w:hAnsi="Calibri" w:cs="Times New Roman"/>
          <w:i/>
          <w:iCs/>
          <w:noProof/>
          <w:szCs w:val="24"/>
        </w:rPr>
        <w:t>PLoS Pathog</w:t>
      </w:r>
      <w:r w:rsidRPr="000A5003">
        <w:rPr>
          <w:rFonts w:ascii="Calibri" w:hAnsi="Calibri" w:cs="Times New Roman"/>
          <w:noProof/>
          <w:szCs w:val="24"/>
        </w:rPr>
        <w:t xml:space="preserve"> 2012; </w:t>
      </w:r>
      <w:r w:rsidRPr="000A5003">
        <w:rPr>
          <w:rFonts w:ascii="Calibri" w:hAnsi="Calibri" w:cs="Times New Roman"/>
          <w:b/>
          <w:bCs/>
          <w:noProof/>
          <w:szCs w:val="24"/>
        </w:rPr>
        <w:t>8</w:t>
      </w:r>
      <w:r w:rsidRPr="000A5003">
        <w:rPr>
          <w:rFonts w:ascii="Calibri" w:hAnsi="Calibri" w:cs="Times New Roman"/>
          <w:noProof/>
          <w:szCs w:val="24"/>
        </w:rPr>
        <w:t>: e1002599.</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8</w:t>
      </w:r>
      <w:r w:rsidRPr="000A5003">
        <w:rPr>
          <w:rFonts w:ascii="Calibri" w:hAnsi="Calibri" w:cs="Times New Roman"/>
          <w:noProof/>
          <w:szCs w:val="24"/>
        </w:rPr>
        <w:tab/>
        <w:t xml:space="preserve">Wesolowski A, Buckee CO, Pindolia DK, </w:t>
      </w:r>
      <w:r w:rsidRPr="000A5003">
        <w:rPr>
          <w:rFonts w:ascii="Calibri" w:hAnsi="Calibri" w:cs="Times New Roman"/>
          <w:i/>
          <w:iCs/>
          <w:noProof/>
          <w:szCs w:val="24"/>
        </w:rPr>
        <w:t>et al.</w:t>
      </w:r>
      <w:r w:rsidRPr="000A5003">
        <w:rPr>
          <w:rFonts w:ascii="Calibri" w:hAnsi="Calibri" w:cs="Times New Roman"/>
          <w:noProof/>
          <w:szCs w:val="24"/>
        </w:rPr>
        <w:t xml:space="preserve"> The Use of Census Migration Data to Approximate Human Movement Patterns across Temporal Scales. </w:t>
      </w:r>
      <w:r w:rsidRPr="000A5003">
        <w:rPr>
          <w:rFonts w:ascii="Calibri" w:hAnsi="Calibri" w:cs="Times New Roman"/>
          <w:i/>
          <w:iCs/>
          <w:noProof/>
          <w:szCs w:val="24"/>
        </w:rPr>
        <w:t>PLoS One</w:t>
      </w:r>
      <w:r w:rsidRPr="000A5003">
        <w:rPr>
          <w:rFonts w:ascii="Calibri" w:hAnsi="Calibri" w:cs="Times New Roman"/>
          <w:noProof/>
          <w:szCs w:val="24"/>
        </w:rPr>
        <w:t xml:space="preserve"> 2013; </w:t>
      </w:r>
      <w:r w:rsidRPr="000A5003">
        <w:rPr>
          <w:rFonts w:ascii="Calibri" w:hAnsi="Calibri" w:cs="Times New Roman"/>
          <w:b/>
          <w:bCs/>
          <w:noProof/>
          <w:szCs w:val="24"/>
        </w:rPr>
        <w:t>8</w:t>
      </w:r>
      <w:r w:rsidRPr="000A5003">
        <w:rPr>
          <w:rFonts w:ascii="Calibri" w:hAnsi="Calibri" w:cs="Times New Roman"/>
          <w:noProof/>
          <w:szCs w:val="24"/>
        </w:rPr>
        <w:t>: e52971.</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9</w:t>
      </w:r>
      <w:r w:rsidRPr="000A5003">
        <w:rPr>
          <w:rFonts w:ascii="Calibri" w:hAnsi="Calibri" w:cs="Times New Roman"/>
          <w:noProof/>
          <w:szCs w:val="24"/>
        </w:rPr>
        <w:tab/>
        <w:t xml:space="preserve">Duintjer Tebbens RJ, Pallansch MA, Kim J-H, </w:t>
      </w:r>
      <w:r w:rsidRPr="000A5003">
        <w:rPr>
          <w:rFonts w:ascii="Calibri" w:hAnsi="Calibri" w:cs="Times New Roman"/>
          <w:i/>
          <w:iCs/>
          <w:noProof/>
          <w:szCs w:val="24"/>
        </w:rPr>
        <w:t>et al.</w:t>
      </w:r>
      <w:r w:rsidRPr="000A5003">
        <w:rPr>
          <w:rFonts w:ascii="Calibri" w:hAnsi="Calibri" w:cs="Times New Roman"/>
          <w:noProof/>
          <w:szCs w:val="24"/>
        </w:rPr>
        <w:t xml:space="preserve"> Oral poliovirus vaccine evolution and insights relevant to modeling the risks of circulating vaccine-derived polioviruses (cVDPVs). </w:t>
      </w:r>
      <w:r w:rsidRPr="000A5003">
        <w:rPr>
          <w:rFonts w:ascii="Calibri" w:hAnsi="Calibri" w:cs="Times New Roman"/>
          <w:i/>
          <w:iCs/>
          <w:noProof/>
          <w:szCs w:val="24"/>
        </w:rPr>
        <w:t>Risk Anal</w:t>
      </w:r>
      <w:r w:rsidRPr="000A5003">
        <w:rPr>
          <w:rFonts w:ascii="Calibri" w:hAnsi="Calibri" w:cs="Times New Roman"/>
          <w:noProof/>
          <w:szCs w:val="24"/>
        </w:rPr>
        <w:t xml:space="preserve"> 2013; </w:t>
      </w:r>
      <w:r w:rsidRPr="000A5003">
        <w:rPr>
          <w:rFonts w:ascii="Calibri" w:hAnsi="Calibri" w:cs="Times New Roman"/>
          <w:b/>
          <w:bCs/>
          <w:noProof/>
          <w:szCs w:val="24"/>
        </w:rPr>
        <w:t>33</w:t>
      </w:r>
      <w:r w:rsidRPr="000A5003">
        <w:rPr>
          <w:rFonts w:ascii="Calibri" w:hAnsi="Calibri" w:cs="Times New Roman"/>
          <w:noProof/>
          <w:szCs w:val="24"/>
        </w:rPr>
        <w:t>: 680–702.</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10</w:t>
      </w:r>
      <w:r w:rsidRPr="000A5003">
        <w:rPr>
          <w:rFonts w:ascii="Calibri" w:hAnsi="Calibri" w:cs="Times New Roman"/>
          <w:noProof/>
          <w:szCs w:val="24"/>
        </w:rPr>
        <w:tab/>
        <w:t xml:space="preserve">Raftery AE, Bao L. Estimating and Projecting Trends in HIV/AIDS Generalized Epidemics Using Incremental Mixture Importance Sampling. </w:t>
      </w:r>
      <w:r w:rsidRPr="000A5003">
        <w:rPr>
          <w:rFonts w:ascii="Calibri" w:hAnsi="Calibri" w:cs="Times New Roman"/>
          <w:i/>
          <w:iCs/>
          <w:noProof/>
          <w:szCs w:val="24"/>
        </w:rPr>
        <w:t>Biometrics</w:t>
      </w:r>
      <w:r w:rsidRPr="000A5003">
        <w:rPr>
          <w:rFonts w:ascii="Calibri" w:hAnsi="Calibri" w:cs="Times New Roman"/>
          <w:noProof/>
          <w:szCs w:val="24"/>
        </w:rPr>
        <w:t xml:space="preserve"> 2010; </w:t>
      </w:r>
      <w:r w:rsidRPr="000A5003">
        <w:rPr>
          <w:rFonts w:ascii="Calibri" w:hAnsi="Calibri" w:cs="Times New Roman"/>
          <w:b/>
          <w:bCs/>
          <w:noProof/>
          <w:szCs w:val="24"/>
        </w:rPr>
        <w:t>66</w:t>
      </w:r>
      <w:r w:rsidRPr="000A5003">
        <w:rPr>
          <w:rFonts w:ascii="Calibri" w:hAnsi="Calibri" w:cs="Times New Roman"/>
          <w:noProof/>
          <w:szCs w:val="24"/>
        </w:rPr>
        <w:t>: 1162–73.</w:t>
      </w:r>
    </w:p>
    <w:p w:rsidR="000A5003" w:rsidRPr="000A5003" w:rsidRDefault="000A5003" w:rsidP="000A5003">
      <w:pPr>
        <w:widowControl w:val="0"/>
        <w:autoSpaceDE w:val="0"/>
        <w:autoSpaceDN w:val="0"/>
        <w:adjustRightInd w:val="0"/>
        <w:spacing w:line="240" w:lineRule="auto"/>
        <w:ind w:left="640" w:hanging="640"/>
        <w:rPr>
          <w:rFonts w:ascii="Calibri" w:hAnsi="Calibri" w:cs="Times New Roman"/>
          <w:noProof/>
          <w:szCs w:val="24"/>
        </w:rPr>
      </w:pPr>
      <w:r w:rsidRPr="000A5003">
        <w:rPr>
          <w:rFonts w:ascii="Calibri" w:hAnsi="Calibri" w:cs="Times New Roman"/>
          <w:noProof/>
          <w:szCs w:val="24"/>
        </w:rPr>
        <w:t>11</w:t>
      </w:r>
      <w:r w:rsidRPr="000A5003">
        <w:rPr>
          <w:rFonts w:ascii="Calibri" w:hAnsi="Calibri" w:cs="Times New Roman"/>
          <w:noProof/>
          <w:szCs w:val="24"/>
        </w:rPr>
        <w:tab/>
        <w:t xml:space="preserve">Upfill-Brown AM, Lyons HM, Pate MA, </w:t>
      </w:r>
      <w:r w:rsidRPr="000A5003">
        <w:rPr>
          <w:rFonts w:ascii="Calibri" w:hAnsi="Calibri" w:cs="Times New Roman"/>
          <w:i/>
          <w:iCs/>
          <w:noProof/>
          <w:szCs w:val="24"/>
        </w:rPr>
        <w:t>et al.</w:t>
      </w:r>
      <w:r w:rsidRPr="000A5003">
        <w:rPr>
          <w:rFonts w:ascii="Calibri" w:hAnsi="Calibri" w:cs="Times New Roman"/>
          <w:noProof/>
          <w:szCs w:val="24"/>
        </w:rPr>
        <w:t xml:space="preserve"> Predictive spatial risk model of poliovirus to aid prioritization and hasten eradication in Nigeria. </w:t>
      </w:r>
      <w:r w:rsidRPr="000A5003">
        <w:rPr>
          <w:rFonts w:ascii="Calibri" w:hAnsi="Calibri" w:cs="Times New Roman"/>
          <w:i/>
          <w:iCs/>
          <w:noProof/>
          <w:szCs w:val="24"/>
        </w:rPr>
        <w:t>BMC Med</w:t>
      </w:r>
      <w:r w:rsidRPr="000A5003">
        <w:rPr>
          <w:rFonts w:ascii="Calibri" w:hAnsi="Calibri" w:cs="Times New Roman"/>
          <w:noProof/>
          <w:szCs w:val="24"/>
        </w:rPr>
        <w:t xml:space="preserve"> 2014; </w:t>
      </w:r>
      <w:r w:rsidRPr="000A5003">
        <w:rPr>
          <w:rFonts w:ascii="Calibri" w:hAnsi="Calibri" w:cs="Times New Roman"/>
          <w:b/>
          <w:bCs/>
          <w:noProof/>
          <w:szCs w:val="24"/>
        </w:rPr>
        <w:t>12</w:t>
      </w:r>
      <w:r w:rsidRPr="000A5003">
        <w:rPr>
          <w:rFonts w:ascii="Calibri" w:hAnsi="Calibri" w:cs="Times New Roman"/>
          <w:noProof/>
          <w:szCs w:val="24"/>
        </w:rPr>
        <w:t>: 92.</w:t>
      </w:r>
    </w:p>
    <w:p w:rsidR="000A5003" w:rsidRPr="000A5003" w:rsidRDefault="000A5003" w:rsidP="000A5003">
      <w:pPr>
        <w:widowControl w:val="0"/>
        <w:autoSpaceDE w:val="0"/>
        <w:autoSpaceDN w:val="0"/>
        <w:adjustRightInd w:val="0"/>
        <w:spacing w:line="240" w:lineRule="auto"/>
        <w:ind w:left="640" w:hanging="640"/>
        <w:rPr>
          <w:rFonts w:ascii="Calibri" w:hAnsi="Calibri"/>
          <w:noProof/>
        </w:rPr>
      </w:pPr>
      <w:r w:rsidRPr="000A5003">
        <w:rPr>
          <w:rFonts w:ascii="Calibri" w:hAnsi="Calibri" w:cs="Times New Roman"/>
          <w:noProof/>
          <w:szCs w:val="24"/>
        </w:rPr>
        <w:t>12</w:t>
      </w:r>
      <w:r w:rsidRPr="000A5003">
        <w:rPr>
          <w:rFonts w:ascii="Calibri" w:hAnsi="Calibri" w:cs="Times New Roman"/>
          <w:noProof/>
          <w:szCs w:val="24"/>
        </w:rPr>
        <w:tab/>
        <w:t>WorldPop Collaboration. Worldpop - Selected Data: Africa &amp;gt; Whole Continent &amp;gt; Population 2010. 2012. http://www.worldpop.org.uk/data/summary/?contselect=Africa&amp;countselect=Whole+Continent&amp;typeselect=Population+2010 (accessed Aug 24, 2016).</w:t>
      </w:r>
    </w:p>
    <w:p w:rsidR="00716908" w:rsidRPr="00716908" w:rsidRDefault="00716908" w:rsidP="00716908">
      <w:r>
        <w:fldChar w:fldCharType="end"/>
      </w:r>
    </w:p>
    <w:sectPr w:rsidR="00716908" w:rsidRPr="00716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C25"/>
    <w:rsid w:val="00007992"/>
    <w:rsid w:val="000104BD"/>
    <w:rsid w:val="0001541F"/>
    <w:rsid w:val="00045A36"/>
    <w:rsid w:val="00072AAC"/>
    <w:rsid w:val="0009078D"/>
    <w:rsid w:val="000A5003"/>
    <w:rsid w:val="000C101C"/>
    <w:rsid w:val="000C2DD4"/>
    <w:rsid w:val="000E2C22"/>
    <w:rsid w:val="00151ECC"/>
    <w:rsid w:val="00176A6C"/>
    <w:rsid w:val="001E23D9"/>
    <w:rsid w:val="00226F59"/>
    <w:rsid w:val="002B719C"/>
    <w:rsid w:val="002D5939"/>
    <w:rsid w:val="002D7CA8"/>
    <w:rsid w:val="003014F0"/>
    <w:rsid w:val="00305062"/>
    <w:rsid w:val="00305BEA"/>
    <w:rsid w:val="00481B53"/>
    <w:rsid w:val="00492935"/>
    <w:rsid w:val="004E4643"/>
    <w:rsid w:val="00533CA4"/>
    <w:rsid w:val="00555CB6"/>
    <w:rsid w:val="00564214"/>
    <w:rsid w:val="005B4C25"/>
    <w:rsid w:val="005D5906"/>
    <w:rsid w:val="006544C9"/>
    <w:rsid w:val="00656AA6"/>
    <w:rsid w:val="00671627"/>
    <w:rsid w:val="006F704B"/>
    <w:rsid w:val="00716908"/>
    <w:rsid w:val="007661C8"/>
    <w:rsid w:val="00840C9E"/>
    <w:rsid w:val="00852FDF"/>
    <w:rsid w:val="0086743A"/>
    <w:rsid w:val="0088587B"/>
    <w:rsid w:val="008872FA"/>
    <w:rsid w:val="00890691"/>
    <w:rsid w:val="00962282"/>
    <w:rsid w:val="00996CBB"/>
    <w:rsid w:val="009C0BDF"/>
    <w:rsid w:val="009C5E9D"/>
    <w:rsid w:val="009C67B9"/>
    <w:rsid w:val="00A15A1B"/>
    <w:rsid w:val="00A207AC"/>
    <w:rsid w:val="00A21F7F"/>
    <w:rsid w:val="00A225F6"/>
    <w:rsid w:val="00B75F6E"/>
    <w:rsid w:val="00B941A2"/>
    <w:rsid w:val="00BC01BA"/>
    <w:rsid w:val="00C0563C"/>
    <w:rsid w:val="00C07219"/>
    <w:rsid w:val="00C51684"/>
    <w:rsid w:val="00CA6A4A"/>
    <w:rsid w:val="00CE17CE"/>
    <w:rsid w:val="00CE40E0"/>
    <w:rsid w:val="00CF0E5D"/>
    <w:rsid w:val="00D4305D"/>
    <w:rsid w:val="00D80B82"/>
    <w:rsid w:val="00DB2A38"/>
    <w:rsid w:val="00DD2597"/>
    <w:rsid w:val="00E52227"/>
    <w:rsid w:val="00E63A02"/>
    <w:rsid w:val="00EE2918"/>
    <w:rsid w:val="00F25967"/>
    <w:rsid w:val="00FE45FA"/>
    <w:rsid w:val="00FF7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F1D9B"/>
  <w15:chartTrackingRefBased/>
  <w15:docId w15:val="{770F1079-60DB-433D-93EF-2E8174EFE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207AC"/>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207AC"/>
    <w:pPr>
      <w:spacing w:line="240" w:lineRule="auto"/>
    </w:pPr>
    <w:rPr>
      <w:b/>
      <w:bCs/>
      <w:color w:val="5B9BD5" w:themeColor="accent1"/>
      <w:sz w:val="18"/>
      <w:szCs w:val="18"/>
    </w:rPr>
  </w:style>
  <w:style w:type="table" w:styleId="TableGrid">
    <w:name w:val="Table Grid"/>
    <w:basedOn w:val="TableNormal"/>
    <w:uiPriority w:val="59"/>
    <w:rsid w:val="00A20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07AC"/>
    <w:rPr>
      <w:color w:val="0563C1" w:themeColor="hyperlink"/>
      <w:u w:val="single"/>
    </w:rPr>
  </w:style>
  <w:style w:type="character" w:styleId="PlaceholderText">
    <w:name w:val="Placeholder Text"/>
    <w:basedOn w:val="DefaultParagraphFont"/>
    <w:uiPriority w:val="99"/>
    <w:semiHidden/>
    <w:rsid w:val="00E522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idmod.org/idmdoc/"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B2EA4-FEBD-4F9C-9695-B20E7FBEA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15</Pages>
  <Words>21263</Words>
  <Characters>121203</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McCarthy</dc:creator>
  <cp:keywords/>
  <dc:description/>
  <cp:lastModifiedBy>Kevin McCarthy</cp:lastModifiedBy>
  <cp:revision>7</cp:revision>
  <dcterms:created xsi:type="dcterms:W3CDTF">2016-08-29T22:15:00Z</dcterms:created>
  <dcterms:modified xsi:type="dcterms:W3CDTF">2016-10-24T22:50:00Z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http://www.zotero.org/styles/the-lancet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http://www.zotero.org/styles/bmc-infectious-diseases</vt:lpwstr>
  </property>
  <property fmtid="{D5CDD505-2E9C-101B-9397-08002B2CF9AE}" pid="13" name="Mendeley Recent Style Name 4_1">
    <vt:lpwstr>BMC Infectious Diseases</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16th edition (author-date)</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http://www.zotero.org/styles/the-lancet</vt:lpwstr>
  </property>
  <property fmtid="{D5CDD505-2E9C-101B-9397-08002B2CF9AE}" pid="23" name="Mendeley Recent Style Name 9_1">
    <vt:lpwstr>The Lancet</vt:lpwstr>
  </property>
  <property fmtid="{D5CDD505-2E9C-101B-9397-08002B2CF9AE}" pid="24" name="Mendeley Unique User Id_1">
    <vt:lpwstr>d8eaf2a8-e17d-377d-b33b-9a3ebd107266</vt:lpwstr>
  </property>
</Properties>
</file>