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7AC" w:rsidRPr="00A207AC" w:rsidRDefault="00A207AC" w:rsidP="00A207AC">
      <w:pPr>
        <w:rPr>
          <w:sz w:val="28"/>
        </w:rPr>
      </w:pPr>
      <w:r w:rsidRPr="00A207AC">
        <w:rPr>
          <w:b/>
          <w:sz w:val="28"/>
        </w:rPr>
        <w:t>Model Specification</w:t>
      </w:r>
    </w:p>
    <w:p w:rsidR="00A207AC" w:rsidRPr="00A207AC" w:rsidRDefault="00A207AC" w:rsidP="00A207AC">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download at </w:t>
      </w:r>
      <w:hyperlink r:id="rId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B941A2" w:rsidRDefault="00A207AC" w:rsidP="00A207AC">
      <w:r>
        <w:t xml:space="preserve">Individuals in the model exist in susceptible, exposed, and infectious states, with individuals returning to the susceptible state immediately upon clearance of an infection.  </w:t>
      </w:r>
      <w:r w:rsidR="00B941A2">
        <w:t>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00B941A2" w:rsidRPr="00B941A2">
        <w:rPr>
          <w:b/>
        </w:rPr>
        <w:t>α</w:t>
      </w:r>
      <w:r w:rsidR="00B941A2">
        <w:t>), which modulates the probability of infection given exposure to infectivity, and applies in the susceptible state; and transmission-moderating immunity (</w:t>
      </w:r>
      <w:r w:rsidR="00B941A2" w:rsidRPr="00B941A2">
        <w:rPr>
          <w:b/>
        </w:rPr>
        <w:t>τ</w:t>
      </w:r>
      <w:r w:rsidR="00B941A2">
        <w:t xml:space="preserve">), which reduces the infectivity of an infectious individual.  Both </w:t>
      </w:r>
      <w:r w:rsidR="00B941A2" w:rsidRPr="00B941A2">
        <w:rPr>
          <w:b/>
        </w:rPr>
        <w:t>α</w:t>
      </w:r>
      <w:r w:rsidR="00B941A2">
        <w:rPr>
          <w:b/>
        </w:rPr>
        <w:t xml:space="preserve"> </w:t>
      </w:r>
      <w:r w:rsidR="00B941A2">
        <w:t xml:space="preserve">and </w:t>
      </w:r>
      <w:r w:rsidR="00B941A2" w:rsidRPr="00B941A2">
        <w:rPr>
          <w:b/>
        </w:rPr>
        <w:t>τ</w:t>
      </w:r>
      <w:r w:rsidR="00B941A2">
        <w:rPr>
          <w:b/>
        </w:rPr>
        <w:t xml:space="preserve"> </w:t>
      </w:r>
      <w:r w:rsidR="00B941A2">
        <w:t xml:space="preserve">are defined on [0, 1], and are defined such that a completely naïve individual has both properties equal to 1.  At </w:t>
      </w:r>
      <w:r w:rsidR="00B941A2" w:rsidRPr="00B941A2">
        <w:rPr>
          <w:b/>
        </w:rPr>
        <w:t>α</w:t>
      </w:r>
      <w:r w:rsidR="00B941A2" w:rsidRPr="00B941A2">
        <w:t>=0</w:t>
      </w:r>
      <w:r w:rsidR="00B941A2">
        <w:t xml:space="preserve">, an individual cannot be infected by any amount of exposure; at </w:t>
      </w:r>
      <w:r w:rsidR="00B941A2" w:rsidRPr="00B941A2">
        <w:rPr>
          <w:b/>
        </w:rPr>
        <w:t>τ</w:t>
      </w:r>
      <w:r w:rsidR="00B941A2" w:rsidRPr="00B941A2">
        <w:t>=0</w:t>
      </w:r>
      <w:r w:rsidR="00B941A2">
        <w:t xml:space="preserve">, an individual who becomes infected will not shed. </w:t>
      </w:r>
    </w:p>
    <w:p w:rsidR="001E23D9" w:rsidRPr="001E23D9" w:rsidRDefault="001E23D9" w:rsidP="00A207AC">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 xml:space="preserve">parameters stack multiplicatively; these parameters thus aim to model a per-infection effect on acquisition- and transmission-modulating immunity.  </w:t>
      </w:r>
      <w:r w:rsidR="00072AAC">
        <w:t>I</w:t>
      </w:r>
      <w:r w:rsidR="00151ECC">
        <w:t xml:space="preserve">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w:t>
      </w:r>
    </w:p>
    <w:p w:rsidR="00A207AC" w:rsidRPr="00A207AC" w:rsidRDefault="00A207AC" w:rsidP="00A207AC">
      <w:r w:rsidRPr="00A207AC">
        <w:t>The infectious and incubation periods (γ and σ, respectively) were modeled using constant times spent in a compartment, rather than the exponential distribution implied by the rate parameters</w:t>
      </w:r>
      <w:r>
        <w:t xml:space="preserve"> in a standard 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rsidR="00A15A1B">
        <w:fldChar w:fldCharType="begin" w:fldLock="1"/>
      </w:r>
      <w:r w:rsidR="00176A6C">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"&lt;sup&gt;1&lt;/sup&gt;", "plainTextFormattedCitation" : "1", "previouslyFormattedCitation" : "&lt;sup&gt;1&lt;/sup&gt;" }, "properties" : { "noteIndex" : 0 }, "schema" : "https://github.com/citation-style-language/schema/raw/master/csl-citation.json" }</w:instrText>
      </w:r>
      <w:r w:rsidR="00A15A1B">
        <w:fldChar w:fldCharType="separate"/>
      </w:r>
      <w:r w:rsidR="00A15A1B" w:rsidRPr="00A15A1B">
        <w:rPr>
          <w:noProof/>
          <w:vertAlign w:val="superscript"/>
        </w:rPr>
        <w:t>1</w:t>
      </w:r>
      <w:r w:rsidR="00A15A1B">
        <w:fldChar w:fldCharType="end"/>
      </w:r>
      <w:r w:rsidRPr="00A207AC">
        <w:t xml:space="preserve">.  </w:t>
      </w:r>
      <w:r w:rsidR="002D7CA8">
        <w:t xml:space="preserve"> The model tracks only 0-5 year olds, as ~98% of all cVDPV2 paralysis cases in the AFRO region have arisen in this cohort.</w:t>
      </w:r>
      <w:r w:rsidR="00C0563C">
        <w:fldChar w:fldCharType="begin" w:fldLock="1"/>
      </w:r>
      <w:r w:rsidR="00852FDF">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"&lt;sup&gt;2&lt;/sup&gt;", "plainTextFormattedCitation" : "2", "previouslyFormattedCitation" : "&lt;sup&gt;2&lt;/sup&gt;" }, "properties" : { "noteIndex" : 0 }, "schema" : "https://github.com/citation-style-language/schema/raw/master/csl-citation.json" }</w:instrText>
      </w:r>
      <w:r w:rsidR="00C0563C">
        <w:fldChar w:fldCharType="separate"/>
      </w:r>
      <w:r w:rsidR="00C0563C" w:rsidRPr="00C0563C">
        <w:rPr>
          <w:noProof/>
          <w:vertAlign w:val="superscript"/>
        </w:rPr>
        <w:t>2</w:t>
      </w:r>
      <w:r w:rsidR="00C0563C">
        <w:fldChar w:fldCharType="end"/>
      </w:r>
      <w:r w:rsidR="002D7CA8">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w:t>
      </w:r>
      <w:r w:rsidR="00A15A1B">
        <w:t>per year</w:t>
      </w:r>
      <w:r w:rsidR="00A15A1B">
        <w:fldChar w:fldCharType="begin" w:fldLock="1"/>
      </w:r>
      <w:r w:rsidR="00176A6C">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"&lt;sup&gt;1&lt;/sup&gt;", "plainTextFormattedCitation" : "1", "previouslyFormattedCitation" : "&lt;sup&gt;1&lt;/sup&gt;" }, "properties" : { "noteIndex" : 0 }, "schema" : "https://github.com/citation-style-language/schema/raw/master/csl-citation.json" }</w:instrText>
      </w:r>
      <w:r w:rsidR="00A15A1B">
        <w:fldChar w:fldCharType="separate"/>
      </w:r>
      <w:r w:rsidR="00A15A1B" w:rsidRPr="00A15A1B">
        <w:rPr>
          <w:noProof/>
          <w:vertAlign w:val="superscript"/>
        </w:rPr>
        <w:t>1</w:t>
      </w:r>
      <w:r w:rsidR="00A15A1B">
        <w:fldChar w:fldCharType="end"/>
      </w:r>
      <w:r w:rsidR="00A15A1B">
        <w:t>.</w:t>
      </w:r>
    </w:p>
    <w:p w:rsidR="00A207AC" w:rsidRDefault="00A207AC" w:rsidP="00A207AC">
      <w:r w:rsidRPr="00A207AC">
        <w:lastRenderedPageBreak/>
        <w:t>The model includes a linear rising exp</w:t>
      </w:r>
      <w:r w:rsidR="00CE17CE">
        <w:t>osure to infectiousness with age.  This term is based on previous work modeling WPV1 paralysis cases in Kano state, Nigeria (reference), where the number of paralysis c</w:t>
      </w:r>
      <w:r w:rsidR="002D7CA8">
        <w:t xml:space="preserve">ases peaked at 2 years of age, and the age distribution of cVDPV2 cases in AFRO exhibits a similar shape.  </w:t>
      </w:r>
      <w:r w:rsidR="00CE17CE">
        <w:t>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rsidR="009C67B9">
        <w:t>Individual susceptibility vs. age is governed by the following equation:</w:t>
      </w:r>
    </w:p>
    <w:p w:rsidR="009C67B9" w:rsidRPr="009C67B9" w:rsidRDefault="007661C8" w:rsidP="009C67B9">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9C67B9" w:rsidRDefault="00533CA4" w:rsidP="00A207AC">
      <w:r>
        <w:t>Secondary infections arising from individual campaigns are not separately tracked, preventing the tracking of separate VDPV lineages undergoing independent reversion.  R</w:t>
      </w:r>
      <w:r w:rsidR="009C67B9">
        <w:t>ather, infectivity is described as a function of time, held constant through the initial campaigns in the outbreak response and beginning to rise after the final campaign:</w:t>
      </w:r>
    </w:p>
    <w:p w:rsidR="009C67B9" w:rsidRPr="009C67B9" w:rsidRDefault="007661C8" w:rsidP="009C67B9">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A207AC" w:rsidRPr="00840C9E" w:rsidRDefault="00A207AC" w:rsidP="00840C9E">
      <w:pPr>
        <w:autoSpaceDE w:val="0"/>
        <w:autoSpaceDN w:val="0"/>
        <w:adjustRightInd w:val="0"/>
        <w:spacing w:after="0" w:line="240" w:lineRule="auto"/>
        <w:rPr>
          <w:rFonts w:cs="Courier New"/>
          <w:color w:val="000000" w:themeColor="text1"/>
          <w:sz w:val="28"/>
          <w:szCs w:val="24"/>
        </w:rPr>
      </w:pPr>
      <w:r w:rsidRPr="00A207AC">
        <w:t xml:space="preserve">Individuals of any disease state and age migrate between </w:t>
      </w:r>
      <w:proofErr w:type="spellStart"/>
      <w:r w:rsidRPr="00A207AC">
        <w:t>metapopulations</w:t>
      </w:r>
      <w:proofErr w:type="spellEnd"/>
      <w:r w:rsidRPr="00A207AC">
        <w:t xml:space="preserve"> (nodes)</w:t>
      </w:r>
      <w:r w:rsidR="00CE17CE">
        <w:t xml:space="preserve">, which represent AdminL1 (provinces) of </w:t>
      </w:r>
      <w:r w:rsidR="00840C9E">
        <w:t>16</w:t>
      </w:r>
      <w:r w:rsidR="00CE17CE">
        <w:t xml:space="preserve"> West African countries</w:t>
      </w:r>
      <w:r w:rsidR="00840C9E">
        <w:t xml:space="preserve"> (</w:t>
      </w:r>
      <w:r w:rsidR="00840C9E" w:rsidRPr="00840C9E">
        <w:rPr>
          <w:rFonts w:cs="Courier New"/>
          <w:color w:val="000000" w:themeColor="text1"/>
          <w:szCs w:val="20"/>
        </w:rPr>
        <w:t xml:space="preserve">Senegal, Mauritania, Sierra Leone, Guinea, Liberia, </w:t>
      </w:r>
      <w:r w:rsidR="00840C9E">
        <w:rPr>
          <w:rFonts w:cs="Courier New"/>
          <w:color w:val="000000" w:themeColor="text1"/>
          <w:szCs w:val="20"/>
        </w:rPr>
        <w:t>Cote d’Ivoire,</w:t>
      </w:r>
      <w:r w:rsidR="00840C9E" w:rsidRPr="00840C9E">
        <w:rPr>
          <w:rFonts w:cs="Courier New"/>
          <w:color w:val="000000" w:themeColor="text1"/>
          <w:szCs w:val="20"/>
        </w:rPr>
        <w:t xml:space="preserve"> Mali, Burkina Faso, Ghana, Togo, Benin, Niger, Nigeria, Cameroon, Chad, Central African Republic</w:t>
      </w:r>
      <w:r w:rsidR="00840C9E">
        <w:t>)</w:t>
      </w:r>
      <w:r w:rsidRPr="00A207AC">
        <w:t>.</w:t>
      </w:r>
      <w:r w:rsidR="0009078D">
        <w:t xml:space="preserve">  </w:t>
      </w:r>
      <w:r w:rsidRPr="00A207AC">
        <w:t xml:space="preserve">  The infection process in a given node and at a given </w:t>
      </w:r>
      <w:proofErr w:type="spellStart"/>
      <w:r w:rsidRPr="00A207AC">
        <w:t>timestep</w:t>
      </w:r>
      <w:proofErr w:type="spellEnd"/>
      <w:r w:rsidRPr="00A207AC">
        <w:t xml:space="preserve"> is governed by individuals in that node at that </w:t>
      </w:r>
      <w:proofErr w:type="spellStart"/>
      <w:r w:rsidRPr="00A207AC">
        <w:t>timestep</w:t>
      </w:r>
      <w:proofErr w:type="spellEnd"/>
      <w:r w:rsidRPr="00A207AC">
        <w:t xml:space="preserve"> only.  Individuals migrate between nodes (from a home node </w:t>
      </w:r>
      <w:proofErr w:type="spellStart"/>
      <w:r w:rsidRPr="00A207AC">
        <w:rPr>
          <w:i/>
        </w:rPr>
        <w:t>i</w:t>
      </w:r>
      <w:proofErr w:type="spellEnd"/>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007992" w:rsidRPr="009C67B9" w:rsidRDefault="007661C8"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007992" w:rsidRPr="00007992" w:rsidRDefault="00305062" w:rsidP="00A207AC">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r w:rsidR="00A15A1B">
        <w:rPr>
          <w:rFonts w:eastAsiaTheme="minorEastAsia"/>
        </w:rPr>
        <w:t>.</w:t>
      </w:r>
    </w:p>
    <w:p w:rsidR="00A207AC" w:rsidRPr="00A207AC" w:rsidRDefault="00A207AC" w:rsidP="00A207AC">
      <w:r w:rsidRPr="00A207AC">
        <w:rPr>
          <w:b/>
        </w:rPr>
        <w:t>Individual-level transitions</w:t>
      </w:r>
    </w:p>
    <w:p w:rsidR="00007992" w:rsidRDefault="00A207AC" w:rsidP="00E52227">
      <w:r w:rsidRPr="00A207AC">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proofErr w:type="spellStart"/>
      <w:r w:rsidRPr="00A207AC">
        <w:rPr>
          <w:i/>
        </w:rPr>
        <w:t>t</w:t>
      </w:r>
      <w:r w:rsidRPr="00A207AC">
        <w:rPr>
          <w:i/>
          <w:vertAlign w:val="subscript"/>
        </w:rPr>
        <w:t>X</w:t>
      </w:r>
      <w:proofErr w:type="spellEnd"/>
      <w:r w:rsidRPr="00A207AC">
        <w:rPr>
          <w:i/>
        </w:rPr>
        <w:t>,</w:t>
      </w:r>
      <w:r w:rsidRPr="00A207AC">
        <w:t xml:space="preserve"> home node </w:t>
      </w:r>
      <w:proofErr w:type="spellStart"/>
      <w:r w:rsidRPr="00A207AC">
        <w:rPr>
          <w:i/>
        </w:rPr>
        <w:t>i</w:t>
      </w:r>
      <w:proofErr w:type="spellEnd"/>
      <w:r w:rsidRPr="00A207AC">
        <w:t xml:space="preserve">, current node </w:t>
      </w:r>
      <w:r w:rsidRPr="00A207AC">
        <w:rPr>
          <w:i/>
        </w:rPr>
        <w:t>j</w:t>
      </w:r>
      <w:r w:rsidR="004E4643">
        <w:rPr>
          <w:i/>
        </w:rPr>
        <w:t>,</w:t>
      </w:r>
      <w:r w:rsidR="004E4643">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rsidR="004E4643">
        <w:t xml:space="preserve">  </w:t>
      </w:r>
    </w:p>
    <w:p w:rsidR="00A207AC" w:rsidRPr="00A207AC" w:rsidRDefault="004E4643" w:rsidP="00A207AC">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w:t>
      </w:r>
      <w:r w:rsidR="000C101C">
        <w:rPr>
          <w:rFonts w:eastAsiaTheme="minorEastAsia"/>
        </w:rPr>
        <w:t>g</w:t>
      </w:r>
      <w:r>
        <w:rPr>
          <w:rFonts w:eastAsiaTheme="minorEastAsia"/>
        </w:rPr>
        <w:t>e in a given transition will be suppressed</w:t>
      </w:r>
      <w:r w:rsidR="00E52227">
        <w:rPr>
          <w:rFonts w:eastAsiaTheme="minorEastAsia"/>
        </w:rPr>
        <w:t xml:space="preserve">.  </w:t>
      </w:r>
      <w:r w:rsidR="00EE2918">
        <w:rPr>
          <w:i/>
        </w:rPr>
        <w:t xml:space="preserve">S, E, </w:t>
      </w:r>
      <w:r w:rsidR="00EE2918">
        <w:t xml:space="preserve">and </w:t>
      </w:r>
      <w:r w:rsidR="00EE2918">
        <w:rPr>
          <w:i/>
        </w:rPr>
        <w:t xml:space="preserve">I </w:t>
      </w:r>
      <w:r w:rsidR="00E52227" w:rsidRPr="00A207AC">
        <w:t xml:space="preserve">without subscripts </w:t>
      </w:r>
      <w:r w:rsidR="00E52227">
        <w:t xml:space="preserve">will </w:t>
      </w:r>
      <w:r w:rsidR="00E52227" w:rsidRPr="00A207AC">
        <w:t xml:space="preserve">indicate </w:t>
      </w:r>
      <w:r w:rsidR="00EE2918">
        <w:t>an individual’s disease state</w:t>
      </w:r>
      <w:r w:rsidR="00E52227" w:rsidRPr="00A207AC">
        <w:t xml:space="preserve">, </w:t>
      </w:r>
      <w:r w:rsidR="00E52227" w:rsidRPr="00A207AC">
        <w:lastRenderedPageBreak/>
        <w:t xml:space="preserve">and with subscripts </w:t>
      </w:r>
      <w:r w:rsidR="00E52227" w:rsidRPr="00A207AC">
        <w:rPr>
          <w:i/>
        </w:rPr>
        <w:t>j</w:t>
      </w:r>
      <w:r w:rsidR="00E52227" w:rsidRPr="00A207AC">
        <w:t xml:space="preserve"> </w:t>
      </w:r>
      <w:r w:rsidR="00E52227">
        <w:t xml:space="preserve">will </w:t>
      </w:r>
      <w:r w:rsidR="00E52227" w:rsidRPr="00A207AC">
        <w:t xml:space="preserve">indicate the total population in state </w:t>
      </w:r>
      <w:r w:rsidR="00E52227" w:rsidRPr="00A207AC">
        <w:rPr>
          <w:i/>
        </w:rPr>
        <w:t>X</w:t>
      </w:r>
      <w:r w:rsidR="00E52227" w:rsidRPr="00A207AC">
        <w:t xml:space="preserve"> in node </w:t>
      </w:r>
      <w:r w:rsidR="00E52227" w:rsidRPr="00A207AC">
        <w:rPr>
          <w:i/>
        </w:rPr>
        <w:t>j</w:t>
      </w:r>
      <w:r w:rsidR="00E52227" w:rsidRPr="00A207AC">
        <w:t xml:space="preserve">. </w:t>
      </w:r>
      <w:proofErr w:type="spellStart"/>
      <w:r w:rsidR="00E52227" w:rsidRPr="00A207AC">
        <w:rPr>
          <w:i/>
        </w:rPr>
        <w:t>N</w:t>
      </w:r>
      <w:r w:rsidR="00E52227" w:rsidRPr="00A207AC">
        <w:rPr>
          <w:i/>
        </w:rPr>
        <w:softHyphen/>
      </w:r>
      <w:r w:rsidR="00E52227" w:rsidRPr="00A207AC">
        <w:rPr>
          <w:i/>
          <w:vertAlign w:val="subscript"/>
        </w:rPr>
        <w:t>j</w:t>
      </w:r>
      <w:proofErr w:type="spellEnd"/>
      <w:r w:rsidR="00E52227" w:rsidRPr="00A207AC">
        <w:rPr>
          <w:i/>
        </w:rPr>
        <w:t xml:space="preserve"> </w:t>
      </w:r>
      <w:r w:rsidR="00E52227" w:rsidRPr="00A207AC">
        <w:t xml:space="preserve">indicates the total population of node </w:t>
      </w:r>
      <w:r w:rsidR="00E52227" w:rsidRPr="00A207AC">
        <w:rPr>
          <w:i/>
        </w:rPr>
        <w:t>j</w:t>
      </w:r>
      <w:r w:rsidR="00E52227" w:rsidRPr="00A207AC">
        <w:t xml:space="preserve">.  </w:t>
      </w:r>
    </w:p>
    <w:p w:rsidR="00A207AC" w:rsidRDefault="00A207AC" w:rsidP="00A207AC">
      <w:r w:rsidRPr="00A207AC">
        <w:t xml:space="preserve">The first transition in a given </w:t>
      </w:r>
      <w:proofErr w:type="spellStart"/>
      <w:r w:rsidRPr="00A207AC">
        <w:t>timestep</w:t>
      </w:r>
      <w:proofErr w:type="spellEnd"/>
      <w:r w:rsidRPr="00A207AC">
        <w:t xml:space="preserve"> is aging:</w:t>
      </w:r>
    </w:p>
    <w:p w:rsidR="00007992" w:rsidRPr="00007992" w:rsidRDefault="007661C8" w:rsidP="00A207AC">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207AC" w:rsidRPr="00A207AC" w:rsidRDefault="00A207AC" w:rsidP="00A207AC">
      <w:r w:rsidRPr="00A207AC">
        <w:t>Next,</w:t>
      </w:r>
      <w:r w:rsidR="004E4643">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007992" w:rsidRPr="00A207AC" w:rsidTr="000C101C">
        <w:tc>
          <w:tcPr>
            <w:tcW w:w="2155" w:type="dxa"/>
          </w:tcPr>
          <w:p w:rsidR="00007992" w:rsidRPr="00A207AC" w:rsidRDefault="000C101C" w:rsidP="00305062">
            <w:pPr>
              <w:rPr>
                <w:rFonts w:ascii="Calibri" w:eastAsia="Calibri" w:hAnsi="Calibri" w:cs="Times New Roman"/>
              </w:rPr>
            </w:pPr>
            <w:r>
              <w:rPr>
                <w:rFonts w:ascii="Calibri" w:eastAsia="Calibri" w:hAnsi="Calibri" w:cs="Times New Roman"/>
              </w:rPr>
              <w:t>IPV immunization:</w:t>
            </w:r>
          </w:p>
        </w:tc>
        <w:tc>
          <w:tcPr>
            <w:tcW w:w="7290" w:type="dxa"/>
          </w:tcPr>
          <w:p w:rsidR="00007992" w:rsidRPr="000C101C" w:rsidRDefault="007661C8" w:rsidP="009C67B9">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007992" w:rsidRPr="00A207AC" w:rsidTr="000C101C">
        <w:tc>
          <w:tcPr>
            <w:tcW w:w="2155" w:type="dxa"/>
          </w:tcPr>
          <w:p w:rsidR="00007992" w:rsidRDefault="00007992" w:rsidP="00305062">
            <w:pPr>
              <w:rPr>
                <w:rFonts w:ascii="Calibri" w:eastAsia="Calibri" w:hAnsi="Calibri" w:cs="Times New Roman"/>
              </w:rPr>
            </w:pPr>
            <w:r>
              <w:rPr>
                <w:rFonts w:ascii="Calibri" w:eastAsia="Calibri" w:hAnsi="Calibri" w:cs="Times New Roman"/>
              </w:rPr>
              <w:t>OPV immunization</w:t>
            </w:r>
            <w:r w:rsidR="000C101C">
              <w:rPr>
                <w:rFonts w:ascii="Calibri" w:eastAsia="Calibri" w:hAnsi="Calibri" w:cs="Times New Roman"/>
              </w:rPr>
              <w:t>:</w:t>
            </w:r>
          </w:p>
        </w:tc>
        <w:tc>
          <w:tcPr>
            <w:tcW w:w="7290" w:type="dxa"/>
          </w:tcPr>
          <w:p w:rsidR="000C101C" w:rsidRPr="000C101C" w:rsidRDefault="007661C8"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0C101C" w:rsidRPr="00A207AC" w:rsidRDefault="00A207AC" w:rsidP="00A207AC">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sidR="004E4643">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sidR="004E4643">
        <w:rPr>
          <w:rFonts w:eastAsiaTheme="minorEastAsia"/>
          <w:i/>
        </w:rPr>
        <w:t xml:space="preserve"> </w:t>
      </w:r>
      <w:r w:rsidR="004E4643">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A207AC" w:rsidRDefault="00A207AC" w:rsidP="00A207AC">
      <w:pPr>
        <w:rPr>
          <w:rFonts w:eastAsiaTheme="minorEastAsia"/>
        </w:rPr>
      </w:pPr>
      <w:r w:rsidRPr="00A207AC">
        <w:rPr>
          <w:rFonts w:eastAsiaTheme="minorEastAsia"/>
        </w:rPr>
        <w:t xml:space="preserve">The infectious dynamics </w:t>
      </w:r>
      <w:r w:rsidR="00E52227">
        <w:rPr>
          <w:rFonts w:eastAsiaTheme="minorEastAsia"/>
        </w:rPr>
        <w:t>follow:</w:t>
      </w:r>
    </w:p>
    <w:p w:rsidR="00E52227" w:rsidRPr="00E52227" w:rsidRDefault="00E52227" w:rsidP="00A207AC">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w:t>
      </w:r>
      <w:proofErr w:type="gramStart"/>
      <w:r>
        <w:rPr>
          <w:rFonts w:eastAsiaTheme="minorEastAsia"/>
        </w:rPr>
        <w:t>individuals</w:t>
      </w:r>
      <w:proofErr w:type="gramEnd"/>
      <w:r>
        <w:rPr>
          <w:rFonts w:eastAsiaTheme="minorEastAsia"/>
        </w:rPr>
        <w:t xml:space="preserve"> </w:t>
      </w:r>
      <w:r>
        <w:rPr>
          <w:rFonts w:eastAsiaTheme="minorEastAsia"/>
          <w:i/>
        </w:rPr>
        <w:t>k</w:t>
      </w:r>
      <w:r>
        <w:rPr>
          <w:rFonts w:eastAsiaTheme="minorEastAsia"/>
        </w:rPr>
        <w:t xml:space="preserve"> in node </w:t>
      </w:r>
      <w:r>
        <w:rPr>
          <w:rFonts w:eastAsiaTheme="minorEastAsia"/>
          <w:i/>
        </w:rPr>
        <w:t>j:</w:t>
      </w:r>
    </w:p>
    <w:p w:rsidR="00E52227" w:rsidRPr="00E52227" w:rsidRDefault="007661C8"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E52227" w:rsidRPr="00E52227" w:rsidRDefault="00E52227" w:rsidP="00A207AC">
      <w:pPr>
        <w:rPr>
          <w:rFonts w:eastAsiaTheme="minorEastAsia"/>
        </w:rPr>
      </w:pPr>
    </w:p>
    <w:tbl>
      <w:tblPr>
        <w:tblStyle w:val="TableGrid"/>
        <w:tblW w:w="9805" w:type="dxa"/>
        <w:tblLook w:val="04A0" w:firstRow="1" w:lastRow="0" w:firstColumn="1" w:lastColumn="0" w:noHBand="0" w:noVBand="1"/>
      </w:tblPr>
      <w:tblGrid>
        <w:gridCol w:w="9805"/>
      </w:tblGrid>
      <w:tr w:rsidR="000C101C" w:rsidRPr="00A207AC" w:rsidTr="000C101C">
        <w:trPr>
          <w:trHeight w:val="530"/>
        </w:trPr>
        <w:tc>
          <w:tcPr>
            <w:tcW w:w="9805" w:type="dxa"/>
          </w:tcPr>
          <w:p w:rsidR="000C101C" w:rsidRPr="000C101C" w:rsidRDefault="007661C8"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0C101C" w:rsidRPr="00A207AC" w:rsidTr="000C101C">
        <w:tc>
          <w:tcPr>
            <w:tcW w:w="9805" w:type="dxa"/>
          </w:tcPr>
          <w:p w:rsidR="000C101C" w:rsidRPr="000C101C" w:rsidRDefault="007661C8" w:rsidP="009C67B9">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0C101C" w:rsidRPr="00A207AC" w:rsidTr="000C101C">
        <w:trPr>
          <w:trHeight w:val="467"/>
        </w:trPr>
        <w:tc>
          <w:tcPr>
            <w:tcW w:w="9805" w:type="dxa"/>
          </w:tcPr>
          <w:p w:rsidR="000C101C" w:rsidRPr="000C101C" w:rsidRDefault="007661C8"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A207AC" w:rsidRPr="00A207AC" w:rsidRDefault="00A207AC" w:rsidP="00A207AC">
      <w:r w:rsidRPr="00A207AC">
        <w:t xml:space="preserve">Deaths are processed next: </w:t>
      </w:r>
    </w:p>
    <w:tbl>
      <w:tblPr>
        <w:tblStyle w:val="TableGrid"/>
        <w:tblW w:w="9805" w:type="dxa"/>
        <w:tblLook w:val="04A0" w:firstRow="1" w:lastRow="0" w:firstColumn="1" w:lastColumn="0" w:noHBand="0" w:noVBand="1"/>
      </w:tblPr>
      <w:tblGrid>
        <w:gridCol w:w="9805"/>
      </w:tblGrid>
      <w:tr w:rsidR="000C101C" w:rsidRPr="00A207AC" w:rsidTr="000C101C">
        <w:trPr>
          <w:trHeight w:val="458"/>
        </w:trPr>
        <w:tc>
          <w:tcPr>
            <w:tcW w:w="9805" w:type="dxa"/>
          </w:tcPr>
          <w:p w:rsidR="000C101C" w:rsidRPr="000C101C" w:rsidRDefault="007661C8"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A207AC" w:rsidRPr="00A207AC" w:rsidRDefault="00A207AC" w:rsidP="00A207AC">
      <w:r w:rsidRPr="00A207AC">
        <w:t xml:space="preserve">Followed by migration – again, outbound migration follows the rates in Eq. </w:t>
      </w:r>
      <w:r w:rsidR="00305BEA">
        <w:fldChar w:fldCharType="begin"/>
      </w:r>
      <w:r w:rsidR="00305BEA">
        <w:instrText xml:space="preserve"> REF _Ref456038182 \h </w:instrText>
      </w:r>
      <w:r w:rsidR="00305BEA">
        <w:fldChar w:fldCharType="separate"/>
      </w:r>
      <w:r w:rsidR="00305BEA" w:rsidRPr="00A207AC">
        <w:t xml:space="preserve">( </w:t>
      </w:r>
      <w:r w:rsidR="00305BEA" w:rsidRPr="00A207AC">
        <w:rPr>
          <w:noProof/>
        </w:rPr>
        <w:t>2</w:t>
      </w:r>
      <w:r w:rsidR="00305BEA" w:rsidRPr="00A207AC">
        <w:t xml:space="preserve"> )</w:t>
      </w:r>
      <w:r w:rsidR="00305BEA">
        <w:fldChar w:fldCharType="end"/>
      </w:r>
      <w:r w:rsidR="00305BEA">
        <w:t xml:space="preserve">, </w:t>
      </w:r>
      <w:r w:rsidR="00890691">
        <w:t>and</w:t>
      </w:r>
      <w:r w:rsidRPr="00A207AC">
        <w:t xml:space="preserve"> homebound migration always takes place the following </w:t>
      </w:r>
      <w:proofErr w:type="spellStart"/>
      <w:r w:rsidR="00305BEA">
        <w:t>timestep</w:t>
      </w:r>
      <w:proofErr w:type="spellEnd"/>
      <w:r w:rsidRPr="00A207AC">
        <w:t>:</w:t>
      </w:r>
    </w:p>
    <w:tbl>
      <w:tblPr>
        <w:tblStyle w:val="TableGrid"/>
        <w:tblW w:w="9805" w:type="dxa"/>
        <w:tblLook w:val="04A0" w:firstRow="1" w:lastRow="0" w:firstColumn="1" w:lastColumn="0" w:noHBand="0" w:noVBand="1"/>
      </w:tblPr>
      <w:tblGrid>
        <w:gridCol w:w="9805"/>
      </w:tblGrid>
      <w:tr w:rsidR="000C101C" w:rsidRPr="00A207AC" w:rsidTr="000C101C">
        <w:tc>
          <w:tcPr>
            <w:tcW w:w="9805" w:type="dxa"/>
          </w:tcPr>
          <w:p w:rsidR="000C101C" w:rsidRPr="000C101C" w:rsidRDefault="007661C8"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0C101C" w:rsidRPr="00A207AC" w:rsidTr="000C101C">
        <w:trPr>
          <w:trHeight w:val="485"/>
        </w:trPr>
        <w:tc>
          <w:tcPr>
            <w:tcW w:w="9805" w:type="dxa"/>
          </w:tcPr>
          <w:p w:rsidR="000C101C" w:rsidRPr="000C101C" w:rsidRDefault="007661C8" w:rsidP="009C67B9">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A207AC" w:rsidRPr="00A207AC" w:rsidRDefault="00A207AC" w:rsidP="00A207AC">
      <w:r w:rsidRPr="00A207AC">
        <w:t>Finally, new births are processed:</w:t>
      </w:r>
    </w:p>
    <w:tbl>
      <w:tblPr>
        <w:tblStyle w:val="TableGrid"/>
        <w:tblW w:w="9805" w:type="dxa"/>
        <w:tblLook w:val="04A0" w:firstRow="1" w:lastRow="0" w:firstColumn="1" w:lastColumn="0" w:noHBand="0" w:noVBand="1"/>
      </w:tblPr>
      <w:tblGrid>
        <w:gridCol w:w="9805"/>
      </w:tblGrid>
      <w:tr w:rsidR="000C101C" w:rsidRPr="00A207AC" w:rsidTr="000C101C">
        <w:trPr>
          <w:trHeight w:val="467"/>
        </w:trPr>
        <w:tc>
          <w:tcPr>
            <w:tcW w:w="9805" w:type="dxa"/>
          </w:tcPr>
          <w:p w:rsidR="000C101C" w:rsidRPr="000C101C" w:rsidRDefault="007661C8"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A207AC" w:rsidRDefault="00A207AC" w:rsidP="00A207AC">
      <w:r w:rsidRPr="00A207AC">
        <w:lastRenderedPageBreak/>
        <w:t xml:space="preserve">Equations </w:t>
      </w:r>
      <w:r w:rsidRPr="00A207AC">
        <w:fldChar w:fldCharType="begin"/>
      </w:r>
      <w:r w:rsidRPr="00A207AC">
        <w:instrText xml:space="preserve"> REF _Ref449621993 \h  \* MERGEFORMAT </w:instrText>
      </w:r>
      <w:r w:rsidRPr="00A207AC">
        <w:fldChar w:fldCharType="separate"/>
      </w:r>
      <w:r w:rsidRPr="00A207AC">
        <w:t xml:space="preserve">( </w:t>
      </w:r>
      <w:r w:rsidR="009C67B9">
        <w:rPr>
          <w:noProof/>
        </w:rPr>
        <w:t>1-</w:t>
      </w:r>
      <w:proofErr w:type="gramStart"/>
      <w:r w:rsidR="009C67B9">
        <w:rPr>
          <w:noProof/>
        </w:rPr>
        <w:t>14</w:t>
      </w:r>
      <w:r w:rsidRPr="00A207AC">
        <w:t xml:space="preserve"> )</w:t>
      </w:r>
      <w:proofErr w:type="gramEnd"/>
      <w:r w:rsidRPr="00A207AC">
        <w:fldChar w:fldCharType="end"/>
      </w:r>
      <w:r w:rsidRPr="00A207AC">
        <w:t xml:space="preserve"> combine to specify the agent-based model as implemented. This specification can also be converted into a set of stochastic difference equations; the resulting equations are rather unwieldy and somewhat difficult to read, limiting how informative they are to the reader. </w:t>
      </w:r>
      <w:r w:rsidR="002D5939">
        <w:t xml:space="preserve"> The relevant model parameters are summarized in </w:t>
      </w:r>
      <w:r w:rsidR="00226F59">
        <w:rPr>
          <w:highlight w:val="yellow"/>
        </w:rPr>
        <w:fldChar w:fldCharType="begin"/>
      </w:r>
      <w:r w:rsidR="00226F59">
        <w:instrText xml:space="preserve"> REF _Ref458507313 \h </w:instrText>
      </w:r>
      <w:r w:rsidR="00226F59">
        <w:rPr>
          <w:highlight w:val="yellow"/>
        </w:rPr>
      </w:r>
      <w:r w:rsidR="00226F59">
        <w:rPr>
          <w:highlight w:val="yellow"/>
        </w:rPr>
        <w:fldChar w:fldCharType="separate"/>
      </w:r>
      <w:r w:rsidR="00226F59">
        <w:t xml:space="preserve">Table </w:t>
      </w:r>
      <w:r w:rsidR="00226F59">
        <w:rPr>
          <w:noProof/>
        </w:rPr>
        <w:t>1</w:t>
      </w:r>
      <w:r w:rsidR="00226F59">
        <w:rPr>
          <w:highlight w:val="yellow"/>
        </w:rPr>
        <w:fldChar w:fldCharType="end"/>
      </w:r>
      <w:r w:rsidR="00226F59">
        <w:t>.</w:t>
      </w:r>
    </w:p>
    <w:p w:rsidR="002D5939" w:rsidRDefault="002D5939" w:rsidP="00A207AC"/>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A15A1B" w:rsidTr="00A15A1B">
        <w:tc>
          <w:tcPr>
            <w:tcW w:w="3330" w:type="dxa"/>
          </w:tcPr>
          <w:p w:rsidR="00A15A1B" w:rsidRPr="002D5939" w:rsidRDefault="00A15A1B" w:rsidP="00A207AC">
            <w:r>
              <w:t>Parameter description (symbol)</w:t>
            </w:r>
          </w:p>
        </w:tc>
        <w:tc>
          <w:tcPr>
            <w:tcW w:w="1530" w:type="dxa"/>
          </w:tcPr>
          <w:p w:rsidR="00A15A1B" w:rsidRPr="002D5939" w:rsidRDefault="00A15A1B" w:rsidP="00A207AC">
            <w:r>
              <w:t>Value(s)</w:t>
            </w:r>
          </w:p>
        </w:tc>
        <w:tc>
          <w:tcPr>
            <w:tcW w:w="4320" w:type="dxa"/>
          </w:tcPr>
          <w:p w:rsidR="00A15A1B" w:rsidRPr="002D5939" w:rsidRDefault="00A15A1B" w:rsidP="00A207AC">
            <w:r>
              <w:t>Relevant effect or equation</w:t>
            </w:r>
          </w:p>
        </w:tc>
        <w:tc>
          <w:tcPr>
            <w:tcW w:w="1440" w:type="dxa"/>
          </w:tcPr>
          <w:p w:rsidR="00A15A1B" w:rsidRDefault="00A15A1B" w:rsidP="00A207AC">
            <w:r>
              <w:t>Comparison references</w:t>
            </w:r>
          </w:p>
        </w:tc>
      </w:tr>
      <w:tr w:rsidR="00A15A1B" w:rsidTr="00A15A1B">
        <w:tc>
          <w:tcPr>
            <w:tcW w:w="3330" w:type="dxa"/>
          </w:tcPr>
          <w:p w:rsidR="00A15A1B" w:rsidRPr="002D5939" w:rsidRDefault="00A15A1B" w:rsidP="00305062">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A15A1B" w:rsidRPr="002D5939" w:rsidRDefault="00A15A1B" w:rsidP="00A207AC">
            <w:r>
              <w:t>0.9</w:t>
            </w:r>
          </w:p>
        </w:tc>
        <w:tc>
          <w:tcPr>
            <w:tcW w:w="4320" w:type="dxa"/>
          </w:tcPr>
          <w:p w:rsidR="00A15A1B" w:rsidRPr="002D5939" w:rsidRDefault="00A15A1B" w:rsidP="002D5939">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A15A1B" w:rsidRDefault="00A15A1B"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"&lt;sup&gt;3\u20135&lt;/sup&gt;", "plainTextFormattedCitation" : "3\u20135",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3–5</w:t>
            </w:r>
            <w:r>
              <w:rPr>
                <w:rFonts w:ascii="Calibri" w:eastAsia="Calibri" w:hAnsi="Calibri" w:cs="Times New Roman"/>
              </w:rPr>
              <w:fldChar w:fldCharType="end"/>
            </w:r>
          </w:p>
        </w:tc>
      </w:tr>
      <w:tr w:rsidR="00A15A1B" w:rsidTr="00A15A1B">
        <w:tc>
          <w:tcPr>
            <w:tcW w:w="3330" w:type="dxa"/>
          </w:tcPr>
          <w:p w:rsidR="00A15A1B" w:rsidRPr="002D5939" w:rsidRDefault="00A15A1B" w:rsidP="002D5939">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A15A1B" w:rsidRPr="002D5939" w:rsidRDefault="00A15A1B" w:rsidP="00A207AC">
            <w:r>
              <w:t>0.6</w:t>
            </w:r>
          </w:p>
        </w:tc>
        <w:tc>
          <w:tcPr>
            <w:tcW w:w="4320" w:type="dxa"/>
          </w:tcPr>
          <w:p w:rsidR="00A15A1B" w:rsidRPr="002D5939" w:rsidRDefault="00A15A1B" w:rsidP="002D5939">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A15A1B" w:rsidRDefault="00A15A1B"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"&lt;sup&gt;3\u20135&lt;/sup&gt;", "plainTextFormattedCitation" : "3\u20135",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3–5</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305062" w:rsidRDefault="00A15A1B" w:rsidP="002D5939">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A15A1B" w:rsidRDefault="00A15A1B" w:rsidP="00C0563C">
            <w:pPr>
              <w:rPr>
                <w:rFonts w:eastAsiaTheme="minorEastAsia"/>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"&lt;sup&gt;3\u20135&lt;/sup&gt;", "plainTextFormattedCitation" : "3\u20135",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3–5</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2D5939" w:rsidRDefault="00A15A1B" w:rsidP="002D5939">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A15A1B" w:rsidRDefault="00A15A1B" w:rsidP="00C0563C">
            <w:pPr>
              <w:rPr>
                <w:rFonts w:eastAsiaTheme="minorEastAsia"/>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"&lt;sup&gt;3\u20135&lt;/sup&gt;", "plainTextFormattedCitation" : "3\u20135",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3–5</w:t>
            </w:r>
            <w:r>
              <w:rPr>
                <w:rFonts w:ascii="Calibri" w:eastAsia="Calibri" w:hAnsi="Calibri" w:cs="Times New Roman"/>
              </w:rPr>
              <w:fldChar w:fldCharType="end"/>
            </w:r>
          </w:p>
        </w:tc>
      </w:tr>
      <w:tr w:rsidR="00A15A1B" w:rsidRPr="002D5939" w:rsidTr="00A15A1B">
        <w:tc>
          <w:tcPr>
            <w:tcW w:w="3330" w:type="dxa"/>
          </w:tcPr>
          <w:p w:rsidR="00A15A1B" w:rsidRPr="00305062" w:rsidRDefault="00A15A1B" w:rsidP="00A207AC">
            <w:r>
              <w:t>Age-dependent susceptibility intercept (</w:t>
            </w:r>
            <w:r>
              <w:rPr>
                <w:i/>
              </w:rPr>
              <w:t>f</w:t>
            </w:r>
            <w:r>
              <w:rPr>
                <w:i/>
                <w:vertAlign w:val="subscript"/>
              </w:rPr>
              <w:t>0</w:t>
            </w:r>
            <w:r>
              <w:t>)</w:t>
            </w:r>
          </w:p>
        </w:tc>
        <w:tc>
          <w:tcPr>
            <w:tcW w:w="1530" w:type="dxa"/>
          </w:tcPr>
          <w:p w:rsidR="00A15A1B" w:rsidRPr="002D5939" w:rsidRDefault="00A15A1B" w:rsidP="00A207AC">
            <w:r>
              <w:t>0.0</w:t>
            </w:r>
          </w:p>
        </w:tc>
        <w:tc>
          <w:tcPr>
            <w:tcW w:w="4320" w:type="dxa"/>
          </w:tcPr>
          <w:p w:rsidR="00A15A1B" w:rsidRPr="002D5939" w:rsidRDefault="00A15A1B" w:rsidP="00A207AC">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Pr="00305062" w:rsidRDefault="00A15A1B" w:rsidP="00A207AC">
            <w:r>
              <w:t>Age-dependent susceptibility slope (</w:t>
            </w:r>
            <w:r>
              <w:rPr>
                <w:i/>
              </w:rPr>
              <w:t>f</w:t>
            </w:r>
            <w:r>
              <w:rPr>
                <w:i/>
                <w:vertAlign w:val="subscript"/>
              </w:rPr>
              <w:t>1</w:t>
            </w:r>
            <w:r>
              <w:t>)</w:t>
            </w:r>
          </w:p>
        </w:tc>
        <w:tc>
          <w:tcPr>
            <w:tcW w:w="1530" w:type="dxa"/>
          </w:tcPr>
          <w:p w:rsidR="00A15A1B" w:rsidRDefault="00A15A1B" w:rsidP="00A207AC">
            <w:r>
              <w:t>0.5</w:t>
            </w:r>
          </w:p>
        </w:tc>
        <w:tc>
          <w:tcPr>
            <w:tcW w:w="4320" w:type="dxa"/>
          </w:tcPr>
          <w:p w:rsidR="00A15A1B" w:rsidRDefault="00A15A1B" w:rsidP="00A207AC">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Migration rate scalar (</w:t>
            </w:r>
            <m:oMath>
              <m:r>
                <w:rPr>
                  <w:rFonts w:ascii="Cambria Math" w:eastAsia="Calibri" w:hAnsi="Cambria Math" w:cs="Times New Roman"/>
                </w:rPr>
                <m:t>κ</m:t>
              </m:r>
            </m:oMath>
            <w:r>
              <w:t>)</w:t>
            </w:r>
          </w:p>
        </w:tc>
        <w:tc>
          <w:tcPr>
            <w:tcW w:w="1530" w:type="dxa"/>
          </w:tcPr>
          <w:p w:rsidR="00A15A1B" w:rsidRDefault="00A15A1B" w:rsidP="00A207AC">
            <w:r>
              <w:t xml:space="preserve">Varied in </w:t>
            </w:r>
            <w:proofErr w:type="spellStart"/>
            <w:r>
              <w:t>separatrix</w:t>
            </w:r>
            <w:proofErr w:type="spellEnd"/>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A15A1B" w:rsidRDefault="00A15A1B" w:rsidP="00A207AC">
            <w:r>
              <w:t>{1, 2}</w:t>
            </w:r>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Duration of exposed state (</w:t>
            </w:r>
            <m:oMath>
              <m:r>
                <w:rPr>
                  <w:rFonts w:ascii="Cambria Math" w:eastAsiaTheme="minorEastAsia" w:hAnsi="Cambria Math"/>
                </w:rPr>
                <m:t>σ)</m:t>
              </m:r>
            </m:oMath>
          </w:p>
        </w:tc>
        <w:tc>
          <w:tcPr>
            <w:tcW w:w="1530" w:type="dxa"/>
          </w:tcPr>
          <w:p w:rsidR="00A15A1B" w:rsidRDefault="00A15A1B" w:rsidP="00A207AC">
            <w:r>
              <w:t>3</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A15A1B" w:rsidRDefault="00716908"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"&lt;sup&gt;3,4&lt;/sup&gt;", "plainTextFormattedCitation" : "3,4",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3,4</w:t>
            </w:r>
            <w:r>
              <w:rPr>
                <w:rFonts w:ascii="Calibri" w:eastAsia="Calibri" w:hAnsi="Calibri" w:cs="Times New Roman"/>
              </w:rPr>
              <w:fldChar w:fldCharType="end"/>
            </w:r>
          </w:p>
        </w:tc>
      </w:tr>
      <w:tr w:rsidR="00A15A1B" w:rsidRPr="002D5939" w:rsidTr="00A15A1B">
        <w:tc>
          <w:tcPr>
            <w:tcW w:w="3330" w:type="dxa"/>
          </w:tcPr>
          <w:p w:rsidR="00A15A1B" w:rsidRDefault="00A15A1B" w:rsidP="00A207AC">
            <w:r>
              <w:t>Duration of infectious state (</w:t>
            </w:r>
            <m:oMath>
              <m:r>
                <w:rPr>
                  <w:rFonts w:ascii="Cambria Math" w:eastAsiaTheme="minorEastAsia" w:hAnsi="Cambria Math"/>
                </w:rPr>
                <m:t xml:space="preserve">γ) </m:t>
              </m:r>
            </m:oMath>
          </w:p>
        </w:tc>
        <w:tc>
          <w:tcPr>
            <w:tcW w:w="1530" w:type="dxa"/>
          </w:tcPr>
          <w:p w:rsidR="00A15A1B" w:rsidRDefault="00A15A1B" w:rsidP="00A207AC">
            <w:r>
              <w:t>27</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A15A1B" w:rsidRDefault="00716908"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"&lt;sup&gt;3,4&lt;/sup&gt;", "plainTextFormattedCitation" : "3,4",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3,4</w:t>
            </w:r>
            <w:r>
              <w:rPr>
                <w:rFonts w:ascii="Calibri" w:eastAsia="Calibri" w:hAnsi="Calibri" w:cs="Times New Roman"/>
              </w:rPr>
              <w:fldChar w:fldCharType="end"/>
            </w:r>
          </w:p>
        </w:tc>
      </w:tr>
      <w:tr w:rsidR="00A15A1B" w:rsidRPr="002D5939" w:rsidTr="00A15A1B">
        <w:tc>
          <w:tcPr>
            <w:tcW w:w="3330" w:type="dxa"/>
          </w:tcPr>
          <w:p w:rsidR="00A15A1B" w:rsidRDefault="00A15A1B" w:rsidP="00716908">
            <w:r>
              <w:t>Initial infectiousness of Sabin 2 relative to fully-reverted (</w:t>
            </w:r>
            <m:oMath>
              <m:r>
                <w:rPr>
                  <w:rFonts w:ascii="Cambria Math" w:hAnsi="Cambria Math"/>
                </w:rPr>
                <m:t>f)</m:t>
              </m:r>
            </m:oMath>
          </w:p>
        </w:tc>
        <w:tc>
          <w:tcPr>
            <w:tcW w:w="1530" w:type="dxa"/>
          </w:tcPr>
          <w:p w:rsidR="00A15A1B" w:rsidRDefault="00A15A1B" w:rsidP="00A207AC">
            <w:r>
              <w:t xml:space="preserve">{0.25, 0.5} </w:t>
            </w:r>
          </w:p>
        </w:tc>
        <w:tc>
          <w:tcPr>
            <w:tcW w:w="4320" w:type="dxa"/>
          </w:tcPr>
          <w:p w:rsidR="00A15A1B" w:rsidRDefault="00A15A1B" w:rsidP="00716908">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C0563C">
            <w:pPr>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4</w:t>
            </w:r>
            <w:r>
              <w:rPr>
                <w:rFonts w:ascii="Calibri" w:eastAsia="Calibri" w:hAnsi="Calibri" w:cs="Times New Roman"/>
              </w:rPr>
              <w:fldChar w:fldCharType="end"/>
            </w:r>
          </w:p>
        </w:tc>
      </w:tr>
      <w:tr w:rsidR="00A15A1B" w:rsidRPr="002D5939" w:rsidTr="00A15A1B">
        <w:tc>
          <w:tcPr>
            <w:tcW w:w="3330" w:type="dxa"/>
          </w:tcPr>
          <w:p w:rsidR="00A15A1B" w:rsidRDefault="00A15A1B" w:rsidP="00A207AC">
            <w:r>
              <w:t>Final R</w:t>
            </w:r>
            <w:r>
              <w:softHyphen/>
            </w:r>
            <w:r>
              <w:rPr>
                <w:vertAlign w:val="subscript"/>
              </w:rPr>
              <w:t>0</w:t>
            </w:r>
            <w:r>
              <w:t xml:space="preserve"> of reverted Sabin 2</w:t>
            </w:r>
          </w:p>
        </w:tc>
        <w:tc>
          <w:tcPr>
            <w:tcW w:w="1530" w:type="dxa"/>
          </w:tcPr>
          <w:p w:rsidR="00A15A1B" w:rsidRDefault="00A15A1B" w:rsidP="00A207AC">
            <w:r>
              <w:t>{1.2, 1.5, 2, 3}</w:t>
            </w:r>
          </w:p>
        </w:tc>
        <w:tc>
          <w:tcPr>
            <w:tcW w:w="4320" w:type="dxa"/>
          </w:tcPr>
          <w:p w:rsidR="00A15A1B" w:rsidRPr="006F704B" w:rsidRDefault="007661C8" w:rsidP="006F704B">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A15A1B" w:rsidRPr="006F704B" w:rsidRDefault="00A15A1B" w:rsidP="006F704B">
            <w:pPr>
              <w:rPr>
                <w:rFonts w:ascii="Calibri" w:eastAsia="Calibri" w:hAnsi="Calibri" w:cs="Times New Roman"/>
              </w:rPr>
            </w:pPr>
            <w:r>
              <w:rPr>
                <w:rFonts w:ascii="Calibri" w:eastAsia="Calibri" w:hAnsi="Calibri" w:cs="Times New Roman"/>
              </w:rPr>
              <w:lastRenderedPageBreak/>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A15A1B" w:rsidRDefault="00A15A1B" w:rsidP="006F704B">
            <w:pPr>
              <w:rPr>
                <w:rFonts w:ascii="Calibri" w:eastAsia="Calibri" w:hAnsi="Calibri" w:cs="Times New Roman"/>
              </w:rPr>
            </w:pPr>
          </w:p>
        </w:tc>
      </w:tr>
      <w:tr w:rsidR="00A15A1B" w:rsidRPr="002D5939" w:rsidTr="00A15A1B">
        <w:tc>
          <w:tcPr>
            <w:tcW w:w="3330" w:type="dxa"/>
          </w:tcPr>
          <w:p w:rsidR="00A15A1B" w:rsidRDefault="00A15A1B" w:rsidP="00A207AC">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A15A1B" w:rsidRDefault="00A15A1B" w:rsidP="006F704B">
            <w:r>
              <w:t>86 (time of final outbreak response campaign)</w:t>
            </w:r>
          </w:p>
        </w:tc>
        <w:tc>
          <w:tcPr>
            <w:tcW w:w="4320" w:type="dxa"/>
          </w:tcPr>
          <w:p w:rsidR="00A15A1B" w:rsidRDefault="00A15A1B" w:rsidP="00A207AC">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Timescale of Sabin reversion (</w:t>
            </w:r>
            <m:oMath>
              <m:r>
                <w:rPr>
                  <w:rFonts w:ascii="Cambria Math" w:hAnsi="Cambria Math"/>
                </w:rPr>
                <m:t>λ)</m:t>
              </m:r>
            </m:oMath>
          </w:p>
        </w:tc>
        <w:tc>
          <w:tcPr>
            <w:tcW w:w="1530" w:type="dxa"/>
          </w:tcPr>
          <w:p w:rsidR="00A15A1B" w:rsidRDefault="00A15A1B" w:rsidP="006F704B">
            <w:r>
              <w:t>{60, 150}</w:t>
            </w:r>
          </w:p>
        </w:tc>
        <w:tc>
          <w:tcPr>
            <w:tcW w:w="4320" w:type="dxa"/>
          </w:tcPr>
          <w:p w:rsidR="00A15A1B" w:rsidRDefault="00A15A1B" w:rsidP="00226F59">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C0563C">
            <w:pPr>
              <w:keepNext/>
              <w:rPr>
                <w:rFonts w:ascii="Calibri" w:eastAsia="Calibri" w:hAnsi="Calibri" w:cs="Times New Roman"/>
              </w:rPr>
            </w:pPr>
            <w:r>
              <w:rPr>
                <w:rFonts w:ascii="Calibri" w:eastAsia="Calibri" w:hAnsi="Calibri" w:cs="Times New Roman"/>
              </w:rPr>
              <w:fldChar w:fldCharType="begin" w:fldLock="1"/>
            </w:r>
            <w:r w:rsidR="00C0563C">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"&lt;sup&gt;7&lt;/sup&gt;", "plainTextFormattedCitation" : "7", "previouslyFormattedCitation" : "&lt;sup&gt;7&lt;/sup&gt;" }, "properties" : { "noteIndex" : 0 }, "schema" : "https://github.com/citation-style-language/schema/raw/master/csl-citation.json" }</w:instrText>
            </w:r>
            <w:r>
              <w:rPr>
                <w:rFonts w:ascii="Calibri" w:eastAsia="Calibri" w:hAnsi="Calibri" w:cs="Times New Roman"/>
              </w:rPr>
              <w:fldChar w:fldCharType="separate"/>
            </w:r>
            <w:r w:rsidR="00C0563C" w:rsidRPr="00C0563C">
              <w:rPr>
                <w:rFonts w:ascii="Calibri" w:eastAsia="Calibri" w:hAnsi="Calibri" w:cs="Times New Roman"/>
                <w:noProof/>
                <w:vertAlign w:val="superscript"/>
              </w:rPr>
              <w:t>7</w:t>
            </w:r>
            <w:r>
              <w:rPr>
                <w:rFonts w:ascii="Calibri" w:eastAsia="Calibri" w:hAnsi="Calibri" w:cs="Times New Roman"/>
              </w:rPr>
              <w:fldChar w:fldCharType="end"/>
            </w:r>
          </w:p>
        </w:tc>
      </w:tr>
    </w:tbl>
    <w:p w:rsidR="002D5939" w:rsidRPr="002D5939" w:rsidRDefault="00226F59" w:rsidP="00226F59">
      <w:pPr>
        <w:pStyle w:val="Caption"/>
      </w:pPr>
      <w:bookmarkStart w:id="0" w:name="_Ref458507313"/>
      <w:r>
        <w:t xml:space="preserve">Table </w:t>
      </w:r>
      <w:fldSimple w:instr=" SEQ Table \* ARABIC ">
        <w:r>
          <w:rPr>
            <w:noProof/>
          </w:rPr>
          <w:t>1</w:t>
        </w:r>
      </w:fldSimple>
      <w:bookmarkEnd w:id="0"/>
      <w:r>
        <w:t>: Description of all model parameters relevant to the study</w:t>
      </w:r>
    </w:p>
    <w:p w:rsidR="00671627" w:rsidRDefault="00671627" w:rsidP="00DD2597">
      <w:pPr>
        <w:rPr>
          <w:b/>
        </w:rPr>
      </w:pPr>
    </w:p>
    <w:p w:rsidR="00DD2597" w:rsidRPr="00C63835" w:rsidRDefault="00DD2597" w:rsidP="00DD2597">
      <w:r>
        <w:rPr>
          <w:b/>
        </w:rPr>
        <w:t>Calibration</w:t>
      </w:r>
    </w:p>
    <w:p w:rsidR="00FF7A91" w:rsidRDefault="00FF7A91" w:rsidP="00FF7A91">
      <w:r>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rsidR="00555CB6">
        <w:fldChar w:fldCharType="begin"/>
      </w:r>
      <w:r w:rsidR="00555CB6">
        <w:instrText xml:space="preserve"> REF _Ref459891284 \h </w:instrText>
      </w:r>
      <w:r w:rsidR="00555CB6">
        <w:fldChar w:fldCharType="separate"/>
      </w:r>
      <w:r w:rsidR="00555CB6">
        <w:t xml:space="preserve">Figure </w:t>
      </w:r>
      <w:r w:rsidR="00555CB6">
        <w:rPr>
          <w:noProof/>
        </w:rPr>
        <w:t>1</w:t>
      </w:r>
      <w:r w:rsidR="00555CB6">
        <w:fldChar w:fldCharType="end"/>
      </w:r>
      <w:r w:rsidR="00555CB6">
        <w:t xml:space="preserve"> </w:t>
      </w:r>
      <w:r>
        <w:t>presents this historical outbreak, with countries placed into a rough ordering from northwest at the top to southeast at the bottom, producing a striking traveling epidemic pattern.</w:t>
      </w:r>
    </w:p>
    <w:p w:rsidR="000104BD" w:rsidRDefault="000104BD" w:rsidP="000104B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8.3pt;height:241.5pt">
            <v:imagedata r:id="rId6" o:title="outbreak_data"/>
          </v:shape>
        </w:pict>
      </w:r>
    </w:p>
    <w:p w:rsidR="000104BD" w:rsidRPr="00E63A02" w:rsidRDefault="000104BD" w:rsidP="000104BD">
      <w:pPr>
        <w:pStyle w:val="Caption"/>
      </w:pPr>
      <w:bookmarkStart w:id="1" w:name="_Ref459891284"/>
      <w:r>
        <w:t xml:space="preserve">Figure </w:t>
      </w:r>
      <w:fldSimple w:instr=" SEQ Figure \* ARABIC ">
        <w:r w:rsidR="00D4305D">
          <w:rPr>
            <w:noProof/>
          </w:rPr>
          <w:t>1</w:t>
        </w:r>
      </w:fldSimple>
      <w:bookmarkEnd w:id="1"/>
      <w:r>
        <w:t xml:space="preserve">: Wild Poliovirus Type 1 outbreak in West Africa, 2008-2010. Countries are </w:t>
      </w:r>
      <w:r>
        <w:t xml:space="preserve">roughly </w:t>
      </w:r>
      <w:r>
        <w:t xml:space="preserve">ordered northwest to southeast from top to bottom.  </w:t>
      </w:r>
    </w:p>
    <w:p w:rsidR="009C5E9D" w:rsidRDefault="00E63A02">
      <w:r>
        <w:t xml:space="preserve">Calibrating the properties of the </w:t>
      </w:r>
      <w:r w:rsidR="00FF7A91">
        <w:t xml:space="preserve">modeled </w:t>
      </w:r>
      <w:r>
        <w:t xml:space="preserve">migration network to </w:t>
      </w:r>
      <w:r w:rsidR="00FF7A91">
        <w:t xml:space="preserve">this </w:t>
      </w:r>
      <w:r>
        <w:t>past poliovirus outbreak presents inherent difficulties – due to the case-to-infection ratio, the spread of infection is poorly sampled; disease propagation on the network is stochastic</w:t>
      </w:r>
      <w:r w:rsidR="009C5E9D">
        <w:t>, and only a single observation of propagation on the network is observed</w:t>
      </w:r>
      <w:r>
        <w:t>; and the propagation process depends not only on the structure of the migration network, but also on the uncertain transmissibility and immunity conditions in the nodes of the network.  For these reasons, a detailed calibra</w:t>
      </w:r>
      <w:r w:rsidR="00FF7A91">
        <w:t>tion of the migration models to the full spatial infection traces is not attempted.  R</w:t>
      </w:r>
      <w:r>
        <w:t xml:space="preserve">ather, </w:t>
      </w:r>
      <w:r w:rsidR="00FF7A91">
        <w:t xml:space="preserve">calibration </w:t>
      </w:r>
      <w:r w:rsidR="009C5E9D">
        <w:t xml:space="preserve">qualitatively </w:t>
      </w:r>
      <w:r w:rsidR="00FF7A91">
        <w:t xml:space="preserve">targets </w:t>
      </w:r>
      <w:r>
        <w:t xml:space="preserve">the </w:t>
      </w:r>
      <w:r w:rsidR="009C5E9D">
        <w:t xml:space="preserve">temporal behavior of the outbreak, seeking to </w:t>
      </w:r>
      <w:r w:rsidR="00DB2A38">
        <w:t>minimize the differences between</w:t>
      </w:r>
      <w:r w:rsidR="009C5E9D">
        <w:t xml:space="preserve"> a “case-weighted time” in each country from data</w:t>
      </w:r>
      <w:r w:rsidR="00DB2A38">
        <w:t xml:space="preserve"> (Eq. </w:t>
      </w:r>
      <w:r w:rsidR="00555CB6">
        <w:t>15</w:t>
      </w:r>
      <w:r w:rsidR="00DB2A38">
        <w:fldChar w:fldCharType="begin"/>
      </w:r>
      <w:r w:rsidR="00DB2A38">
        <w:instrText xml:space="preserve"> REF _Ref459817352 \h </w:instrText>
      </w:r>
      <w:r w:rsidR="00DB2A38">
        <w:fldChar w:fldCharType="separate"/>
      </w:r>
      <w:r w:rsidR="00DB2A38">
        <w:fldChar w:fldCharType="end"/>
      </w:r>
      <w:r w:rsidR="00DB2A38">
        <w:t>)</w:t>
      </w:r>
      <w:r w:rsidR="009C5E9D">
        <w:t xml:space="preserve"> and “incidence-weighted time” from simulation in each country</w:t>
      </w:r>
      <w:r w:rsidR="00DB2A38">
        <w:t xml:space="preserve"> (Eq. </w:t>
      </w:r>
      <w:r w:rsidR="00555CB6">
        <w:t>16</w:t>
      </w:r>
      <w:r w:rsidR="00DB2A38">
        <w:t>)</w:t>
      </w:r>
      <w:r w:rsidR="009C5E9D">
        <w:t>.</w:t>
      </w:r>
      <w:r>
        <w:t xml:space="preserve"> </w:t>
      </w:r>
      <w:r w:rsidR="009C5E9D">
        <w:t xml:space="preserve">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DB2A38" w:rsidTr="00DB2A38">
        <w:tc>
          <w:tcPr>
            <w:tcW w:w="8005" w:type="dxa"/>
          </w:tcPr>
          <w:p w:rsidR="00DB2A38" w:rsidRPr="00555CB6" w:rsidRDefault="007661C8"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555CB6" w:rsidP="00555CB6">
            <w:pPr>
              <w:pStyle w:val="Caption"/>
              <w:rPr>
                <w:b w:val="0"/>
                <w:color w:val="auto"/>
              </w:rPr>
            </w:pPr>
            <m:oMathPara>
              <m:oMath>
                <m:d>
                  <m:dPr>
                    <m:ctrlPr>
                      <w:rPr>
                        <w:rFonts w:ascii="Cambria Math" w:eastAsiaTheme="minorEastAsia" w:hAnsi="Cambria Math"/>
                        <w:b w:val="0"/>
                        <w:i/>
                        <w:color w:val="auto"/>
                      </w:rPr>
                    </m:ctrlPr>
                  </m:dPr>
                  <m:e>
                    <m:r>
                      <w:rPr>
                        <w:rFonts w:ascii="Cambria Math" w:eastAsiaTheme="minorEastAsia" w:hAnsi="Cambria Math"/>
                        <w:color w:val="auto"/>
                      </w:rPr>
                      <m:t>15</m:t>
                    </m:r>
                  </m:e>
                </m:d>
              </m:oMath>
            </m:oMathPara>
          </w:p>
        </w:tc>
      </w:tr>
      <w:tr w:rsidR="00DB2A38" w:rsidTr="00DB2A38">
        <w:tc>
          <w:tcPr>
            <w:tcW w:w="8005" w:type="dxa"/>
          </w:tcPr>
          <w:p w:rsidR="00DB2A38" w:rsidRPr="00555CB6" w:rsidRDefault="007661C8"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555CB6" w:rsidP="00555CB6">
            <w:pPr>
              <w:pStyle w:val="Caption"/>
              <w:rPr>
                <w:b w:val="0"/>
                <w:color w:val="auto"/>
              </w:rPr>
            </w:pPr>
            <m:oMathPara>
              <m:oMath>
                <m:d>
                  <m:dPr>
                    <m:ctrlPr>
                      <w:rPr>
                        <w:rFonts w:ascii="Cambria Math" w:eastAsiaTheme="minorEastAsia" w:hAnsi="Cambria Math"/>
                        <w:b w:val="0"/>
                        <w:i/>
                        <w:color w:val="auto"/>
                      </w:rPr>
                    </m:ctrlPr>
                  </m:dPr>
                  <m:e>
                    <m:r>
                      <w:rPr>
                        <w:rFonts w:ascii="Cambria Math" w:eastAsiaTheme="minorEastAsia" w:hAnsi="Cambria Math"/>
                        <w:color w:val="auto"/>
                      </w:rPr>
                      <m:t>16</m:t>
                    </m:r>
                  </m:e>
                </m:d>
              </m:oMath>
            </m:oMathPara>
          </w:p>
        </w:tc>
      </w:tr>
      <w:tr w:rsidR="00DB2A38" w:rsidTr="00DB2A38">
        <w:tc>
          <w:tcPr>
            <w:tcW w:w="8005" w:type="dxa"/>
          </w:tcPr>
          <w:p w:rsidR="00DB2A38" w:rsidRPr="00555CB6" w:rsidRDefault="00555CB6" w:rsidP="00DB2A38">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00DB2A38" w:rsidRPr="00555CB6">
              <w:rPr>
                <w:rFonts w:eastAsiaTheme="minorEastAsia"/>
              </w:rPr>
              <w:t xml:space="preserve">  </w:t>
            </w:r>
            <m:oMath>
              <m:r>
                <w:rPr>
                  <w:rFonts w:ascii="Cambria Math" w:hAnsi="Cambria Math"/>
                </w:rPr>
                <m:t xml:space="preserve"> </m:t>
              </m:r>
            </m:oMath>
          </w:p>
        </w:tc>
        <w:tc>
          <w:tcPr>
            <w:tcW w:w="1345" w:type="dxa"/>
          </w:tcPr>
          <w:p w:rsidR="00DB2A38" w:rsidRPr="00555CB6" w:rsidRDefault="00555CB6" w:rsidP="00555CB6">
            <w:pPr>
              <w:pStyle w:val="Caption"/>
              <w:rPr>
                <w:b w:val="0"/>
                <w:color w:val="auto"/>
              </w:rPr>
            </w:pPr>
            <m:oMathPara>
              <m:oMath>
                <m:d>
                  <m:dPr>
                    <m:ctrlPr>
                      <w:rPr>
                        <w:rFonts w:ascii="Cambria Math" w:eastAsiaTheme="minorEastAsia" w:hAnsi="Cambria Math"/>
                        <w:b w:val="0"/>
                        <w:i/>
                        <w:color w:val="auto"/>
                      </w:rPr>
                    </m:ctrlPr>
                  </m:dPr>
                  <m:e>
                    <m:r>
                      <w:rPr>
                        <w:rFonts w:ascii="Cambria Math" w:eastAsiaTheme="minorEastAsia" w:hAnsi="Cambria Math"/>
                        <w:color w:val="auto"/>
                      </w:rPr>
                      <m:t>17</m:t>
                    </m:r>
                  </m:e>
                </m:d>
              </m:oMath>
            </m:oMathPara>
          </w:p>
        </w:tc>
      </w:tr>
    </w:tbl>
    <w:p w:rsidR="00FE45FA" w:rsidRDefault="00FE45FA">
      <w:pPr>
        <w:rPr>
          <w:rFonts w:eastAsiaTheme="minorEastAsia"/>
        </w:rPr>
      </w:pPr>
      <w:r>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w:t>
      </w:r>
      <w:r>
        <w:rPr>
          <w:rFonts w:eastAsiaTheme="minorEastAsia"/>
        </w:rPr>
        <w:lastRenderedPageBreak/>
        <w:t xml:space="preserve">to that peak in each simulation.  </w:t>
      </w:r>
      <w:r w:rsidR="00DB2A38" w:rsidRPr="00FE45FA">
        <w:t>The</w:t>
      </w:r>
      <w:r w:rsidR="00DB2A38">
        <w:t xml:space="preserve"> calibration aims to minimize the term </w:t>
      </w:r>
      <m:oMath>
        <m:r>
          <w:rPr>
            <w:rFonts w:ascii="Cambria Math" w:hAnsi="Cambria Math"/>
          </w:rPr>
          <m:t>σ</m:t>
        </m:r>
      </m:oMath>
      <w:r w:rsidR="00DB2A38">
        <w:rPr>
          <w:rFonts w:eastAsiaTheme="minorEastAsia"/>
        </w:rPr>
        <w:t xml:space="preserve"> defined in Eq. </w:t>
      </w:r>
      <w:r w:rsidR="00555CB6">
        <w:rPr>
          <w:rFonts w:eastAsiaTheme="minorEastAsia"/>
        </w:rPr>
        <w:t>17</w:t>
      </w:r>
      <w:r w:rsidR="00DB2A38">
        <w:rPr>
          <w:rFonts w:eastAsiaTheme="minorEastAsia"/>
        </w:rPr>
        <w:t xml:space="preserve"> above (in practice, it actually aims to maximize </w:t>
      </w:r>
      <m:oMath>
        <m:r>
          <w:rPr>
            <w:rFonts w:ascii="Cambria Math" w:hAnsi="Cambria Math"/>
          </w:rPr>
          <m:t>-log10(σ)</m:t>
        </m:r>
      </m:oMath>
      <w:r w:rsidR="00DB2A38">
        <w:rPr>
          <w:rFonts w:eastAsiaTheme="minorEastAsia"/>
        </w:rPr>
        <w:t xml:space="preserve">).  </w:t>
      </w:r>
    </w:p>
    <w:p w:rsidR="00DB2A38" w:rsidRDefault="00DB2A38">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sidR="00D80B82">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"&lt;sup&gt;8&lt;/sup&gt;", "plainTextFormattedCitation" : "8", "previouslyFormattedCitation" : "&lt;sup&gt;8&lt;/sup&gt;" }, "properties" : { "noteIndex" : 0 }, "schema" : "https://github.com/citation-style-language/schema/raw/master/csl-citation.json" }</w:instrText>
      </w:r>
      <w:r>
        <w:rPr>
          <w:rFonts w:eastAsiaTheme="minorEastAsia"/>
        </w:rPr>
        <w:fldChar w:fldCharType="separate"/>
      </w:r>
      <w:r w:rsidRPr="00DB2A38">
        <w:rPr>
          <w:rFonts w:eastAsiaTheme="minorEastAsia"/>
          <w:noProof/>
          <w:vertAlign w:val="superscript"/>
        </w:rPr>
        <w:t>8</w:t>
      </w:r>
      <w:r>
        <w:rPr>
          <w:rFonts w:eastAsiaTheme="minorEastAsia"/>
        </w:rPr>
        <w:fldChar w:fldCharType="end"/>
      </w:r>
      <w:r>
        <w:rPr>
          <w:rFonts w:eastAsiaTheme="minorEastAsia"/>
        </w:rPr>
        <w:t xml:space="preserve">  IMIS </w:t>
      </w:r>
      <w:r w:rsidR="00B75F6E">
        <w:rPr>
          <w:rFonts w:eastAsiaTheme="minorEastAsia"/>
        </w:rPr>
        <w:t>was</w:t>
      </w:r>
      <w:r>
        <w:rPr>
          <w:rFonts w:eastAsiaTheme="minorEastAsia"/>
        </w:rPr>
        <w:t xml:space="preserve"> designed to work with deterministic models and proportionally sample a true posterior density based on an appropriately-defined likelihood function</w:t>
      </w:r>
      <w:r w:rsidR="00B75F6E">
        <w:rPr>
          <w:rFonts w:eastAsiaTheme="minorEastAsia"/>
        </w:rPr>
        <w:t xml:space="preserve">. </w:t>
      </w:r>
      <w:r>
        <w:rPr>
          <w:rFonts w:eastAsiaTheme="minorEastAsia"/>
        </w:rPr>
        <w:t xml:space="preserve"> </w:t>
      </w:r>
      <w:r w:rsidR="00B75F6E">
        <w:rPr>
          <w:rFonts w:eastAsiaTheme="minorEastAsia"/>
        </w:rPr>
        <w:t>However, the author</w:t>
      </w:r>
      <w:r>
        <w:rPr>
          <w:rFonts w:eastAsiaTheme="minorEastAsia"/>
        </w:rPr>
        <w:t xml:space="preserve"> has found it effective </w:t>
      </w:r>
      <w:r w:rsidR="00B75F6E">
        <w:rPr>
          <w:rFonts w:eastAsiaTheme="minorEastAsia"/>
        </w:rPr>
        <w:t>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w:t>
      </w:r>
      <w:r>
        <w:rPr>
          <w:rFonts w:eastAsiaTheme="minorEastAsia"/>
        </w:rPr>
        <w:t xml:space="preserve"> </w:t>
      </w:r>
      <w:r w:rsidR="00B75F6E">
        <w:rPr>
          <w:rFonts w:eastAsiaTheme="minorEastAsia"/>
        </w:rPr>
        <w:t xml:space="preserve">Additionally, </w:t>
      </w:r>
      <w:r>
        <w:rPr>
          <w:rFonts w:eastAsiaTheme="minorEastAsia"/>
        </w:rPr>
        <w:t xml:space="preserve">a code base for interfacing IMIS directly to IDM’s computational cluster already exists from previous work.   </w:t>
      </w:r>
    </w:p>
    <w:p w:rsidR="00D80B82" w:rsidRDefault="00D80B82">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"&lt;sup&gt;9&lt;/sup&gt;", "plainTextFormattedCitation" : "9" }, "properties" : { "noteIndex" : 0 }, "schema" : "https://github.com/citation-style-language/schema/raw/master/csl-citation.json" }</w:instrText>
      </w:r>
      <w:r>
        <w:rPr>
          <w:rFonts w:eastAsiaTheme="minorEastAsia"/>
        </w:rPr>
        <w:fldChar w:fldCharType="separate"/>
      </w:r>
      <w:r w:rsidRPr="00D80B82">
        <w:rPr>
          <w:rFonts w:eastAsiaTheme="minorEastAsia"/>
          <w:noProof/>
          <w:vertAlign w:val="superscript"/>
        </w:rPr>
        <w:t>9</w:t>
      </w:r>
      <w:r>
        <w:rPr>
          <w:rFonts w:eastAsiaTheme="minorEastAsia"/>
        </w:rPr>
        <w:fldChar w:fldCharType="end"/>
      </w:r>
      <w:r>
        <w:rPr>
          <w:rFonts w:eastAsiaTheme="minorEastAsia"/>
        </w:rPr>
        <w:t xml:space="preserve">  </w:t>
      </w:r>
      <w:r w:rsidR="00FE45FA">
        <w:rPr>
          <w:rFonts w:eastAsiaTheme="minorEastAsia"/>
        </w:rPr>
        <w:t>Partial</w:t>
      </w:r>
      <w:r>
        <w:rPr>
          <w:rFonts w:eastAsiaTheme="minorEastAsia"/>
        </w:rPr>
        <w:t xml:space="preserve"> immunity is </w:t>
      </w:r>
      <w:r w:rsidR="00FE45FA">
        <w:rPr>
          <w:rFonts w:eastAsiaTheme="minorEastAsia"/>
        </w:rPr>
        <w:t xml:space="preserve">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r>
        <w:rPr>
          <w:rFonts w:eastAsiaTheme="minorEastAsia"/>
        </w:rPr>
        <w:t xml:space="preserve"> </w:t>
      </w:r>
    </w:p>
    <w:p w:rsidR="0088587B" w:rsidRDefault="00555CB6">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t xml:space="preserve">Figure </w:t>
      </w:r>
      <w:r>
        <w:rPr>
          <w:noProof/>
        </w:rPr>
        <w:t>2</w:t>
      </w:r>
      <w:r>
        <w:rPr>
          <w:rFonts w:eastAsiaTheme="minorEastAsia"/>
          <w:highlight w:val="yellow"/>
        </w:rPr>
        <w:fldChar w:fldCharType="end"/>
      </w:r>
      <w:r>
        <w:rPr>
          <w:rFonts w:eastAsiaTheme="minorEastAsia"/>
        </w:rPr>
        <w:t xml:space="preserve"> </w:t>
      </w:r>
      <w:r w:rsidR="00FE45FA">
        <w:rPr>
          <w:rFonts w:eastAsiaTheme="minorEastAsia"/>
        </w:rPr>
        <w:t>presents t</w:t>
      </w:r>
      <w:r w:rsidR="00671627">
        <w:rPr>
          <w:rFonts w:eastAsiaTheme="minorEastAsia"/>
        </w:rPr>
        <w:t xml:space="preserve">he results of the calibration; points in the 2D space represent a single sampled pair of </w:t>
      </w:r>
      <w:r w:rsidR="0088587B">
        <w:rPr>
          <w:rFonts w:eastAsiaTheme="minorEastAsia"/>
        </w:rPr>
        <w:t>infectivity</w:t>
      </w:r>
      <w:r w:rsidR="00671627">
        <w:rPr>
          <w:rFonts w:eastAsiaTheme="minorEastAsia"/>
        </w:rPr>
        <w:t xml:space="preserve"> and </w:t>
      </w:r>
      <m:oMath>
        <m:r>
          <w:rPr>
            <w:rFonts w:ascii="Cambria Math" w:eastAsia="Calibri" w:hAnsi="Cambria Math" w:cs="Times New Roman"/>
          </w:rPr>
          <m:t>κ</m:t>
        </m:r>
      </m:oMath>
      <w:r w:rsidR="0088587B">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sidR="0088587B">
        <w:rPr>
          <w:rFonts w:eastAsiaTheme="minorEastAsia"/>
        </w:rPr>
        <w:t xml:space="preserve">.  A broad maximum is apparent around mean migration rates from </w:t>
      </w:r>
      <w:r>
        <w:rPr>
          <w:rFonts w:eastAsiaTheme="minorEastAsia"/>
        </w:rPr>
        <w:t xml:space="preserve">approximately -3.5 </w:t>
      </w:r>
      <w:r w:rsidR="0088587B">
        <w:rPr>
          <w:rFonts w:eastAsiaTheme="minorEastAsia"/>
        </w:rPr>
        <w:t xml:space="preserve">to </w:t>
      </w:r>
      <w:r>
        <w:rPr>
          <w:rFonts w:eastAsiaTheme="minorEastAsia"/>
        </w:rPr>
        <w:t>-2.5 (in log-10 units)</w:t>
      </w:r>
      <w:r w:rsidR="007661C8">
        <w:rPr>
          <w:rFonts w:eastAsiaTheme="minorEastAsia"/>
        </w:rPr>
        <w:t>, representing the preferred region outlined in the figures in the main text</w:t>
      </w:r>
      <w:r>
        <w:rPr>
          <w:rFonts w:eastAsiaTheme="minorEastAsia"/>
        </w:rPr>
        <w:t>; this corresponds to the average child traveling outside of their home state approximately once per year to once per decade</w:t>
      </w:r>
      <w:r w:rsidR="007661C8">
        <w:rPr>
          <w:rFonts w:eastAsiaTheme="minorEastAsia"/>
        </w:rPr>
        <w:t xml:space="preserv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t xml:space="preserve">Figure </w:t>
      </w:r>
      <w:r>
        <w:rPr>
          <w:noProof/>
        </w:rPr>
        <w:t>3</w:t>
      </w:r>
      <w:r>
        <w:rPr>
          <w:rFonts w:eastAsiaTheme="minorEastAsia"/>
          <w:highlight w:val="yellow"/>
        </w:rPr>
        <w:fldChar w:fldCharType="end"/>
      </w:r>
      <w:r>
        <w:rPr>
          <w:rFonts w:eastAsiaTheme="minorEastAsia"/>
        </w:rPr>
        <w:t xml:space="preserve"> </w:t>
      </w:r>
      <w:r w:rsidR="0088587B">
        <w:rPr>
          <w:rFonts w:eastAsiaTheme="minorEastAsia"/>
        </w:rPr>
        <w:t xml:space="preserve">presents the infection traces from </w:t>
      </w:r>
      <w:r w:rsidR="007661C8">
        <w:rPr>
          <w:rFonts w:eastAsiaTheme="minorEastAsia"/>
        </w:rPr>
        <w:t>two representative simulations in the preferred region</w:t>
      </w:r>
      <w:r w:rsidR="0088587B">
        <w:rPr>
          <w:rFonts w:eastAsiaTheme="minorEastAsia"/>
        </w:rPr>
        <w:t xml:space="preserve"> </w:t>
      </w:r>
      <w:r>
        <w:rPr>
          <w:rFonts w:eastAsiaTheme="minorEastAsia"/>
        </w:rPr>
        <w:t xml:space="preserve">under the actual outbreak.  </w:t>
      </w:r>
      <w:r w:rsidR="00D4305D">
        <w:rPr>
          <w:rFonts w:eastAsiaTheme="minorEastAsia"/>
        </w:rPr>
        <w:t xml:space="preserve">  Above this range of migration rates, transmission across the region becomes increasingly </w:t>
      </w:r>
      <w:r w:rsidR="0088587B">
        <w:rPr>
          <w:rFonts w:eastAsiaTheme="minorEastAsia"/>
        </w:rPr>
        <w:t>synchronous</w:t>
      </w:r>
      <w:r w:rsidR="007661C8">
        <w:rPr>
          <w:rFonts w:eastAsiaTheme="minorEastAsia"/>
        </w:rPr>
        <w:t xml:space="preserve">, </w:t>
      </w:r>
      <w:r w:rsidR="0088587B">
        <w:rPr>
          <w:rFonts w:eastAsiaTheme="minorEastAsia"/>
        </w:rPr>
        <w:t>qualitatively ruling out these values as realistic</w:t>
      </w:r>
      <w:r w:rsidR="00D4305D">
        <w:rPr>
          <w:rFonts w:eastAsiaTheme="minorEastAsia"/>
        </w:rPr>
        <w:t xml:space="preserve">; an example is shown in </w:t>
      </w:r>
      <w:r w:rsidR="0001541F">
        <w:rPr>
          <w:rFonts w:eastAsiaTheme="minorEastAsia"/>
        </w:rPr>
        <w:fldChar w:fldCharType="begin"/>
      </w:r>
      <w:r w:rsidR="0001541F">
        <w:rPr>
          <w:rFonts w:eastAsiaTheme="minorEastAsia"/>
        </w:rPr>
        <w:instrText xml:space="preserve"> REF _Ref459892185 \h </w:instrText>
      </w:r>
      <w:r w:rsidR="0001541F">
        <w:rPr>
          <w:rFonts w:eastAsiaTheme="minorEastAsia"/>
        </w:rPr>
      </w:r>
      <w:r w:rsidR="0001541F">
        <w:rPr>
          <w:rFonts w:eastAsiaTheme="minorEastAsia"/>
        </w:rPr>
        <w:fldChar w:fldCharType="separate"/>
      </w:r>
      <w:r w:rsidR="0001541F">
        <w:t xml:space="preserve">Figure </w:t>
      </w:r>
      <w:r w:rsidR="0001541F">
        <w:rPr>
          <w:noProof/>
        </w:rPr>
        <w:t>4</w:t>
      </w:r>
      <w:r w:rsidR="0001541F">
        <w:rPr>
          <w:rFonts w:eastAsiaTheme="minorEastAsia"/>
        </w:rPr>
        <w:fldChar w:fldCharType="end"/>
      </w:r>
      <w:r w:rsidR="00D4305D">
        <w:rPr>
          <w:rFonts w:eastAsiaTheme="minorEastAsia"/>
        </w:rPr>
        <w:t>.  Below this preferred</w:t>
      </w:r>
      <w:r w:rsidR="0088587B">
        <w:rPr>
          <w:rFonts w:eastAsiaTheme="minorEastAsia"/>
        </w:rPr>
        <w:t xml:space="preserve"> </w:t>
      </w:r>
      <w:r w:rsidR="00D4305D">
        <w:rPr>
          <w:rFonts w:eastAsiaTheme="minorEastAsia"/>
        </w:rPr>
        <w:t xml:space="preserve">region, the </w:t>
      </w:r>
      <w:proofErr w:type="spellStart"/>
      <w:r w:rsidR="00D4305D">
        <w:rPr>
          <w:rFonts w:eastAsiaTheme="minorEastAsia"/>
        </w:rPr>
        <w:t>metapopulations</w:t>
      </w:r>
      <w:proofErr w:type="spellEnd"/>
      <w:r w:rsidR="00D4305D">
        <w:rPr>
          <w:rFonts w:eastAsiaTheme="minorEastAsia"/>
        </w:rPr>
        <w:t xml:space="preserve"> become more disconnected and </w:t>
      </w:r>
      <w:r w:rsidR="007661C8">
        <w:rPr>
          <w:rFonts w:eastAsiaTheme="minorEastAsia"/>
        </w:rPr>
        <w:t>transmission fails to ex</w:t>
      </w:r>
      <w:r w:rsidR="00D4305D">
        <w:rPr>
          <w:rFonts w:eastAsiaTheme="minorEastAsia"/>
        </w:rPr>
        <w:t xml:space="preserve">port broadly across the network; an example is shown in </w:t>
      </w:r>
      <w:r w:rsidR="0001541F">
        <w:rPr>
          <w:rFonts w:eastAsiaTheme="minorEastAsia"/>
        </w:rPr>
        <w:fldChar w:fldCharType="begin"/>
      </w:r>
      <w:r w:rsidR="0001541F">
        <w:rPr>
          <w:rFonts w:eastAsiaTheme="minorEastAsia"/>
        </w:rPr>
        <w:instrText xml:space="preserve"> REF _Ref459892190 \h </w:instrText>
      </w:r>
      <w:r w:rsidR="0001541F">
        <w:rPr>
          <w:rFonts w:eastAsiaTheme="minorEastAsia"/>
        </w:rPr>
      </w:r>
      <w:r w:rsidR="0001541F">
        <w:rPr>
          <w:rFonts w:eastAsiaTheme="minorEastAsia"/>
        </w:rPr>
        <w:fldChar w:fldCharType="separate"/>
      </w:r>
      <w:r w:rsidR="0001541F">
        <w:t xml:space="preserve">Figure </w:t>
      </w:r>
      <w:r w:rsidR="0001541F">
        <w:rPr>
          <w:noProof/>
        </w:rPr>
        <w:t>5</w:t>
      </w:r>
      <w:r w:rsidR="0001541F">
        <w:rPr>
          <w:rFonts w:eastAsiaTheme="minorEastAsia"/>
        </w:rPr>
        <w:fldChar w:fldCharType="end"/>
      </w:r>
      <w:r w:rsidR="0088587B">
        <w:rPr>
          <w:rFonts w:eastAsiaTheme="minorEastAsia"/>
        </w:rPr>
        <w:t xml:space="preserve">.  </w:t>
      </w:r>
    </w:p>
    <w:p w:rsidR="00555CB6" w:rsidRDefault="00555CB6" w:rsidP="00555CB6">
      <w:pPr>
        <w:keepNext/>
      </w:pPr>
      <w:r>
        <w:rPr>
          <w:rFonts w:eastAsiaTheme="minorEastAsia"/>
        </w:rPr>
        <w:lastRenderedPageBreak/>
        <w:pict>
          <v:shape id="_x0000_i1043" type="#_x0000_t75" style="width:468.3pt;height:241.5pt">
            <v:imagedata r:id="rId7" o:title="objective_space"/>
          </v:shape>
        </w:pict>
      </w:r>
    </w:p>
    <w:p w:rsidR="00555CB6" w:rsidRDefault="00555CB6" w:rsidP="00555CB6">
      <w:pPr>
        <w:pStyle w:val="Caption"/>
      </w:pPr>
      <w:bookmarkStart w:id="2" w:name="_Ref459891633"/>
      <w:r>
        <w:t xml:space="preserve">Figure </w:t>
      </w:r>
      <w:fldSimple w:instr=" SEQ Figure \* ARABIC ">
        <w:r w:rsidR="00D4305D">
          <w:rPr>
            <w:noProof/>
          </w:rPr>
          <w:t>2</w:t>
        </w:r>
      </w:fldSimple>
      <w:bookmarkEnd w:id="2"/>
      <w:r>
        <w:t xml:space="preserve">: Results of calibration of migration rates.  The x and y- axes represent the infectivity and mean migration rate, respectively, with color indicating the value of the objective function defined in </w:t>
      </w:r>
      <w:proofErr w:type="spellStart"/>
      <w:r>
        <w:t>Eqs</w:t>
      </w:r>
      <w:proofErr w:type="spellEnd"/>
      <w:r>
        <w:t xml:space="preserve"> (15-17).  The results indicate a broad maximum around mean migration rates from roughly -3.5 to -2.5 (in log10 units), i.e., the average child leaving their home state approximately once per year to once per decade.  </w:t>
      </w:r>
    </w:p>
    <w:p w:rsidR="00555CB6" w:rsidRDefault="00555CB6" w:rsidP="00555CB6">
      <w:pPr>
        <w:keepNext/>
        <w:jc w:val="center"/>
      </w:pPr>
      <w:r>
        <w:lastRenderedPageBreak/>
        <w:pict>
          <v:shape id="_x0000_i1072" type="#_x0000_t75" style="width:314.75pt;height:514.2pt">
            <v:imagedata r:id="rId8" o:title="goodfits"/>
          </v:shape>
        </w:pict>
      </w:r>
    </w:p>
    <w:p w:rsidR="00555CB6" w:rsidRDefault="00555CB6" w:rsidP="00555CB6">
      <w:pPr>
        <w:pStyle w:val="Caption"/>
      </w:pPr>
      <w:bookmarkStart w:id="3" w:name="_Ref459891818"/>
      <w:r>
        <w:t xml:space="preserve">Figure </w:t>
      </w:r>
      <w:fldSimple w:instr=" SEQ Figure \* ARABIC ">
        <w:r w:rsidR="00D4305D">
          <w:rPr>
            <w:noProof/>
          </w:rPr>
          <w:t>3</w:t>
        </w:r>
      </w:fldSimple>
      <w:bookmarkEnd w:id="3"/>
      <w:r>
        <w:t>: Top: WPV1 outbreak in West Africa, 2008-2010, representing the calibration target for this exercise.  Middle and bottom: Two example simulation outputs from the preferred region of parameter space.</w:t>
      </w:r>
    </w:p>
    <w:p w:rsidR="00D4305D" w:rsidRDefault="00D4305D" w:rsidP="00D4305D">
      <w:pPr>
        <w:keepNext/>
      </w:pPr>
      <w:r>
        <w:lastRenderedPageBreak/>
        <w:pict>
          <v:shape id="_x0000_i1083" type="#_x0000_t75" style="width:468.3pt;height:241.5pt">
            <v:imagedata r:id="rId9" o:title="outbreak_toohigh_1"/>
          </v:shape>
        </w:pict>
      </w:r>
    </w:p>
    <w:p w:rsidR="00D4305D" w:rsidRDefault="00D4305D" w:rsidP="00D4305D">
      <w:pPr>
        <w:pStyle w:val="Caption"/>
      </w:pPr>
      <w:bookmarkStart w:id="4" w:name="_Ref459892185"/>
      <w:r>
        <w:t xml:space="preserve">Figure </w:t>
      </w:r>
      <w:fldSimple w:instr=" SEQ Figure \* ARABIC ">
        <w:r>
          <w:rPr>
            <w:noProof/>
          </w:rPr>
          <w:t>4</w:t>
        </w:r>
      </w:fldSimple>
      <w:bookmarkEnd w:id="4"/>
      <w:r>
        <w:t>: Example simulation output with migration rate set above the preferred range from calibration.  As can be seen, transmission across the region is essentially synchronous, in contrast to the travelling outbreak actually observed.</w:t>
      </w:r>
    </w:p>
    <w:p w:rsidR="00D4305D" w:rsidRDefault="00D4305D" w:rsidP="00D4305D">
      <w:pPr>
        <w:keepNext/>
      </w:pPr>
      <w:r>
        <w:pict>
          <v:shape id="_x0000_i1089" type="#_x0000_t75" style="width:468.3pt;height:241.5pt">
            <v:imagedata r:id="rId10" o:title="outbreak_toolow_2"/>
          </v:shape>
        </w:pict>
      </w:r>
    </w:p>
    <w:p w:rsidR="00D4305D" w:rsidRPr="00D4305D" w:rsidRDefault="00D4305D" w:rsidP="00D4305D">
      <w:pPr>
        <w:pStyle w:val="Caption"/>
      </w:pPr>
      <w:bookmarkStart w:id="5" w:name="_Ref459892190"/>
      <w:r>
        <w:t xml:space="preserve">Figure </w:t>
      </w:r>
      <w:fldSimple w:instr=" SEQ Figure \* ARABIC ">
        <w:r>
          <w:rPr>
            <w:noProof/>
          </w:rPr>
          <w:t>5</w:t>
        </w:r>
      </w:fldSimple>
      <w:bookmarkEnd w:id="5"/>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D4305D" w:rsidRPr="00D4305D" w:rsidRDefault="0001541F" w:rsidP="00D4305D">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305062" w:rsidRDefault="00226F59">
      <w:pPr>
        <w:rPr>
          <w:b/>
        </w:rPr>
      </w:pPr>
      <w:r w:rsidRPr="00226F59">
        <w:rPr>
          <w:b/>
        </w:rPr>
        <w:lastRenderedPageBreak/>
        <w:t>Additional figures</w:t>
      </w:r>
    </w:p>
    <w:p w:rsidR="0009078D" w:rsidRDefault="0009078D">
      <w:r>
        <w:t xml:space="preserve">The simulation </w:t>
      </w:r>
      <w:proofErr w:type="spellStart"/>
      <w:r>
        <w:t>metapopulations</w:t>
      </w:r>
      <w:proofErr w:type="spellEnd"/>
      <w:r>
        <w:t xml:space="preserve"> are generated by applying shapefiles from</w:t>
      </w:r>
      <w:r w:rsidR="00CF0E5D">
        <w:t xml:space="preserve"> POLIS version 3.0</w:t>
      </w:r>
      <w:r>
        <w:t xml:space="preserve"> to population maps of Africa obtained from the </w:t>
      </w:r>
      <w:proofErr w:type="spellStart"/>
      <w:r>
        <w:t>Worldpop</w:t>
      </w:r>
      <w:proofErr w:type="spellEnd"/>
      <w:r>
        <w:t xml:space="preserve"> collaboration.</w:t>
      </w:r>
      <w:r w:rsidR="00852FDF">
        <w:fldChar w:fldCharType="begin" w:fldLock="1"/>
      </w:r>
      <w:r w:rsidR="00D80B82">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"&lt;sup&gt;2,10&lt;/sup&gt;", "plainTextFormattedCitation" : "2,10", "previouslyFormattedCitation" : "&lt;sup&gt;2,9&lt;/sup&gt;" }, "properties" : { "noteIndex" : 0 }, "schema" : "https://github.com/citation-style-language/schema/raw/master/csl-citation.json" }</w:instrText>
      </w:r>
      <w:r w:rsidR="00852FDF">
        <w:fldChar w:fldCharType="separate"/>
      </w:r>
      <w:r w:rsidR="00D80B82" w:rsidRPr="00D80B82">
        <w:rPr>
          <w:noProof/>
          <w:vertAlign w:val="superscript"/>
        </w:rPr>
        <w:t>2,10</w:t>
      </w:r>
      <w:r w:rsidR="00852FDF">
        <w:fldChar w:fldCharType="end"/>
      </w:r>
      <w:r>
        <w:t xml:space="preserve"> </w:t>
      </w:r>
      <w:r w:rsidR="00564214">
        <w:fldChar w:fldCharType="begin"/>
      </w:r>
      <w:r w:rsidR="00564214">
        <w:instrText xml:space="preserve"> REF _Ref458514130 \h </w:instrText>
      </w:r>
      <w:r w:rsidR="00564214">
        <w:fldChar w:fldCharType="separate"/>
      </w:r>
      <w:r w:rsidR="00564214">
        <w:t xml:space="preserve">Figure </w:t>
      </w:r>
      <w:r w:rsidR="00564214">
        <w:rPr>
          <w:noProof/>
        </w:rPr>
        <w:t>1</w:t>
      </w:r>
      <w:r w:rsidR="00564214">
        <w:fldChar w:fldCharType="end"/>
      </w:r>
      <w:r>
        <w:t xml:space="preserve"> </w:t>
      </w:r>
      <w:r w:rsidR="00564214">
        <w:t>i</w:t>
      </w:r>
      <w:r>
        <w:t>llustrates the population map (color) and country/province boundaries (thick/thin black solid lines)</w:t>
      </w:r>
      <w:r w:rsidR="00564214">
        <w:t xml:space="preserve"> that were used</w:t>
      </w:r>
      <w:r>
        <w:t xml:space="preserve">.  The total size of </w:t>
      </w:r>
      <w:r w:rsidR="00564214">
        <w:t>a given</w:t>
      </w:r>
      <w:r>
        <w:t xml:space="preserve"> </w:t>
      </w:r>
      <w:proofErr w:type="spellStart"/>
      <w:r>
        <w:t>metapopulation</w:t>
      </w:r>
      <w:proofErr w:type="spellEnd"/>
      <w:r>
        <w:t xml:space="preserve"> is the aggregated sum of the per-pixel population map within the boundaries, and </w:t>
      </w:r>
      <w:r w:rsidR="00564214">
        <w:t>each</w:t>
      </w:r>
      <w:r>
        <w:t xml:space="preserve"> population is placed at the population-weighted centroid of the province</w:t>
      </w:r>
      <w:r w:rsidR="00564214">
        <w:t xml:space="preserve"> (for purposes of computing distances between </w:t>
      </w:r>
      <w:proofErr w:type="spellStart"/>
      <w:r w:rsidR="00564214">
        <w:t>metapopulations</w:t>
      </w:r>
      <w:proofErr w:type="spellEnd"/>
      <w:r w:rsidR="00564214">
        <w:t xml:space="preserve"> in the gravity model of migration)</w:t>
      </w:r>
      <w:r>
        <w:t>.</w:t>
      </w:r>
    </w:p>
    <w:p w:rsidR="0086743A" w:rsidRDefault="0086743A">
      <w:r>
        <w:t xml:space="preserve">Changing the distance-dependence in the gravity model of migration is found to have a negligible effect on the position of the </w:t>
      </w:r>
      <w:proofErr w:type="spellStart"/>
      <w:r>
        <w:t>separatrix</w:t>
      </w:r>
      <w:proofErr w:type="spellEnd"/>
      <w:r>
        <w:t xml:space="preserve">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sidR="00840C9E">
        <w:rPr>
          <w:highlight w:val="yellow"/>
        </w:rPr>
        <w:fldChar w:fldCharType="begin"/>
      </w:r>
      <w:r w:rsidR="00840C9E">
        <w:instrText xml:space="preserve"> REF _Ref458511164 \h </w:instrText>
      </w:r>
      <w:r w:rsidR="00840C9E">
        <w:rPr>
          <w:highlight w:val="yellow"/>
        </w:rPr>
      </w:r>
      <w:r w:rsidR="00840C9E">
        <w:rPr>
          <w:highlight w:val="yellow"/>
        </w:rPr>
        <w:fldChar w:fldCharType="separate"/>
      </w:r>
      <w:r w:rsidR="00564214">
        <w:t xml:space="preserve">Figure </w:t>
      </w:r>
      <w:r w:rsidR="00564214">
        <w:rPr>
          <w:noProof/>
        </w:rPr>
        <w:t>2</w:t>
      </w:r>
      <w:r w:rsidR="00840C9E">
        <w:rPr>
          <w:highlight w:val="yellow"/>
        </w:rPr>
        <w:fldChar w:fldCharType="end"/>
      </w:r>
      <w:r w:rsidR="00840C9E">
        <w:t xml:space="preserve"> </w:t>
      </w:r>
      <w:r>
        <w:t>presents the results of this comparison.</w:t>
      </w:r>
    </w:p>
    <w:p w:rsidR="003014F0" w:rsidRDefault="003014F0" w:rsidP="003014F0">
      <w:r>
        <w:rPr>
          <w:highlight w:val="yellow"/>
        </w:rPr>
        <w:fldChar w:fldCharType="begin"/>
      </w:r>
      <w:r>
        <w:instrText xml:space="preserve"> REF _Ref458507062 \h </w:instrText>
      </w:r>
      <w:r>
        <w:rPr>
          <w:highlight w:val="yellow"/>
        </w:rPr>
      </w:r>
      <w:r>
        <w:rPr>
          <w:highlight w:val="yellow"/>
        </w:rPr>
        <w:fldChar w:fldCharType="separate"/>
      </w:r>
      <w:r w:rsidR="000E2C22">
        <w:t xml:space="preserve">Figure </w:t>
      </w:r>
      <w:r w:rsidR="000E2C22">
        <w:rPr>
          <w:noProof/>
        </w:rPr>
        <w:t>3</w:t>
      </w:r>
      <w:r>
        <w:rPr>
          <w:highlight w:val="yellow"/>
        </w:rPr>
        <w:fldChar w:fldCharType="end"/>
      </w:r>
      <w:r>
        <w:t xml:space="preserve"> shows that increasing the timescale of Sabin2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3014F0" w:rsidRDefault="003014F0"/>
    <w:p w:rsidR="0009078D" w:rsidRDefault="007661C8" w:rsidP="0009078D">
      <w:pPr>
        <w:keepNext/>
      </w:pPr>
      <w:r>
        <w:rPr>
          <w:highlight w:val="yellow"/>
        </w:rPr>
        <w:lastRenderedPageBreak/>
        <w:pict>
          <v:shape id="_x0000_i1025" type="#_x0000_t75" style="width:467.7pt;height:431.35pt">
            <v:imagedata r:id="rId11" o:title="region_map"/>
          </v:shape>
        </w:pict>
      </w:r>
    </w:p>
    <w:p w:rsidR="0009078D" w:rsidRDefault="0009078D" w:rsidP="0009078D">
      <w:pPr>
        <w:pStyle w:val="Caption"/>
        <w:rPr>
          <w:highlight w:val="yellow"/>
        </w:rPr>
      </w:pPr>
      <w:bookmarkStart w:id="6" w:name="_Ref458514130"/>
      <w:r>
        <w:t xml:space="preserve">Figure </w:t>
      </w:r>
      <w:fldSimple w:instr=" SEQ Figure \* ARABIC ">
        <w:r w:rsidR="00D4305D">
          <w:rPr>
            <w:noProof/>
          </w:rPr>
          <w:t>6</w:t>
        </w:r>
      </w:fldSimple>
      <w:bookmarkEnd w:id="6"/>
      <w:r>
        <w:t xml:space="preserve">: Population map (color, from </w:t>
      </w:r>
      <w:proofErr w:type="spellStart"/>
      <w:r>
        <w:t>Worldpop</w:t>
      </w:r>
      <w:proofErr w:type="spellEnd"/>
      <w:r>
        <w:t xml:space="preserve">) and country/province boundaries (thick/thin solid black lines, from POLIS) used to generate the </w:t>
      </w:r>
      <w:proofErr w:type="spellStart"/>
      <w:r>
        <w:t>meta</w:t>
      </w:r>
      <w:r w:rsidR="00852FDF">
        <w:t>populations</w:t>
      </w:r>
      <w:proofErr w:type="spellEnd"/>
      <w:r w:rsidR="00852FDF">
        <w:t xml:space="preserve"> for the simulation.</w:t>
      </w:r>
      <w:r w:rsidR="00852FDF">
        <w:fldChar w:fldCharType="begin" w:fldLock="1"/>
      </w:r>
      <w:r w:rsidR="00D80B82">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"&lt;sup&gt;2,10&lt;/sup&gt;", "plainTextFormattedCitation" : "2,10", "previouslyFormattedCitation" : "&lt;sup&gt;2,9&lt;/sup&gt;" }, "properties" : { "noteIndex" : 0 }, "schema" : "https://github.com/citation-style-language/schema/raw/master/csl-citation.json" }</w:instrText>
      </w:r>
      <w:r w:rsidR="00852FDF">
        <w:fldChar w:fldCharType="separate"/>
      </w:r>
      <w:r w:rsidR="00D80B82" w:rsidRPr="00D80B82">
        <w:rPr>
          <w:b w:val="0"/>
          <w:noProof/>
          <w:vertAlign w:val="superscript"/>
        </w:rPr>
        <w:t>2,10</w:t>
      </w:r>
      <w:r w:rsidR="00852FDF">
        <w:fldChar w:fldCharType="end"/>
      </w:r>
      <w:r w:rsidR="00852FDF">
        <w:rPr>
          <w:highlight w:val="yellow"/>
        </w:rPr>
        <w:t xml:space="preserve"> </w:t>
      </w:r>
    </w:p>
    <w:p w:rsidR="0009078D" w:rsidRDefault="0009078D" w:rsidP="0086743A">
      <w:pPr>
        <w:keepNext/>
        <w:rPr>
          <w:highlight w:val="yellow"/>
        </w:rPr>
      </w:pPr>
    </w:p>
    <w:p w:rsidR="0086743A" w:rsidRDefault="008872FA" w:rsidP="0086743A">
      <w:pPr>
        <w:keepNext/>
      </w:pPr>
      <w:r>
        <w:rPr>
          <w:noProof/>
        </w:rPr>
        <w:drawing>
          <wp:inline distT="0" distB="0" distL="0" distR="0">
            <wp:extent cx="5943600" cy="54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86743A" w:rsidRDefault="0086743A" w:rsidP="0086743A">
      <w:pPr>
        <w:pStyle w:val="Caption"/>
      </w:pPr>
      <w:bookmarkStart w:id="7" w:name="_Ref458511164"/>
      <w:r>
        <w:t xml:space="preserve">Figure </w:t>
      </w:r>
      <w:fldSimple w:instr=" SEQ Figure \* ARABIC ">
        <w:r w:rsidR="00D4305D">
          <w:rPr>
            <w:noProof/>
          </w:rPr>
          <w:t>7</w:t>
        </w:r>
      </w:fldSimple>
      <w:bookmarkEnd w:id="7"/>
      <w:r>
        <w:t xml:space="preserve">: Position of the 50% </w:t>
      </w:r>
      <w:proofErr w:type="spellStart"/>
      <w:r>
        <w:t>separatrix</w:t>
      </w:r>
      <w:proofErr w:type="spellEnd"/>
      <w:r>
        <w:t xml:space="preserve"> line as the distance dependence in the gravity model of migration varies, at constant </w:t>
      </w:r>
      <w:r>
        <w:rPr>
          <w:i/>
        </w:rPr>
        <w:t>λ</w:t>
      </w:r>
      <w:r>
        <w:t>= 60 days, N</w:t>
      </w:r>
      <w:r>
        <w:softHyphen/>
      </w:r>
      <w:r>
        <w:rPr>
          <w:vertAlign w:val="subscript"/>
        </w:rPr>
        <w:t>IPV</w:t>
      </w:r>
      <w:r>
        <w:t xml:space="preserve">= 1, </w:t>
      </w:r>
      <w:r>
        <w:rPr>
          <w:i/>
        </w:rPr>
        <w:t>c</w:t>
      </w:r>
      <w:r>
        <w:t>=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3014F0" w:rsidRDefault="003014F0" w:rsidP="003014F0">
      <w:pPr>
        <w:keepNext/>
      </w:pPr>
      <w:r>
        <w:rPr>
          <w:noProof/>
        </w:rPr>
        <w:lastRenderedPageBreak/>
        <w:drawing>
          <wp:inline distT="0" distB="0" distL="0" distR="0" wp14:anchorId="65754988" wp14:editId="5F92C63D">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bookmarkStart w:id="8" w:name="_GoBack"/>
      <w:bookmarkEnd w:id="8"/>
    </w:p>
    <w:p w:rsidR="003014F0" w:rsidRPr="002613BD" w:rsidRDefault="003014F0" w:rsidP="003014F0">
      <w:pPr>
        <w:pStyle w:val="Caption"/>
      </w:pPr>
      <w:bookmarkStart w:id="9" w:name="_Ref458507062"/>
      <w:r>
        <w:t xml:space="preserve">Figure </w:t>
      </w:r>
      <w:fldSimple w:instr=" SEQ Figure \* ARABIC ">
        <w:r w:rsidR="00D4305D">
          <w:rPr>
            <w:noProof/>
          </w:rPr>
          <w:t>8</w:t>
        </w:r>
      </w:fldSimple>
      <w:bookmarkEnd w:id="9"/>
      <w:r>
        <w:t xml:space="preserve">: Position of the 50% </w:t>
      </w:r>
      <w:proofErr w:type="spellStart"/>
      <w:r>
        <w:t>separatrix</w:t>
      </w:r>
      <w:proofErr w:type="spellEnd"/>
      <w:r>
        <w:t xml:space="preserve"> line as the timescale of R</w:t>
      </w:r>
      <w:r>
        <w:rPr>
          <w:vertAlign w:val="subscript"/>
        </w:rPr>
        <w:t>0</w:t>
      </w:r>
      <w:r>
        <w:t xml:space="preserve"> reversion varies, at constant f=0.5, N</w:t>
      </w:r>
      <w:r>
        <w:softHyphen/>
      </w:r>
      <w:r>
        <w:rPr>
          <w:vertAlign w:val="subscript"/>
        </w:rPr>
        <w:t>IPV</w:t>
      </w:r>
      <w:r>
        <w:t xml:space="preserve">= 1, </w:t>
      </w:r>
      <w:r>
        <w:rPr>
          <w:i/>
        </w:rPr>
        <w:t>c</w:t>
      </w:r>
      <w:r>
        <w:t xml:space="preserve">= 1.  The solid and dashed lines respectively indicate </w:t>
      </w:r>
      <w:r>
        <w:rPr>
          <w:i/>
        </w:rPr>
        <w:t>λ</w:t>
      </w:r>
      <w:r>
        <w:t xml:space="preserve">= 60 days and </w:t>
      </w:r>
      <w:r>
        <w:rPr>
          <w:i/>
        </w:rPr>
        <w:t>λ</w:t>
      </w:r>
      <w:r>
        <w:t>=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716908" w:rsidRDefault="00716908" w:rsidP="00716908"/>
    <w:p w:rsidR="00716908" w:rsidRDefault="00716908" w:rsidP="00716908">
      <w:pPr>
        <w:rPr>
          <w:b/>
        </w:rPr>
      </w:pPr>
      <w:r>
        <w:rPr>
          <w:b/>
        </w:rPr>
        <w:t>References</w:t>
      </w:r>
    </w:p>
    <w:p w:rsidR="00D80B82" w:rsidRPr="00D80B82" w:rsidRDefault="00716908" w:rsidP="00D80B82">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D80B82" w:rsidRPr="00D80B82">
        <w:rPr>
          <w:rFonts w:ascii="Calibri" w:hAnsi="Calibri" w:cs="Times New Roman"/>
          <w:noProof/>
          <w:szCs w:val="24"/>
        </w:rPr>
        <w:t>1</w:t>
      </w:r>
      <w:r w:rsidR="00D80B82" w:rsidRPr="00D80B82">
        <w:rPr>
          <w:rFonts w:ascii="Calibri" w:hAnsi="Calibri" w:cs="Times New Roman"/>
          <w:noProof/>
          <w:szCs w:val="24"/>
        </w:rPr>
        <w:tab/>
        <w:t>National Population Commission - Federal Republic of Nigeria, ICF International. Nigeria Demographic and Health Survey, 2013 - Final Report. 2014.</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2</w:t>
      </w:r>
      <w:r w:rsidRPr="00D80B82">
        <w:rPr>
          <w:rFonts w:ascii="Calibri" w:hAnsi="Calibri" w:cs="Times New Roman"/>
          <w:noProof/>
          <w:szCs w:val="24"/>
        </w:rPr>
        <w:tab/>
        <w:t>POLIS: The polio information system. https://extranet.who.int/polis/Search (accessed Aug 2, 2016).</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3</w:t>
      </w:r>
      <w:r w:rsidRPr="00D80B82">
        <w:rPr>
          <w:rFonts w:ascii="Calibri" w:hAnsi="Calibri" w:cs="Times New Roman"/>
          <w:noProof/>
          <w:szCs w:val="24"/>
        </w:rPr>
        <w:tab/>
        <w:t xml:space="preserve">Behrend MR, Hu H, Nigmatulina KR, Eckhoff P. A quantitative survey of the literature on </w:t>
      </w:r>
      <w:r w:rsidRPr="00D80B82">
        <w:rPr>
          <w:rFonts w:ascii="Calibri" w:hAnsi="Calibri" w:cs="Times New Roman"/>
          <w:noProof/>
          <w:szCs w:val="24"/>
        </w:rPr>
        <w:lastRenderedPageBreak/>
        <w:t xml:space="preserve">poliovirus infection and immunity. </w:t>
      </w:r>
      <w:r w:rsidRPr="00D80B82">
        <w:rPr>
          <w:rFonts w:ascii="Calibri" w:hAnsi="Calibri" w:cs="Times New Roman"/>
          <w:i/>
          <w:iCs/>
          <w:noProof/>
          <w:szCs w:val="24"/>
        </w:rPr>
        <w:t>Int J Infect Dis</w:t>
      </w:r>
      <w:r w:rsidRPr="00D80B82">
        <w:rPr>
          <w:rFonts w:ascii="Calibri" w:hAnsi="Calibri" w:cs="Times New Roman"/>
          <w:noProof/>
          <w:szCs w:val="24"/>
        </w:rPr>
        <w:t xml:space="preserve"> 2014; </w:t>
      </w:r>
      <w:r w:rsidRPr="00D80B82">
        <w:rPr>
          <w:rFonts w:ascii="Calibri" w:hAnsi="Calibri" w:cs="Times New Roman"/>
          <w:b/>
          <w:bCs/>
          <w:noProof/>
          <w:szCs w:val="24"/>
        </w:rPr>
        <w:t>18</w:t>
      </w:r>
      <w:r w:rsidRPr="00D80B82">
        <w:rPr>
          <w:rFonts w:ascii="Calibri" w:hAnsi="Calibri" w:cs="Times New Roman"/>
          <w:noProof/>
          <w:szCs w:val="24"/>
        </w:rPr>
        <w:t>: 4–13.</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4</w:t>
      </w:r>
      <w:r w:rsidRPr="00D80B82">
        <w:rPr>
          <w:rFonts w:ascii="Calibri" w:hAnsi="Calibri" w:cs="Times New Roman"/>
          <w:noProof/>
          <w:szCs w:val="24"/>
        </w:rPr>
        <w:tab/>
        <w:t xml:space="preserve">Duintjer Tebbens RJ, Pallansch MA, Kalkowska DA, Wassilak SGF, Cochi SL, Thompson KM. Characterizing poliovirus transmission and evolution: insights from modeling experiences with wild and vaccine-related polioviruses. </w:t>
      </w:r>
      <w:r w:rsidRPr="00D80B82">
        <w:rPr>
          <w:rFonts w:ascii="Calibri" w:hAnsi="Calibri" w:cs="Times New Roman"/>
          <w:i/>
          <w:iCs/>
          <w:noProof/>
          <w:szCs w:val="24"/>
        </w:rPr>
        <w:t>Risk Anal</w:t>
      </w:r>
      <w:r w:rsidRPr="00D80B82">
        <w:rPr>
          <w:rFonts w:ascii="Calibri" w:hAnsi="Calibri" w:cs="Times New Roman"/>
          <w:noProof/>
          <w:szCs w:val="24"/>
        </w:rPr>
        <w:t xml:space="preserve"> 2013; </w:t>
      </w:r>
      <w:r w:rsidRPr="00D80B82">
        <w:rPr>
          <w:rFonts w:ascii="Calibri" w:hAnsi="Calibri" w:cs="Times New Roman"/>
          <w:b/>
          <w:bCs/>
          <w:noProof/>
          <w:szCs w:val="24"/>
        </w:rPr>
        <w:t>33</w:t>
      </w:r>
      <w:r w:rsidRPr="00D80B82">
        <w:rPr>
          <w:rFonts w:ascii="Calibri" w:hAnsi="Calibri" w:cs="Times New Roman"/>
          <w:noProof/>
          <w:szCs w:val="24"/>
        </w:rPr>
        <w:t>: 703–49.</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5</w:t>
      </w:r>
      <w:r w:rsidRPr="00D80B82">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D80B82">
        <w:rPr>
          <w:rFonts w:ascii="Calibri" w:hAnsi="Calibri" w:cs="Times New Roman"/>
          <w:i/>
          <w:iCs/>
          <w:noProof/>
          <w:szCs w:val="24"/>
        </w:rPr>
        <w:t>PLoS Pathog</w:t>
      </w:r>
      <w:r w:rsidRPr="00D80B82">
        <w:rPr>
          <w:rFonts w:ascii="Calibri" w:hAnsi="Calibri" w:cs="Times New Roman"/>
          <w:noProof/>
          <w:szCs w:val="24"/>
        </w:rPr>
        <w:t xml:space="preserve"> 2012; </w:t>
      </w:r>
      <w:r w:rsidRPr="00D80B82">
        <w:rPr>
          <w:rFonts w:ascii="Calibri" w:hAnsi="Calibri" w:cs="Times New Roman"/>
          <w:b/>
          <w:bCs/>
          <w:noProof/>
          <w:szCs w:val="24"/>
        </w:rPr>
        <w:t>8</w:t>
      </w:r>
      <w:r w:rsidRPr="00D80B82">
        <w:rPr>
          <w:rFonts w:ascii="Calibri" w:hAnsi="Calibri" w:cs="Times New Roman"/>
          <w:noProof/>
          <w:szCs w:val="24"/>
        </w:rPr>
        <w:t>: e1002599.</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6</w:t>
      </w:r>
      <w:r w:rsidRPr="00D80B82">
        <w:rPr>
          <w:rFonts w:ascii="Calibri" w:hAnsi="Calibri" w:cs="Times New Roman"/>
          <w:noProof/>
          <w:szCs w:val="24"/>
        </w:rPr>
        <w:tab/>
        <w:t xml:space="preserve">Wesolowski A, Buckee CO, Pindolia DK, </w:t>
      </w:r>
      <w:r w:rsidRPr="00D80B82">
        <w:rPr>
          <w:rFonts w:ascii="Calibri" w:hAnsi="Calibri" w:cs="Times New Roman"/>
          <w:i/>
          <w:iCs/>
          <w:noProof/>
          <w:szCs w:val="24"/>
        </w:rPr>
        <w:t>et al.</w:t>
      </w:r>
      <w:r w:rsidRPr="00D80B82">
        <w:rPr>
          <w:rFonts w:ascii="Calibri" w:hAnsi="Calibri" w:cs="Times New Roman"/>
          <w:noProof/>
          <w:szCs w:val="24"/>
        </w:rPr>
        <w:t xml:space="preserve"> The Use of Census Migration Data to Approximate Human Movement Patterns across Temporal Scales. </w:t>
      </w:r>
      <w:r w:rsidRPr="00D80B82">
        <w:rPr>
          <w:rFonts w:ascii="Calibri" w:hAnsi="Calibri" w:cs="Times New Roman"/>
          <w:i/>
          <w:iCs/>
          <w:noProof/>
          <w:szCs w:val="24"/>
        </w:rPr>
        <w:t>PLoS One</w:t>
      </w:r>
      <w:r w:rsidRPr="00D80B82">
        <w:rPr>
          <w:rFonts w:ascii="Calibri" w:hAnsi="Calibri" w:cs="Times New Roman"/>
          <w:noProof/>
          <w:szCs w:val="24"/>
        </w:rPr>
        <w:t xml:space="preserve"> 2013; </w:t>
      </w:r>
      <w:r w:rsidRPr="00D80B82">
        <w:rPr>
          <w:rFonts w:ascii="Calibri" w:hAnsi="Calibri" w:cs="Times New Roman"/>
          <w:b/>
          <w:bCs/>
          <w:noProof/>
          <w:szCs w:val="24"/>
        </w:rPr>
        <w:t>8</w:t>
      </w:r>
      <w:r w:rsidRPr="00D80B82">
        <w:rPr>
          <w:rFonts w:ascii="Calibri" w:hAnsi="Calibri" w:cs="Times New Roman"/>
          <w:noProof/>
          <w:szCs w:val="24"/>
        </w:rPr>
        <w:t>: e52971.</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7</w:t>
      </w:r>
      <w:r w:rsidRPr="00D80B82">
        <w:rPr>
          <w:rFonts w:ascii="Calibri" w:hAnsi="Calibri" w:cs="Times New Roman"/>
          <w:noProof/>
          <w:szCs w:val="24"/>
        </w:rPr>
        <w:tab/>
        <w:t xml:space="preserve">Duintjer Tebbens RJ, Pallansch MA, Kim J-H, </w:t>
      </w:r>
      <w:r w:rsidRPr="00D80B82">
        <w:rPr>
          <w:rFonts w:ascii="Calibri" w:hAnsi="Calibri" w:cs="Times New Roman"/>
          <w:i/>
          <w:iCs/>
          <w:noProof/>
          <w:szCs w:val="24"/>
        </w:rPr>
        <w:t>et al.</w:t>
      </w:r>
      <w:r w:rsidRPr="00D80B82">
        <w:rPr>
          <w:rFonts w:ascii="Calibri" w:hAnsi="Calibri" w:cs="Times New Roman"/>
          <w:noProof/>
          <w:szCs w:val="24"/>
        </w:rPr>
        <w:t xml:space="preserve"> Oral poliovirus vaccine evolution and insights relevant to modeling the risks of circulating vaccine-derived polioviruses (cVDPVs). </w:t>
      </w:r>
      <w:r w:rsidRPr="00D80B82">
        <w:rPr>
          <w:rFonts w:ascii="Calibri" w:hAnsi="Calibri" w:cs="Times New Roman"/>
          <w:i/>
          <w:iCs/>
          <w:noProof/>
          <w:szCs w:val="24"/>
        </w:rPr>
        <w:t>Risk Anal</w:t>
      </w:r>
      <w:r w:rsidRPr="00D80B82">
        <w:rPr>
          <w:rFonts w:ascii="Calibri" w:hAnsi="Calibri" w:cs="Times New Roman"/>
          <w:noProof/>
          <w:szCs w:val="24"/>
        </w:rPr>
        <w:t xml:space="preserve"> 2013; </w:t>
      </w:r>
      <w:r w:rsidRPr="00D80B82">
        <w:rPr>
          <w:rFonts w:ascii="Calibri" w:hAnsi="Calibri" w:cs="Times New Roman"/>
          <w:b/>
          <w:bCs/>
          <w:noProof/>
          <w:szCs w:val="24"/>
        </w:rPr>
        <w:t>33</w:t>
      </w:r>
      <w:r w:rsidRPr="00D80B82">
        <w:rPr>
          <w:rFonts w:ascii="Calibri" w:hAnsi="Calibri" w:cs="Times New Roman"/>
          <w:noProof/>
          <w:szCs w:val="24"/>
        </w:rPr>
        <w:t>: 680–702.</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8</w:t>
      </w:r>
      <w:r w:rsidRPr="00D80B82">
        <w:rPr>
          <w:rFonts w:ascii="Calibri" w:hAnsi="Calibri" w:cs="Times New Roman"/>
          <w:noProof/>
          <w:szCs w:val="24"/>
        </w:rPr>
        <w:tab/>
        <w:t xml:space="preserve">Raftery AE, Bao L. Estimating and Projecting Trends in HIV/AIDS Generalized Epidemics Using Incremental Mixture Importance Sampling. </w:t>
      </w:r>
      <w:r w:rsidRPr="00D80B82">
        <w:rPr>
          <w:rFonts w:ascii="Calibri" w:hAnsi="Calibri" w:cs="Times New Roman"/>
          <w:i/>
          <w:iCs/>
          <w:noProof/>
          <w:szCs w:val="24"/>
        </w:rPr>
        <w:t>Biometrics</w:t>
      </w:r>
      <w:r w:rsidRPr="00D80B82">
        <w:rPr>
          <w:rFonts w:ascii="Calibri" w:hAnsi="Calibri" w:cs="Times New Roman"/>
          <w:noProof/>
          <w:szCs w:val="24"/>
        </w:rPr>
        <w:t xml:space="preserve"> 2010; </w:t>
      </w:r>
      <w:r w:rsidRPr="00D80B82">
        <w:rPr>
          <w:rFonts w:ascii="Calibri" w:hAnsi="Calibri" w:cs="Times New Roman"/>
          <w:b/>
          <w:bCs/>
          <w:noProof/>
          <w:szCs w:val="24"/>
        </w:rPr>
        <w:t>66</w:t>
      </w:r>
      <w:r w:rsidRPr="00D80B82">
        <w:rPr>
          <w:rFonts w:ascii="Calibri" w:hAnsi="Calibri" w:cs="Times New Roman"/>
          <w:noProof/>
          <w:szCs w:val="24"/>
        </w:rPr>
        <w:t>: 1162–73.</w:t>
      </w:r>
    </w:p>
    <w:p w:rsidR="00D80B82" w:rsidRPr="00D80B82" w:rsidRDefault="00D80B82" w:rsidP="00D80B82">
      <w:pPr>
        <w:widowControl w:val="0"/>
        <w:autoSpaceDE w:val="0"/>
        <w:autoSpaceDN w:val="0"/>
        <w:adjustRightInd w:val="0"/>
        <w:spacing w:line="240" w:lineRule="auto"/>
        <w:ind w:left="640" w:hanging="640"/>
        <w:rPr>
          <w:rFonts w:ascii="Calibri" w:hAnsi="Calibri" w:cs="Times New Roman"/>
          <w:noProof/>
          <w:szCs w:val="24"/>
        </w:rPr>
      </w:pPr>
      <w:r w:rsidRPr="00D80B82">
        <w:rPr>
          <w:rFonts w:ascii="Calibri" w:hAnsi="Calibri" w:cs="Times New Roman"/>
          <w:noProof/>
          <w:szCs w:val="24"/>
        </w:rPr>
        <w:t>9</w:t>
      </w:r>
      <w:r w:rsidRPr="00D80B82">
        <w:rPr>
          <w:rFonts w:ascii="Calibri" w:hAnsi="Calibri" w:cs="Times New Roman"/>
          <w:noProof/>
          <w:szCs w:val="24"/>
        </w:rPr>
        <w:tab/>
        <w:t xml:space="preserve">Upfill-Brown AM, Lyons HM, Pate MA, </w:t>
      </w:r>
      <w:r w:rsidRPr="00D80B82">
        <w:rPr>
          <w:rFonts w:ascii="Calibri" w:hAnsi="Calibri" w:cs="Times New Roman"/>
          <w:i/>
          <w:iCs/>
          <w:noProof/>
          <w:szCs w:val="24"/>
        </w:rPr>
        <w:t>et al.</w:t>
      </w:r>
      <w:r w:rsidRPr="00D80B82">
        <w:rPr>
          <w:rFonts w:ascii="Calibri" w:hAnsi="Calibri" w:cs="Times New Roman"/>
          <w:noProof/>
          <w:szCs w:val="24"/>
        </w:rPr>
        <w:t xml:space="preserve"> Predictive spatial risk model of poliovirus to aid prioritization and hasten eradication in Nigeria. </w:t>
      </w:r>
      <w:r w:rsidRPr="00D80B82">
        <w:rPr>
          <w:rFonts w:ascii="Calibri" w:hAnsi="Calibri" w:cs="Times New Roman"/>
          <w:i/>
          <w:iCs/>
          <w:noProof/>
          <w:szCs w:val="24"/>
        </w:rPr>
        <w:t>BMC Med</w:t>
      </w:r>
      <w:r w:rsidRPr="00D80B82">
        <w:rPr>
          <w:rFonts w:ascii="Calibri" w:hAnsi="Calibri" w:cs="Times New Roman"/>
          <w:noProof/>
          <w:szCs w:val="24"/>
        </w:rPr>
        <w:t xml:space="preserve"> 2014; </w:t>
      </w:r>
      <w:r w:rsidRPr="00D80B82">
        <w:rPr>
          <w:rFonts w:ascii="Calibri" w:hAnsi="Calibri" w:cs="Times New Roman"/>
          <w:b/>
          <w:bCs/>
          <w:noProof/>
          <w:szCs w:val="24"/>
        </w:rPr>
        <w:t>12</w:t>
      </w:r>
      <w:r w:rsidRPr="00D80B82">
        <w:rPr>
          <w:rFonts w:ascii="Calibri" w:hAnsi="Calibri" w:cs="Times New Roman"/>
          <w:noProof/>
          <w:szCs w:val="24"/>
        </w:rPr>
        <w:t>: 92.</w:t>
      </w:r>
    </w:p>
    <w:p w:rsidR="00D80B82" w:rsidRPr="00D80B82" w:rsidRDefault="00D80B82" w:rsidP="00D80B82">
      <w:pPr>
        <w:widowControl w:val="0"/>
        <w:autoSpaceDE w:val="0"/>
        <w:autoSpaceDN w:val="0"/>
        <w:adjustRightInd w:val="0"/>
        <w:spacing w:line="240" w:lineRule="auto"/>
        <w:ind w:left="640" w:hanging="640"/>
        <w:rPr>
          <w:rFonts w:ascii="Calibri" w:hAnsi="Calibri"/>
          <w:noProof/>
        </w:rPr>
      </w:pPr>
      <w:r w:rsidRPr="00D80B82">
        <w:rPr>
          <w:rFonts w:ascii="Calibri" w:hAnsi="Calibri" w:cs="Times New Roman"/>
          <w:noProof/>
          <w:szCs w:val="24"/>
        </w:rPr>
        <w:t>10</w:t>
      </w:r>
      <w:r w:rsidRPr="00D80B82">
        <w:rPr>
          <w:rFonts w:ascii="Calibri" w:hAnsi="Calibri" w:cs="Times New Roman"/>
          <w:noProof/>
          <w:szCs w:val="24"/>
        </w:rPr>
        <w:tab/>
        <w:t>WorldPop Collaboration. Worldpop - Selected Data: Africa &amp;gt; Whole Continent &amp;gt; Population 2010. 2012. http://www.worldpop.org.uk/data/summary/?contselect=Africa&amp;countselect=Whole+Continent&amp;typeselect=Population+2010 (accessed Aug 24, 2016).</w:t>
      </w:r>
    </w:p>
    <w:p w:rsidR="00716908" w:rsidRPr="00716908" w:rsidRDefault="00716908" w:rsidP="00716908">
      <w:r>
        <w:fldChar w:fldCharType="end"/>
      </w:r>
    </w:p>
    <w:sectPr w:rsidR="00716908" w:rsidRPr="00716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25"/>
    <w:rsid w:val="00007992"/>
    <w:rsid w:val="000104BD"/>
    <w:rsid w:val="0001541F"/>
    <w:rsid w:val="00072AAC"/>
    <w:rsid w:val="0009078D"/>
    <w:rsid w:val="000C101C"/>
    <w:rsid w:val="000C2DD4"/>
    <w:rsid w:val="000E2C22"/>
    <w:rsid w:val="00151ECC"/>
    <w:rsid w:val="00176A6C"/>
    <w:rsid w:val="001E23D9"/>
    <w:rsid w:val="00226F59"/>
    <w:rsid w:val="002B719C"/>
    <w:rsid w:val="002D5939"/>
    <w:rsid w:val="002D7CA8"/>
    <w:rsid w:val="003014F0"/>
    <w:rsid w:val="00305062"/>
    <w:rsid w:val="00305BEA"/>
    <w:rsid w:val="00481B53"/>
    <w:rsid w:val="00492935"/>
    <w:rsid w:val="004E4643"/>
    <w:rsid w:val="00533CA4"/>
    <w:rsid w:val="00555CB6"/>
    <w:rsid w:val="00564214"/>
    <w:rsid w:val="005B4C25"/>
    <w:rsid w:val="006544C9"/>
    <w:rsid w:val="00671627"/>
    <w:rsid w:val="006F704B"/>
    <w:rsid w:val="00716908"/>
    <w:rsid w:val="007661C8"/>
    <w:rsid w:val="00840C9E"/>
    <w:rsid w:val="00852FDF"/>
    <w:rsid w:val="0086743A"/>
    <w:rsid w:val="0088587B"/>
    <w:rsid w:val="008872FA"/>
    <w:rsid w:val="00890691"/>
    <w:rsid w:val="00962282"/>
    <w:rsid w:val="00996CBB"/>
    <w:rsid w:val="009C5E9D"/>
    <w:rsid w:val="009C67B9"/>
    <w:rsid w:val="00A15A1B"/>
    <w:rsid w:val="00A207AC"/>
    <w:rsid w:val="00A225F6"/>
    <w:rsid w:val="00B75F6E"/>
    <w:rsid w:val="00B941A2"/>
    <w:rsid w:val="00BC01BA"/>
    <w:rsid w:val="00C0563C"/>
    <w:rsid w:val="00CA6A4A"/>
    <w:rsid w:val="00CE17CE"/>
    <w:rsid w:val="00CE40E0"/>
    <w:rsid w:val="00CF0E5D"/>
    <w:rsid w:val="00D4305D"/>
    <w:rsid w:val="00D80B82"/>
    <w:rsid w:val="00DB2A38"/>
    <w:rsid w:val="00DD2597"/>
    <w:rsid w:val="00E52227"/>
    <w:rsid w:val="00E63A02"/>
    <w:rsid w:val="00EE2918"/>
    <w:rsid w:val="00F25967"/>
    <w:rsid w:val="00FE45FA"/>
    <w:rsid w:val="00FF7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7E18"/>
  <w15:chartTrackingRefBased/>
  <w15:docId w15:val="{770F1079-60DB-433D-93EF-2E8174EF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207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07AC"/>
    <w:pPr>
      <w:spacing w:line="240" w:lineRule="auto"/>
    </w:pPr>
    <w:rPr>
      <w:b/>
      <w:bCs/>
      <w:color w:val="5B9BD5" w:themeColor="accent1"/>
      <w:sz w:val="18"/>
      <w:szCs w:val="18"/>
    </w:rPr>
  </w:style>
  <w:style w:type="table" w:styleId="TableGrid">
    <w:name w:val="Table Grid"/>
    <w:basedOn w:val="TableNormal"/>
    <w:uiPriority w:val="59"/>
    <w:rsid w:val="00A2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07AC"/>
    <w:rPr>
      <w:color w:val="0563C1" w:themeColor="hyperlink"/>
      <w:u w:val="single"/>
    </w:rPr>
  </w:style>
  <w:style w:type="character" w:styleId="PlaceholderText">
    <w:name w:val="Placeholder Text"/>
    <w:basedOn w:val="DefaultParagraphFont"/>
    <w:uiPriority w:val="99"/>
    <w:semiHidden/>
    <w:rsid w:val="00E522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idmod.org/idmdoc/"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5486-3CDE-41FE-A8FB-DACF34D3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10820</TotalTime>
  <Pages>15</Pages>
  <Words>17505</Words>
  <Characters>99781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15</cp:revision>
  <dcterms:created xsi:type="dcterms:W3CDTF">2016-07-12T03:21:00Z</dcterms:created>
  <dcterms:modified xsi:type="dcterms:W3CDTF">2016-08-25T21:22:00Z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http://www.zotero.org/styles/the-lancet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http://www.zotero.org/styles/bmc-infectious-diseases</vt:lpwstr>
  </property>
  <property fmtid="{D5CDD505-2E9C-101B-9397-08002B2CF9AE}" pid="13" name="Mendeley Recent Style Name 4_1">
    <vt:lpwstr>BMC Infectious Diseases</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http://www.zotero.org/styles/the-lancet</vt:lpwstr>
  </property>
  <property fmtid="{D5CDD505-2E9C-101B-9397-08002B2CF9AE}" pid="23" name="Mendeley Recent Style Name 9_1">
    <vt:lpwstr>The Lancet</vt:lpwstr>
  </property>
  <property fmtid="{D5CDD505-2E9C-101B-9397-08002B2CF9AE}" pid="24" name="Mendeley Unique User Id_1">
    <vt:lpwstr>d8eaf2a8-e17d-377d-b33b-9a3ebd107266</vt:lpwstr>
  </property>
</Properties>
</file>