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2756A"/>
          <w:sz w:val="18"/>
          <w:szCs w:val="18"/>
        </w:rPr>
        <w:t xml:space="preserve">REVUSYS CRM  ·  OPERATIONS PLATFORM</w:t>
      </w:r>
    </w:p>
    <w:p>
      <w:pPr>
        <w:spacing w:after="60"/>
      </w:pPr>
      <w:r>
        <w:rPr>
          <w:rFonts w:ascii="Calibri" w:cs="Calibri" w:eastAsia="Calibri" w:hAnsi="Calibri"/>
          <w:b/>
          <w:bCs/>
          <w:color w:val="1F3864"/>
          <w:sz w:val="40"/>
          <w:szCs w:val="40"/>
        </w:rPr>
        <w:t xml:space="preserve">VOB Section — Review &amp; Improvement Recommendations</w:t>
      </w:r>
    </w:p>
    <w:p>
      <w:pPr>
        <w:pBdr>
          <w:bottom w:val="single" w:color="12756A" w:sz="12"/>
        </w:pBdr>
        <w:spacing w:after="200"/>
      </w:pPr>
      <w:r>
        <w:rPr>
          <w:rFonts w:ascii="Calibri" w:cs="Calibri" w:eastAsia="Calibri" w:hAnsi="Calibri"/>
          <w:color w:val="595959"/>
          <w:sz w:val="24"/>
          <w:szCs w:val="24"/>
        </w:rPr>
        <w:t xml:space="preserve">Revision 2 — language and terminology for the Provider and Office Manager views</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200"/>
        <w:gridCol w:w="7880"/>
      </w:tblGrid>
      <w:tr>
        <w:trPr>
          <w:tblHeader/>
        </w:trPr>
        <w:tc>
          <w:tcPr>
            <w:tcW w:type="dxa" w:w="22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Item</w:t>
            </w:r>
          </w:p>
        </w:tc>
        <w:tc>
          <w:tcPr>
            <w:tcW w:type="dxa" w:w="78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Detail</w:t>
            </w:r>
          </w:p>
        </w:tc>
      </w:tr>
      <w:tr>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Screen reviewed</w:t>
            </w:r>
          </w:p>
        </w:tc>
        <w:tc>
          <w:tcPr>
            <w:tcW w:type="dxa" w:w="7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Revusys / VOB Admin Dashboard — software.framecho.ae/admin/dashboard</w:t>
            </w:r>
          </w:p>
        </w:tc>
      </w:tr>
      <w:tr>
        <w:tc>
          <w:tcPr>
            <w:tcW w:type="dxa" w:w="2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Roles in scope</w:t>
            </w:r>
          </w:p>
        </w:tc>
        <w:tc>
          <w:tcPr>
            <w:tcW w:type="dxa" w:w="7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Provider (Doctor) and Office Manager</w:t>
            </w:r>
          </w:p>
        </w:tc>
      </w:tr>
      <w:tr>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Focus of this revision</w:t>
            </w:r>
          </w:p>
        </w:tc>
        <w:tc>
          <w:tcPr>
            <w:tcW w:type="dxa" w:w="7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words on screen — do the labels mean anything to a provider or a front-desk manager, and do they say what to do next</w:t>
            </w:r>
          </w:p>
        </w:tc>
      </w:tr>
      <w:tr>
        <w:tc>
          <w:tcPr>
            <w:tcW w:type="dxa" w:w="2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Evidence</w:t>
            </w:r>
          </w:p>
        </w:tc>
        <w:tc>
          <w:tcPr>
            <w:tcW w:type="dxa" w:w="7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3 screen captures of the live environment, dated Aug 25, 2026</w:t>
            </w:r>
          </w:p>
        </w:tc>
      </w:tr>
      <w:tr>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Contains</w:t>
            </w:r>
          </w:p>
        </w:tc>
        <w:tc>
          <w:tcPr>
            <w:tcW w:type="dxa" w:w="7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Proposed wording for every label in the section, two visual mockups, 18 screen findings, and 6 questions for the VOB team</w:t>
            </w:r>
          </w:p>
        </w:tc>
      </w:tr>
    </w:tbl>
    <w:p>
      <w:pPr>
        <w:spacing w:after="0" w:before="0" w:line="276"/>
      </w:pPr>
      <w:r>
        <w:rPr>
          <w:rFonts w:ascii="Calibri" w:cs="Calibri" w:eastAsia="Calibri" w:hAnsi="Calibri"/>
          <w:color w:val="222222"/>
          <w:sz w:val="12"/>
          <w:szCs w:val="12"/>
        </w:rPr>
        <w:t xml:space="preserve"/>
      </w:r>
    </w:p>
    <w:tbl>
      <w:tblPr>
        <w:tblW w:type="dxa" w:w="10080"/>
        <w:tblBorders>
          <w:top w:val="single" w:color="E6D9B8" w:sz="4"/>
          <w:left w:val="single" w:color="B7791F" w:sz="24"/>
          <w:bottom w:val="single" w:color="E6D9B8" w:sz="4"/>
          <w:right w:val="single" w:color="E6D9B8" w:sz="4"/>
          <w:insideH w:val="none"/>
          <w:insideV w:val="none"/>
        </w:tblBorders>
        <w:tblCellMar>
          <w:top w:type="dxa" w:w="0"/>
        </w:tblCellMar>
      </w:tblPr>
      <w:tblGrid>
        <w:gridCol w:w="10080"/>
      </w:tblGrid>
      <w:tr>
        <w:trPr>
          <w:cantSplit/>
        </w:trPr>
        <w:tc>
          <w:tcPr>
            <w:tcW w:type="dxa" w:w="10080"/>
            <w:shd w:fill="FDF8EC" w:color="auto" w:val="clear"/>
            <w:tcMar>
              <w:top w:type="dxa" w:w="90"/>
              <w:left w:type="dxa" w:w="120"/>
              <w:bottom w:type="dxa" w:w="90"/>
              <w:right w:type="dxa" w:w="120"/>
            </w:tcMar>
            <w:vAlign w:val="top"/>
          </w:tcPr>
          <w:p>
            <w:pPr>
              <w:spacing w:after="60" w:before="0" w:line="276"/>
            </w:pPr>
            <w:r>
              <w:rPr>
                <w:rFonts w:ascii="Calibri" w:cs="Calibri" w:eastAsia="Calibri" w:hAnsi="Calibri"/>
                <w:b/>
                <w:bCs/>
                <w:color w:val="7A6027"/>
                <w:sz w:val="20"/>
                <w:szCs w:val="20"/>
              </w:rPr>
              <w:t xml:space="preserve">What changed in Revision 2</w:t>
            </w:r>
          </w:p>
          <w:p>
            <w:pPr>
              <w:spacing w:after="0" w:before="0" w:line="276"/>
            </w:pPr>
            <w:r>
              <w:rPr>
                <w:rFonts w:ascii="Calibri" w:cs="Calibri" w:eastAsia="Calibri" w:hAnsi="Calibri"/>
                <w:color w:val="5C4A1E"/>
                <w:sz w:val="20"/>
                <w:szCs w:val="20"/>
              </w:rPr>
              <w:t xml:space="preserve">Revision 1 treated the wording as a polish item. This revision leads with it. The eligibility statuses are re-cut into two separate questions (is the policy active, and are we in network); the five processing statuses are re-written for both roles and grouped by who is holding the work; Top Agents and Recent Activity Logs are removed from both the Provider and the Office Manager views; and every proposed label is tied to the action it should trigger.</w:t>
            </w:r>
          </w:p>
        </w:tc>
      </w:tr>
    </w:tbl>
    <w:p>
      <w:pPr>
        <w:pStyle w:val="Heading1"/>
        <w:spacing w:after="160" w:before="320"/>
      </w:pPr>
      <w:r>
        <w:rPr>
          <w:rFonts w:ascii="Calibri" w:cs="Calibri" w:eastAsia="Calibri" w:hAnsi="Calibri"/>
          <w:b/>
          <w:bCs/>
          <w:color w:val="1F3864"/>
          <w:sz w:val="30"/>
          <w:szCs w:val="30"/>
        </w:rPr>
        <w:t xml:space="preserve">1. Executive summary</w:t>
      </w:r>
    </w:p>
    <w:p>
      <w:pPr>
        <w:spacing w:after="120" w:before="0" w:line="276"/>
      </w:pPr>
      <w:r>
        <w:rPr>
          <w:rFonts w:ascii="Calibri" w:cs="Calibri" w:eastAsia="Calibri" w:hAnsi="Calibri"/>
          <w:color w:val="222222"/>
          <w:sz w:val="21"/>
          <w:szCs w:val="21"/>
        </w:rPr>
        <w:t xml:space="preserve">The VOB dashboard is well built, but it is written in the language of the VOB team rather than the language of the people reading it. Every label on the screen names an internal workflow state — Pending QC, Returned, Drafts, Ineligible — and none of them tells a provider or a front-desk manager what to do next.</w:t>
      </w:r>
    </w:p>
    <w:p>
      <w:pPr>
        <w:spacing w:after="120" w:before="60" w:line="276"/>
      </w:pPr>
      <w:r>
        <w:rPr>
          <w:rFonts w:ascii="Calibri" w:cs="Calibri" w:eastAsia="Calibri" w:hAnsi="Calibri"/>
          <w:color w:val="222222"/>
          <w:sz w:val="21"/>
          <w:szCs w:val="21"/>
        </w:rPr>
        <w:t xml:space="preserve">Four points carry the rest of this document:</w:t>
      </w:r>
    </w:p>
    <w:p>
      <w:pPr>
        <w:pStyle w:val="ListParagraph"/>
        <w:numPr>
          <w:ilvl w:val="0"/>
          <w:numId w:val="2"/>
        </w:numPr>
        <w:spacing w:after="70" w:line="270"/>
      </w:pPr>
      <w:r>
        <w:rPr>
          <w:rFonts w:ascii="Calibri" w:cs="Calibri" w:eastAsia="Calibri" w:hAnsi="Calibri"/>
          <w:sz w:val="21"/>
          <w:szCs w:val="21"/>
        </w:rPr>
        <w:t xml:space="preserve">“Ineligible” is doing too much work. It currently covers a terminated policy, a service that is not a covered benefit, a member the insurer cannot find, and — most importantly — a patient we are out of network with. Those are four different phone calls, shown as one number.</w:t>
      </w:r>
    </w:p>
    <w:p>
      <w:pPr>
        <w:pStyle w:val="ListParagraph"/>
        <w:numPr>
          <w:ilvl w:val="0"/>
          <w:numId w:val="2"/>
        </w:numPr>
        <w:spacing w:after="70" w:line="270"/>
      </w:pPr>
      <w:r>
        <w:rPr>
          <w:rFonts w:ascii="Calibri" w:cs="Calibri" w:eastAsia="Calibri" w:hAnsi="Calibri"/>
          <w:sz w:val="21"/>
          <w:szCs w:val="21"/>
        </w:rPr>
        <w:t xml:space="preserve">“Approved” is the riskiest word on the screen. In a clinical setting it reads as the insurer approving treatment. It actually means our own team approved the record. On a provider-facing screen this should never say “Approved”.</w:t>
      </w:r>
    </w:p>
    <w:p>
      <w:pPr>
        <w:pStyle w:val="ListParagraph"/>
        <w:numPr>
          <w:ilvl w:val="0"/>
          <w:numId w:val="2"/>
        </w:numPr>
        <w:spacing w:after="70" w:line="270"/>
      </w:pPr>
      <w:r>
        <w:rPr>
          <w:rFonts w:ascii="Calibri" w:cs="Calibri" w:eastAsia="Calibri" w:hAnsi="Calibri"/>
          <w:sz w:val="21"/>
          <w:szCs w:val="21"/>
        </w:rPr>
        <w:t xml:space="preserve">The five processing statuses are internal handoffs. A provider needs three buckets: ready to treat, we are working on it, or we need something from your office.</w:t>
      </w:r>
    </w:p>
    <w:p>
      <w:pPr>
        <w:pStyle w:val="ListParagraph"/>
        <w:numPr>
          <w:ilvl w:val="0"/>
          <w:numId w:val="2"/>
        </w:numPr>
        <w:spacing w:after="70" w:line="270"/>
      </w:pPr>
      <w:r>
        <w:rPr>
          <w:rFonts w:ascii="Calibri" w:cs="Calibri" w:eastAsia="Calibri" w:hAnsi="Calibri"/>
          <w:sz w:val="21"/>
          <w:szCs w:val="21"/>
        </w:rPr>
        <w:t xml:space="preserve">Top Agents and Recent Activity Logs do not belong in either role's view. Staff-level productivity and system audit trails are administrative content and should be admin-only.</w:t>
      </w:r>
    </w:p>
    <w:p>
      <w:pPr>
        <w:spacing w:after="120" w:before="100" w:line="276"/>
      </w:pPr>
      <w:r>
        <w:rPr>
          <w:rFonts w:ascii="Calibri" w:cs="Calibri" w:eastAsia="Calibri" w:hAnsi="Calibri"/>
          <w:color w:val="222222"/>
          <w:sz w:val="21"/>
          <w:szCs w:val="21"/>
        </w:rPr>
        <w:t xml:space="preserve">Section 9 is a single reference table covering every label in the section, with a column for the Provider view and a column for the Office Manager view. Section 10 lists six questions that need answering by the VOB team before some of these labels can be finalised.</w:t>
      </w:r>
    </w:p>
    <w:p>
      <w:pPr>
        <w:pStyle w:val="Heading1"/>
        <w:spacing w:after="160" w:before="320"/>
      </w:pPr>
      <w:r>
        <w:rPr>
          <w:rFonts w:ascii="Calibri" w:cs="Calibri" w:eastAsia="Calibri" w:hAnsi="Calibri"/>
          <w:b/>
          <w:bCs/>
          <w:color w:val="1F3864"/>
          <w:sz w:val="30"/>
          <w:szCs w:val="30"/>
        </w:rPr>
        <w:t xml:space="preserve">2. The principle behind every change</w:t>
      </w:r>
    </w:p>
    <w:p>
      <w:pPr>
        <w:spacing w:after="120" w:before="0" w:line="276"/>
      </w:pPr>
      <w:r>
        <w:rPr>
          <w:rFonts w:ascii="Calibri" w:cs="Calibri" w:eastAsia="Calibri" w:hAnsi="Calibri"/>
          <w:color w:val="222222"/>
          <w:sz w:val="21"/>
          <w:szCs w:val="21"/>
        </w:rPr>
        <w:t xml:space="preserve">One rule explains almost every recommendation in this document:</w:t>
      </w:r>
    </w:p>
    <w:p>
      <w:pPr>
        <w:spacing w:after="60" w:before="60" w:line="276"/>
      </w:pPr>
      <w:r>
        <w:rPr>
          <w:rFonts w:ascii="Calibri" w:cs="Calibri" w:eastAsia="Calibri" w:hAnsi="Calibri"/>
          <w:b/>
          <w:bCs/>
          <w:color w:val="1F3864"/>
          <w:sz w:val="23"/>
          <w:szCs w:val="23"/>
        </w:rPr>
        <w:t xml:space="preserve">A label should name the situation the patient is in, and imply who has to act next — not the queue the record is sitting in.</w:t>
      </w:r>
    </w:p>
    <w:p>
      <w:pPr>
        <w:spacing w:after="120" w:before="60" w:line="276"/>
      </w:pPr>
      <w:r>
        <w:rPr>
          <w:rFonts w:ascii="Calibri" w:cs="Calibri" w:eastAsia="Calibri" w:hAnsi="Calibri"/>
          <w:color w:val="222222"/>
          <w:sz w:val="21"/>
          <w:szCs w:val="21"/>
        </w:rPr>
        <w:t xml:space="preserve">“Pending QC” names a queue. “Being checked by our team” names a situation and tells the reader there is nothing for them to do. Same record, same data, different reader experience. Applying that single rule to the VOB section removes most of the confusion described below.</w:t>
      </w:r>
    </w:p>
    <w:p>
      <w:pPr>
        <w:spacing w:after="120" w:before="140" w:line="276"/>
      </w:pPr>
      <w:r>
        <w:rPr>
          <w:rFonts w:ascii="Calibri" w:cs="Calibri" w:eastAsia="Calibri" w:hAnsi="Calibri"/>
          <w:b/>
          <w:bCs/>
          <w:color w:val="222222"/>
          <w:sz w:val="21"/>
          <w:szCs w:val="21"/>
        </w:rPr>
        <w:t xml:space="preserve">Three supporting rules:</w:t>
      </w:r>
    </w:p>
    <w:p>
      <w:pPr>
        <w:pStyle w:val="ListParagraph"/>
        <w:numPr>
          <w:ilvl w:val="0"/>
          <w:numId w:val="2"/>
        </w:numPr>
        <w:spacing w:after="70" w:line="270"/>
      </w:pPr>
      <w:r>
        <w:rPr>
          <w:rFonts w:ascii="Calibri" w:cs="Calibri" w:eastAsia="Calibri" w:hAnsi="Calibri"/>
          <w:sz w:val="21"/>
          <w:szCs w:val="21"/>
        </w:rPr>
        <w:t xml:space="preserve">Say what the front desk should do about it. If a status does not imply an action, it needs a sub-line that does.</w:t>
      </w:r>
    </w:p>
    <w:p>
      <w:pPr>
        <w:pStyle w:val="ListParagraph"/>
        <w:numPr>
          <w:ilvl w:val="0"/>
          <w:numId w:val="2"/>
        </w:numPr>
        <w:spacing w:after="70" w:line="270"/>
      </w:pPr>
      <w:r>
        <w:rPr>
          <w:rFonts w:ascii="Calibri" w:cs="Calibri" w:eastAsia="Calibri" w:hAnsi="Calibri"/>
          <w:sz w:val="21"/>
          <w:szCs w:val="21"/>
        </w:rPr>
        <w:t xml:space="preserve">Never use an internal abbreviation on a screen a provider sees — QC, VOB, OON — without expanding it at least once.</w:t>
      </w:r>
    </w:p>
    <w:p>
      <w:pPr>
        <w:pStyle w:val="ListParagraph"/>
        <w:numPr>
          <w:ilvl w:val="0"/>
          <w:numId w:val="2"/>
        </w:numPr>
        <w:spacing w:after="70" w:line="270"/>
      </w:pPr>
      <w:r>
        <w:rPr>
          <w:rFonts w:ascii="Calibri" w:cs="Calibri" w:eastAsia="Calibri" w:hAnsi="Calibri"/>
          <w:sz w:val="21"/>
          <w:szCs w:val="21"/>
        </w:rPr>
        <w:t xml:space="preserve">Do not use a word that has a different, stronger meaning in a clinical context. “Approved”, “Denied” and “Authorised” all mean something specific to a provider.</w:t>
      </w:r>
    </w:p>
    <w:p>
      <w:r>
        <w:br w:type="page"/>
      </w:r>
    </w:p>
    <w:p>
      <w:pPr>
        <w:pStyle w:val="Heading1"/>
        <w:spacing w:after="160" w:before="320"/>
      </w:pPr>
      <w:r>
        <w:rPr>
          <w:rFonts w:ascii="Calibri" w:cs="Calibri" w:eastAsia="Calibri" w:hAnsi="Calibri"/>
          <w:b/>
          <w:bCs/>
          <w:color w:val="1F3864"/>
          <w:sz w:val="30"/>
          <w:szCs w:val="30"/>
        </w:rPr>
        <w:t xml:space="preserve">3. Eligibility language — the most important change</w:t>
      </w:r>
    </w:p>
    <w:p>
      <w:pPr>
        <w:spacing w:after="120" w:before="0" w:line="276"/>
      </w:pPr>
      <w:r>
        <w:rPr>
          <w:rFonts w:ascii="Calibri" w:cs="Calibri" w:eastAsia="Calibri" w:hAnsi="Calibri"/>
          <w:color w:val="222222"/>
          <w:sz w:val="21"/>
          <w:szCs w:val="21"/>
        </w:rPr>
        <w:t xml:space="preserve">Today the section shows three eligibility figures, and a donut chart of the same three with no labels at all.</w:t>
      </w:r>
    </w:p>
    <w:p>
      <w:pPr>
        <w:spacing w:after="60" w:before="120"/>
        <w:jc w:val="center"/>
      </w:pPr>
      <w:r>
        <w:drawing>
          <wp:inline distT="0" distB="0" distL="0" distR="0">
            <wp:extent cx="6286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2038350"/>
                    </a:xfrm>
                    <a:prstGeom prst="rect">
                      <a:avLst/>
                    </a:prstGeom>
                  </pic:spPr>
                </pic:pic>
              </a:graphicData>
            </a:graphic>
          </wp:inline>
        </w:drawing>
      </w:r>
    </w:p>
    <w:p>
      <w:pPr>
        <w:spacing w:after="170"/>
        <w:jc w:val="center"/>
      </w:pPr>
      <w:r>
        <w:rPr>
          <w:rFonts w:ascii="Calibri" w:cs="Calibri" w:eastAsia="Calibri" w:hAnsi="Calibri"/>
          <w:i/>
          <w:iCs/>
          <w:color w:val="595959"/>
          <w:sz w:val="18"/>
          <w:szCs w:val="18"/>
        </w:rPr>
        <w:t xml:space="preserve">Figure 1 — Today: Active, Inactive and Ineligible, with no definitions and no drill-down</w:t>
      </w:r>
    </w:p>
    <w:p>
      <w:pPr>
        <w:pStyle w:val="Heading2"/>
        <w:spacing w:after="120" w:before="260"/>
      </w:pPr>
      <w:r>
        <w:rPr>
          <w:rFonts w:ascii="Calibri" w:cs="Calibri" w:eastAsia="Calibri" w:hAnsi="Calibri"/>
          <w:b/>
          <w:bCs/>
          <w:color w:val="12756A"/>
          <w:sz w:val="25"/>
          <w:szCs w:val="25"/>
        </w:rPr>
        <w:t xml:space="preserve">3.1  What is wrong with the current three words</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000"/>
        <w:gridCol w:w="4000"/>
        <w:gridCol w:w="4080"/>
      </w:tblGrid>
      <w:tr>
        <w:trPr>
          <w:tblHeader/>
        </w:trPr>
        <w:tc>
          <w:tcPr>
            <w:tcW w:type="dxa" w:w="20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Current label</w:t>
            </w:r>
          </w:p>
        </w:tc>
        <w:tc>
          <w:tcPr>
            <w:tcW w:type="dxa" w:w="40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The problem</w:t>
            </w:r>
          </w:p>
        </w:tc>
        <w:tc>
          <w:tcPr>
            <w:tcW w:type="dxa" w:w="40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What a reader assumes</w:t>
            </w:r>
          </w:p>
        </w:tc>
      </w:tr>
      <w:tr>
        <w:tc>
          <w:tcPr>
            <w:tcW w:type="dxa" w:w="20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Active</w:t>
            </w:r>
          </w:p>
        </w:tc>
        <w:tc>
          <w:tcPr>
            <w:tcW w:type="dxa" w:w="40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Does not say active what — the patient, the patient's record, or the insurance policy.</w:t>
            </w:r>
          </w:p>
        </w:tc>
        <w:tc>
          <w:tcPr>
            <w:tcW w:type="dxa" w:w="40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 Doctor reads “active patient”. It actually means active coverage.</w:t>
            </w:r>
          </w:p>
        </w:tc>
      </w:tr>
      <w:tr>
        <w:tc>
          <w:tcPr>
            <w:tcW w:type="dxa" w:w="20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Inactive</w:t>
            </w:r>
          </w:p>
        </w:tc>
        <w:tc>
          <w:tcPr>
            <w:tcW w:type="dxa" w:w="40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Reads as an inactive patient record — someone who has left the practice.</w:t>
            </w:r>
          </w:p>
        </w:tc>
        <w:tc>
          <w:tcPr>
            <w:tcW w:type="dxa" w:w="40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Nobody follows up, because it sounds like a housekeeping status rather than a coverage problem.</w:t>
            </w:r>
          </w:p>
        </w:tc>
      </w:tr>
      <w:tr>
        <w:tc>
          <w:tcPr>
            <w:tcW w:type="dxa" w:w="20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Ineligible</w:t>
            </w:r>
          </w:p>
        </w:tc>
        <w:tc>
          <w:tcPr>
            <w:tcW w:type="dxa" w:w="40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Covers at least four different situations, each needing a different action. It also sounds permanent and sounds like the patient is at fault.</w:t>
            </w:r>
          </w:p>
        </w:tc>
        <w:tc>
          <w:tcPr>
            <w:tcW w:type="dxa" w:w="40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“This patient cannot be treated” — which is often not true, particularly for an out-of-network patient.</w:t>
            </w:r>
          </w:p>
        </w:tc>
      </w:tr>
    </w:tbl>
    <w:p>
      <w:pPr>
        <w:spacing w:after="0" w:before="0" w:line="276"/>
      </w:pPr>
      <w:r>
        <w:rPr>
          <w:rFonts w:ascii="Calibri" w:cs="Calibri" w:eastAsia="Calibri" w:hAnsi="Calibri"/>
          <w:color w:val="222222"/>
          <w:sz w:val="12"/>
          <w:szCs w:val="12"/>
        </w:rPr>
        <w:t xml:space="preserve"/>
      </w:r>
    </w:p>
    <w:tbl>
      <w:tblPr>
        <w:tblW w:type="dxa" w:w="10080"/>
        <w:tblBorders>
          <w:top w:val="single" w:color="E6D9B8" w:sz="4"/>
          <w:left w:val="single" w:color="B7791F" w:sz="24"/>
          <w:bottom w:val="single" w:color="E6D9B8" w:sz="4"/>
          <w:right w:val="single" w:color="E6D9B8" w:sz="4"/>
          <w:insideH w:val="none"/>
          <w:insideV w:val="none"/>
        </w:tblBorders>
        <w:tblCellMar>
          <w:top w:type="dxa" w:w="0"/>
        </w:tblCellMar>
      </w:tblPr>
      <w:tblGrid>
        <w:gridCol w:w="10080"/>
      </w:tblGrid>
      <w:tr>
        <w:trPr>
          <w:cantSplit/>
        </w:trPr>
        <w:tc>
          <w:tcPr>
            <w:tcW w:type="dxa" w:w="10080"/>
            <w:shd w:fill="FDF8EC" w:color="auto" w:val="clear"/>
            <w:tcMar>
              <w:top w:type="dxa" w:w="90"/>
              <w:left w:type="dxa" w:w="120"/>
              <w:bottom w:type="dxa" w:w="90"/>
              <w:right w:type="dxa" w:w="120"/>
            </w:tcMar>
            <w:vAlign w:val="top"/>
          </w:tcPr>
          <w:p>
            <w:pPr>
              <w:spacing w:after="60" w:before="0" w:line="276"/>
            </w:pPr>
            <w:r>
              <w:rPr>
                <w:rFonts w:ascii="Calibri" w:cs="Calibri" w:eastAsia="Calibri" w:hAnsi="Calibri"/>
                <w:b/>
                <w:bCs/>
                <w:color w:val="7A6027"/>
                <w:sz w:val="20"/>
                <w:szCs w:val="20"/>
              </w:rPr>
              <w:t xml:space="preserve">The out-of-network point</w:t>
            </w:r>
          </w:p>
          <w:p>
            <w:pPr>
              <w:spacing w:after="0" w:before="0" w:line="276"/>
            </w:pPr>
            <w:r>
              <w:rPr>
                <w:rFonts w:ascii="Calibri" w:cs="Calibri" w:eastAsia="Calibri" w:hAnsi="Calibri"/>
                <w:color w:val="5C4A1E"/>
                <w:sz w:val="20"/>
                <w:szCs w:val="20"/>
              </w:rPr>
              <w:t xml:space="preserve">A patient we are out of network with usually has perfectly valid, active insurance. Filing them under “Ineligible” is inaccurate and it hides the one case that most needs a conversation before treatment — the patient's financial responsibility. Out of network is not an eligibility outcome; it is a separate question about our relationship with the payer, and it deserves its own field.</w:t>
            </w:r>
          </w:p>
        </w:tc>
      </w:tr>
    </w:tbl>
    <w:p>
      <w:pPr>
        <w:pStyle w:val="Heading2"/>
        <w:spacing w:after="120" w:before="260"/>
      </w:pPr>
      <w:r>
        <w:rPr>
          <w:rFonts w:ascii="Calibri" w:cs="Calibri" w:eastAsia="Calibri" w:hAnsi="Calibri"/>
          <w:b/>
          <w:bCs/>
          <w:color w:val="12756A"/>
          <w:sz w:val="25"/>
          <w:szCs w:val="25"/>
        </w:rPr>
        <w:t xml:space="preserve">3.2  The recommendation — split one question into two</w:t>
      </w:r>
    </w:p>
    <w:p>
      <w:pPr>
        <w:spacing w:after="120" w:before="0" w:line="276"/>
      </w:pPr>
      <w:r>
        <w:rPr>
          <w:rFonts w:ascii="Calibri" w:cs="Calibri" w:eastAsia="Calibri" w:hAnsi="Calibri"/>
          <w:color w:val="222222"/>
          <w:sz w:val="21"/>
          <w:szCs w:val="21"/>
        </w:rPr>
        <w:t xml:space="preserve">Eligibility is currently answering two different questions with one word. Separating them makes both answerable at a glance.</w:t>
      </w:r>
    </w:p>
    <w:p>
      <w:pPr>
        <w:spacing w:after="60" w:before="120"/>
        <w:jc w:val="center"/>
      </w:pPr>
      <w:r>
        <w:drawing>
          <wp:inline distT="0" distB="0" distL="0" distR="0">
            <wp:extent cx="6286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3790950"/>
                    </a:xfrm>
                    <a:prstGeom prst="rect">
                      <a:avLst/>
                    </a:prstGeom>
                  </pic:spPr>
                </pic:pic>
              </a:graphicData>
            </a:graphic>
          </wp:inline>
        </w:drawing>
      </w:r>
    </w:p>
    <w:p>
      <w:pPr>
        <w:spacing w:after="170"/>
        <w:jc w:val="center"/>
      </w:pPr>
      <w:r>
        <w:rPr>
          <w:rFonts w:ascii="Calibri" w:cs="Calibri" w:eastAsia="Calibri" w:hAnsi="Calibri"/>
          <w:i/>
          <w:iCs/>
          <w:color w:val="595959"/>
          <w:sz w:val="18"/>
          <w:szCs w:val="18"/>
        </w:rPr>
        <w:t xml:space="preserve">Figure 2 — Proposed: coverage status and network status shown as two separate questions</w:t>
      </w:r>
    </w:p>
    <w:p>
      <w:pPr>
        <w:pStyle w:val="Heading3"/>
        <w:spacing w:after="100" w:before="200"/>
      </w:pPr>
      <w:r>
        <w:rPr>
          <w:rFonts w:ascii="Calibri" w:cs="Calibri" w:eastAsia="Calibri" w:hAnsi="Calibri"/>
          <w:b/>
          <w:bCs/>
          <w:color w:val="1F3864"/>
          <w:sz w:val="22"/>
          <w:szCs w:val="22"/>
        </w:rPr>
        <w:t xml:space="preserve">Question 1 — Is the policy active? (all patients)</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600"/>
        <w:gridCol w:w="2600"/>
        <w:gridCol w:w="4880"/>
      </w:tblGrid>
      <w:tr>
        <w:trPr>
          <w:tblHeader/>
        </w:trPr>
        <w:tc>
          <w:tcPr>
            <w:tcW w:type="dxa" w:w="26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Proposed label</w:t>
            </w:r>
          </w:p>
        </w:tc>
        <w:tc>
          <w:tcPr>
            <w:tcW w:type="dxa" w:w="26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Replaces</w:t>
            </w:r>
          </w:p>
        </w:tc>
        <w:tc>
          <w:tcPr>
            <w:tcW w:type="dxa" w:w="48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What the front desk does</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12756A"/>
                <w:sz w:val="20"/>
                <w:szCs w:val="20"/>
              </w:rPr>
              <w:t xml:space="preserve">Active</w:t>
            </w:r>
          </w:p>
        </w:tc>
        <w:tc>
          <w:tcPr>
            <w:tcW w:type="dxa" w:w="2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Active</w:t>
            </w:r>
          </w:p>
        </w:tc>
        <w:tc>
          <w:tcPr>
            <w:tcW w:type="dxa" w:w="4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Nothing — proceed, then check network status.</w:t>
            </w:r>
          </w:p>
        </w:tc>
      </w:tr>
      <w:tr>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Coverage ended</w:t>
            </w:r>
          </w:p>
        </w:tc>
        <w:tc>
          <w:tcPr>
            <w:tcW w:type="dxa" w:w="2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Inactive, and part of Ineligible</w:t>
            </w:r>
          </w:p>
        </w:tc>
        <w:tc>
          <w:tcPr>
            <w:tcW w:type="dxa" w:w="4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Ask the patient for their current insurance card.</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C0392B"/>
                <w:sz w:val="20"/>
                <w:szCs w:val="20"/>
              </w:rPr>
              <w:t xml:space="preserve">Not covered</w:t>
            </w:r>
          </w:p>
        </w:tc>
        <w:tc>
          <w:tcPr>
            <w:tcW w:type="dxa" w:w="2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Part of Ineligible</w:t>
            </w:r>
          </w:p>
        </w:tc>
        <w:tc>
          <w:tcPr>
            <w:tcW w:type="dxa" w:w="4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plan is active but does not cover this service. Discuss self-pay or an alternative.</w:t>
            </w:r>
          </w:p>
        </w:tc>
      </w:tr>
      <w:tr>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C0392B"/>
                <w:sz w:val="20"/>
                <w:szCs w:val="20"/>
              </w:rPr>
              <w:t xml:space="preserve">No coverage found</w:t>
            </w:r>
          </w:p>
        </w:tc>
        <w:tc>
          <w:tcPr>
            <w:tcW w:type="dxa" w:w="2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Part of Ineligible</w:t>
            </w:r>
          </w:p>
        </w:tc>
        <w:tc>
          <w:tcPr>
            <w:tcW w:type="dxa" w:w="4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insurer has no record of this member. Re-check the member ID, date of birth and payer.</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595959"/>
                <w:sz w:val="20"/>
                <w:szCs w:val="20"/>
              </w:rPr>
              <w:t xml:space="preserve">Needs re-verification</w:t>
            </w:r>
          </w:p>
        </w:tc>
        <w:tc>
          <w:tcPr>
            <w:tcW w:type="dxa" w:w="2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currently shown</w:t>
            </w:r>
          </w:p>
        </w:tc>
        <w:tc>
          <w:tcPr>
            <w:tcW w:type="dxa" w:w="4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Our own check is out of date. Re-run before treating.</w:t>
            </w:r>
          </w:p>
        </w:tc>
      </w:tr>
    </w:tbl>
    <w:p>
      <w:pPr>
        <w:pStyle w:val="Heading3"/>
        <w:spacing w:after="100" w:before="200"/>
      </w:pPr>
      <w:r>
        <w:rPr>
          <w:rFonts w:ascii="Calibri" w:cs="Calibri" w:eastAsia="Calibri" w:hAnsi="Calibri"/>
          <w:b/>
          <w:bCs/>
          <w:color w:val="1F3864"/>
          <w:sz w:val="22"/>
          <w:szCs w:val="22"/>
        </w:rPr>
        <w:t xml:space="preserve">Question 2 — Are we in network? (patients with active coverage only)</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600"/>
        <w:gridCol w:w="7480"/>
      </w:tblGrid>
      <w:tr>
        <w:trPr>
          <w:tblHeader/>
        </w:trPr>
        <w:tc>
          <w:tcPr>
            <w:tcW w:type="dxa" w:w="26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Proposed label</w:t>
            </w:r>
          </w:p>
        </w:tc>
        <w:tc>
          <w:tcPr>
            <w:tcW w:type="dxa" w:w="74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What the front desk does</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12756A"/>
                <w:sz w:val="20"/>
                <w:szCs w:val="20"/>
              </w:rPr>
              <w:t xml:space="preserve">In network</w:t>
            </w:r>
          </w:p>
        </w:tc>
        <w:tc>
          <w:tcPr>
            <w:tcW w:type="dxa" w:w="74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Standard patient responsibility applies. Proceed.</w:t>
            </w:r>
          </w:p>
        </w:tc>
      </w:tr>
      <w:tr>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Out of network</w:t>
            </w:r>
          </w:p>
        </w:tc>
        <w:tc>
          <w:tcPr>
            <w:tcW w:type="dxa" w:w="74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Have the financial conversation before treatment — higher out-of-pocket, possible out-of-network benefits, or a waiver.</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595959"/>
                <w:sz w:val="20"/>
                <w:szCs w:val="20"/>
              </w:rPr>
              <w:t xml:space="preserve">Network not checked</w:t>
            </w:r>
          </w:p>
        </w:tc>
        <w:tc>
          <w:tcPr>
            <w:tcW w:type="dxa" w:w="74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verification did not capture network status. Confirm before scheduling.</w:t>
            </w:r>
          </w:p>
        </w:tc>
      </w:tr>
    </w:tbl>
    <w:p>
      <w:pPr>
        <w:spacing w:after="0" w:before="0" w:line="276"/>
      </w:pPr>
      <w:r>
        <w:rPr>
          <w:rFonts w:ascii="Calibri" w:cs="Calibri" w:eastAsia="Calibri" w:hAnsi="Calibri"/>
          <w:color w:val="222222"/>
          <w:sz w:val="12"/>
          <w:szCs w:val="12"/>
        </w:rPr>
        <w:t xml:space="preserve"/>
      </w:r>
    </w:p>
    <w:tbl>
      <w:tblPr>
        <w:tblW w:type="dxa" w:w="10080"/>
        <w:tblBorders>
          <w:top w:val="single" w:color="E6D9B8" w:sz="4"/>
          <w:left w:val="single" w:color="B7791F" w:sz="24"/>
          <w:bottom w:val="single" w:color="E6D9B8" w:sz="4"/>
          <w:right w:val="single" w:color="E6D9B8" w:sz="4"/>
          <w:insideH w:val="none"/>
          <w:insideV w:val="none"/>
        </w:tblBorders>
        <w:tblCellMar>
          <w:top w:type="dxa" w:w="0"/>
        </w:tblCellMar>
      </w:tblPr>
      <w:tblGrid>
        <w:gridCol w:w="10080"/>
      </w:tblGrid>
      <w:tr>
        <w:trPr>
          <w:cantSplit/>
        </w:trPr>
        <w:tc>
          <w:tcPr>
            <w:tcW w:type="dxa" w:w="10080"/>
            <w:shd w:fill="FDF8EC" w:color="auto" w:val="clear"/>
            <w:tcMar>
              <w:top w:type="dxa" w:w="90"/>
              <w:left w:type="dxa" w:w="120"/>
              <w:bottom w:type="dxa" w:w="90"/>
              <w:right w:type="dxa" w:w="120"/>
            </w:tcMar>
            <w:vAlign w:val="top"/>
          </w:tcPr>
          <w:p>
            <w:pPr>
              <w:spacing w:after="60" w:before="0" w:line="276"/>
            </w:pPr>
            <w:r>
              <w:rPr>
                <w:rFonts w:ascii="Calibri" w:cs="Calibri" w:eastAsia="Calibri" w:hAnsi="Calibri"/>
                <w:b/>
                <w:bCs/>
                <w:color w:val="7A6027"/>
                <w:sz w:val="20"/>
                <w:szCs w:val="20"/>
              </w:rPr>
              <w:t xml:space="preserve">Two terms that are being confused today — worth separating explicitly</w:t>
            </w:r>
          </w:p>
          <w:p>
            <w:pPr>
              <w:spacing w:after="0" w:before="0" w:line="276"/>
            </w:pPr>
            <w:r>
              <w:rPr>
                <w:rFonts w:ascii="Calibri" w:cs="Calibri" w:eastAsia="Calibri" w:hAnsi="Calibri"/>
                <w:color w:val="5C4A1E"/>
                <w:sz w:val="20"/>
                <w:szCs w:val="20"/>
              </w:rPr>
              <w:t xml:space="preserve">“Expired” can mean two completely different things, and they need different words. A policy that has ended is “Coverage ended” — the patient must supply new insurance. A verification we ran 90 days ago that is now stale is “Needs re-verification” — the patient's insurance may be perfectly fine, but our information is old. Using one word for both means one of the two never gets actioned.</w:t>
            </w:r>
          </w:p>
        </w:tc>
      </w:tr>
    </w:tbl>
    <w:p>
      <w:r>
        <w:br w:type="page"/>
      </w:r>
    </w:p>
    <w:p>
      <w:pPr>
        <w:pStyle w:val="Heading1"/>
        <w:spacing w:after="160" w:before="320"/>
      </w:pPr>
      <w:r>
        <w:rPr>
          <w:rFonts w:ascii="Calibri" w:cs="Calibri" w:eastAsia="Calibri" w:hAnsi="Calibri"/>
          <w:b/>
          <w:bCs/>
          <w:color w:val="1F3864"/>
          <w:sz w:val="30"/>
          <w:szCs w:val="30"/>
        </w:rPr>
        <w:t xml:space="preserve">4. Processing status language</w:t>
      </w:r>
    </w:p>
    <w:p>
      <w:pPr>
        <w:spacing w:after="120" w:before="0" w:line="276"/>
      </w:pPr>
      <w:r>
        <w:rPr>
          <w:rFonts w:ascii="Calibri" w:cs="Calibri" w:eastAsia="Calibri" w:hAnsi="Calibri"/>
          <w:color w:val="222222"/>
          <w:sz w:val="21"/>
          <w:szCs w:val="21"/>
        </w:rPr>
        <w:t xml:space="preserve">The processing chart is the clearest component on the screen — but the five statuses in it are internal handoffs between members of the VOB team, not states a provider or an office manager would recognise.</w:t>
      </w:r>
    </w:p>
    <w:p>
      <w:pPr>
        <w:spacing w:after="60" w:before="120"/>
        <w:jc w:val="center"/>
      </w:pPr>
      <w:r>
        <w:drawing>
          <wp:inline distT="0" distB="0" distL="0" distR="0">
            <wp:extent cx="62865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2257425"/>
                    </a:xfrm>
                    <a:prstGeom prst="rect">
                      <a:avLst/>
                    </a:prstGeom>
                  </pic:spPr>
                </pic:pic>
              </a:graphicData>
            </a:graphic>
          </wp:inline>
        </w:drawing>
      </w:r>
    </w:p>
    <w:p>
      <w:pPr>
        <w:spacing w:after="170"/>
        <w:jc w:val="center"/>
      </w:pPr>
      <w:r>
        <w:rPr>
          <w:rFonts w:ascii="Calibri" w:cs="Calibri" w:eastAsia="Calibri" w:hAnsi="Calibri"/>
          <w:i/>
          <w:iCs/>
          <w:color w:val="595959"/>
          <w:sz w:val="18"/>
          <w:szCs w:val="18"/>
        </w:rPr>
        <w:t xml:space="preserve">Figure 3 — Today: Approved, Pending QC, Returned, Drafts and Pending Schedule</w:t>
      </w:r>
    </w:p>
    <w:p>
      <w:pPr>
        <w:pStyle w:val="Heading2"/>
        <w:spacing w:after="120" w:before="260"/>
      </w:pPr>
      <w:r>
        <w:rPr>
          <w:rFonts w:ascii="Calibri" w:cs="Calibri" w:eastAsia="Calibri" w:hAnsi="Calibri"/>
          <w:b/>
          <w:bCs/>
          <w:color w:val="12756A"/>
          <w:sz w:val="25"/>
          <w:szCs w:val="25"/>
        </w:rPr>
        <w:t xml:space="preserve">4.1  What each status is really saying</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000"/>
        <w:gridCol w:w="4200"/>
        <w:gridCol w:w="3880"/>
      </w:tblGrid>
      <w:tr>
        <w:trPr>
          <w:tblHeader/>
        </w:trPr>
        <w:tc>
          <w:tcPr>
            <w:tcW w:type="dxa" w:w="20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Current label</w:t>
            </w:r>
          </w:p>
        </w:tc>
        <w:tc>
          <w:tcPr>
            <w:tcW w:type="dxa" w:w="42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The problem</w:t>
            </w:r>
          </w:p>
        </w:tc>
        <w:tc>
          <w:tcPr>
            <w:tcW w:type="dxa" w:w="38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Risk if left as is</w:t>
            </w:r>
          </w:p>
        </w:tc>
      </w:tr>
      <w:tr>
        <w:tc>
          <w:tcPr>
            <w:tcW w:type="dxa" w:w="20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Approved</w:t>
            </w:r>
          </w:p>
        </w:tc>
        <w:tc>
          <w:tcPr>
            <w:tcW w:type="dxa" w:w="4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Reads as the insurer approving treatment or authorising a procedure. It means our internal quality check passed.</w:t>
            </w:r>
          </w:p>
        </w:tc>
        <w:tc>
          <w:tcPr>
            <w:tcW w:type="dxa" w:w="3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 provider treats on the assumption that the payer has authorised the service. This is the highest-risk word on the screen.</w:t>
            </w:r>
          </w:p>
        </w:tc>
      </w:tr>
      <w:tr>
        <w:tc>
          <w:tcPr>
            <w:tcW w:type="dxa" w:w="20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Pending QC</w:t>
            </w:r>
          </w:p>
        </w:tc>
        <w:tc>
          <w:tcPr>
            <w:tcW w:type="dxa" w:w="4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“QC” is an internal department function. It does not say who is waiting on whom.</w:t>
            </w:r>
          </w:p>
        </w:tc>
        <w:tc>
          <w:tcPr>
            <w:tcW w:type="dxa" w:w="3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Front desk chases a queue that is already moving, or assumes the practice must act.</w:t>
            </w:r>
          </w:p>
        </w:tc>
      </w:tr>
      <w:tr>
        <w:tc>
          <w:tcPr>
            <w:tcW w:type="dxa" w:w="20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Returned</w:t>
            </w:r>
          </w:p>
        </w:tc>
        <w:tc>
          <w:tcPr>
            <w:tcW w:type="dxa" w:w="4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Returned by whom, to whom? It reads as the insurer returning or rejecting the claim.</w:t>
            </w:r>
          </w:p>
        </w:tc>
        <w:tc>
          <w:tcPr>
            <w:tcW w:type="dxa" w:w="3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Reads as a denial when it is an internal correction.</w:t>
            </w:r>
          </w:p>
        </w:tc>
      </w:tr>
      <w:tr>
        <w:tc>
          <w:tcPr>
            <w:tcW w:type="dxa" w:w="20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Drafts</w:t>
            </w:r>
          </w:p>
        </w:tc>
        <w:tc>
          <w:tcPr>
            <w:tcW w:type="dxa" w:w="4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Whose draft, and is anyone working on it?</w:t>
            </w:r>
          </w:p>
        </w:tc>
        <w:tc>
          <w:tcPr>
            <w:tcW w:type="dxa" w:w="3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Sits untouched because no owner is implied.</w:t>
            </w:r>
          </w:p>
        </w:tc>
      </w:tr>
      <w:tr>
        <w:tc>
          <w:tcPr>
            <w:tcW w:type="dxa" w:w="20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Pending Schedule</w:t>
            </w:r>
          </w:p>
        </w:tc>
        <w:tc>
          <w:tcPr>
            <w:tcW w:type="dxa" w:w="4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Ambiguous — is the verification waiting on the patient to book, or blocked until an appointment exists?</w:t>
            </w:r>
          </w:p>
        </w:tc>
        <w:tc>
          <w:tcPr>
            <w:tcW w:type="dxa" w:w="3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Neither side acts, because neither knows it is theirs. See question 1 in section 10.</w:t>
            </w:r>
          </w:p>
        </w:tc>
      </w:tr>
    </w:tbl>
    <w:p>
      <w:pPr>
        <w:pStyle w:val="Heading2"/>
        <w:spacing w:after="120" w:before="260"/>
      </w:pPr>
      <w:r>
        <w:rPr>
          <w:rFonts w:ascii="Calibri" w:cs="Calibri" w:eastAsia="Calibri" w:hAnsi="Calibri"/>
          <w:b/>
          <w:bCs/>
          <w:color w:val="12756A"/>
          <w:sz w:val="25"/>
          <w:szCs w:val="25"/>
        </w:rPr>
        <w:t xml:space="preserve">4.2  For the Provider — three buckets, not five</w:t>
      </w:r>
    </w:p>
    <w:p>
      <w:pPr>
        <w:spacing w:after="120" w:before="0" w:line="276"/>
      </w:pPr>
      <w:r>
        <w:rPr>
          <w:rFonts w:ascii="Calibri" w:cs="Calibri" w:eastAsia="Calibri" w:hAnsi="Calibri"/>
          <w:color w:val="222222"/>
          <w:sz w:val="21"/>
          <w:szCs w:val="21"/>
        </w:rPr>
        <w:t xml:space="preserve">A provider only needs to know whether they can treat this patient, and if not, who is holding it up. The same five statuses roll up cleanly into three.</w:t>
      </w:r>
    </w:p>
    <w:p>
      <w:pPr>
        <w:spacing w:after="60" w:before="120"/>
        <w:jc w:val="center"/>
      </w:pPr>
      <w:r>
        <w:drawing>
          <wp:inline distT="0" distB="0" distL="0" distR="0">
            <wp:extent cx="6286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3124200"/>
                    </a:xfrm>
                    <a:prstGeom prst="rect">
                      <a:avLst/>
                    </a:prstGeom>
                  </pic:spPr>
                </pic:pic>
              </a:graphicData>
            </a:graphic>
          </wp:inline>
        </w:drawing>
      </w:r>
    </w:p>
    <w:p>
      <w:pPr>
        <w:spacing w:after="170"/>
        <w:jc w:val="center"/>
      </w:pPr>
      <w:r>
        <w:rPr>
          <w:rFonts w:ascii="Calibri" w:cs="Calibri" w:eastAsia="Calibri" w:hAnsi="Calibri"/>
          <w:i/>
          <w:iCs/>
          <w:color w:val="595959"/>
          <w:sz w:val="18"/>
          <w:szCs w:val="18"/>
        </w:rPr>
        <w:t xml:space="preserve">Figure 4 — Proposed Provider view: the same data grouped by who is holding the work</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900"/>
        <w:gridCol w:w="2400"/>
        <w:gridCol w:w="4780"/>
      </w:tblGrid>
      <w:tr>
        <w:trPr>
          <w:tblHeader/>
        </w:trPr>
        <w:tc>
          <w:tcPr>
            <w:tcW w:type="dxa" w:w="29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Provider sees</w:t>
            </w:r>
          </w:p>
        </w:tc>
        <w:tc>
          <w:tcPr>
            <w:tcW w:type="dxa" w:w="24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Rolls up</w:t>
            </w:r>
          </w:p>
        </w:tc>
        <w:tc>
          <w:tcPr>
            <w:tcW w:type="dxa" w:w="47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Why this grouping</w:t>
            </w:r>
          </w:p>
        </w:tc>
      </w:tr>
      <w:tr>
        <w:tc>
          <w:tcPr>
            <w:tcW w:type="dxa" w:w="2900"/>
            <w:tcMar>
              <w:top w:type="dxa" w:w="90"/>
              <w:left w:type="dxa" w:w="120"/>
              <w:bottom w:type="dxa" w:w="90"/>
              <w:right w:type="dxa" w:w="120"/>
            </w:tcMar>
            <w:vAlign w:val="top"/>
          </w:tcPr>
          <w:p>
            <w:pPr>
              <w:spacing w:after="0"/>
            </w:pPr>
            <w:r>
              <w:rPr>
                <w:rFonts w:ascii="Calibri" w:cs="Calibri" w:eastAsia="Calibri" w:hAnsi="Calibri"/>
                <w:b/>
                <w:bCs/>
                <w:color w:val="12756A"/>
                <w:sz w:val="20"/>
                <w:szCs w:val="20"/>
              </w:rPr>
              <w:t xml:space="preserve">Ready to treat</w:t>
            </w:r>
          </w:p>
        </w:tc>
        <w:tc>
          <w:tcPr>
            <w:tcW w:type="dxa" w:w="24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Approved (34,893)</w:t>
            </w:r>
          </w:p>
        </w:tc>
        <w:tc>
          <w:tcPr>
            <w:tcW w:type="dxa" w:w="47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Benefits are confirmed. The only bucket that means “go”.</w:t>
            </w:r>
          </w:p>
        </w:tc>
      </w:tr>
      <w:tr>
        <w:tc>
          <w:tcPr>
            <w:tcW w:type="dxa" w:w="29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In progress — with our team</w:t>
            </w:r>
          </w:p>
        </w:tc>
        <w:tc>
          <w:tcPr>
            <w:tcW w:type="dxa" w:w="24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Pending QC + Returned (341)</w:t>
            </w:r>
          </w:p>
        </w:tc>
        <w:tc>
          <w:tcPr>
            <w:tcW w:type="dxa" w:w="47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Our team is still working. Nothing for the practice to do — which is exactly what a provider needs to know.</w:t>
            </w:r>
          </w:p>
        </w:tc>
      </w:tr>
      <w:tr>
        <w:tc>
          <w:tcPr>
            <w:tcW w:type="dxa" w:w="2900"/>
            <w:tcMar>
              <w:top w:type="dxa" w:w="90"/>
              <w:left w:type="dxa" w:w="120"/>
              <w:bottom w:type="dxa" w:w="90"/>
              <w:right w:type="dxa" w:w="120"/>
            </w:tcMar>
            <w:vAlign w:val="top"/>
          </w:tcPr>
          <w:p>
            <w:pPr>
              <w:spacing w:after="0"/>
            </w:pPr>
            <w:r>
              <w:rPr>
                <w:rFonts w:ascii="Calibri" w:cs="Calibri" w:eastAsia="Calibri" w:hAnsi="Calibri"/>
                <w:b/>
                <w:bCs/>
                <w:color w:val="C0392B"/>
                <w:sz w:val="20"/>
                <w:szCs w:val="20"/>
              </w:rPr>
              <w:t xml:space="preserve">Action needed — your practice</w:t>
            </w:r>
          </w:p>
        </w:tc>
        <w:tc>
          <w:tcPr>
            <w:tcW w:type="dxa" w:w="24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Drafts + Pending Schedule (20)</w:t>
            </w:r>
          </w:p>
        </w:tc>
        <w:tc>
          <w:tcPr>
            <w:tcW w:type="dxa" w:w="47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Something is waiting on the office. This is the only bucket that should generate a chase.</w:t>
            </w:r>
          </w:p>
        </w:tc>
      </w:tr>
    </w:tbl>
    <w:p>
      <w:pPr>
        <w:pStyle w:val="Heading2"/>
        <w:spacing w:after="120" w:before="260"/>
      </w:pPr>
      <w:r>
        <w:rPr>
          <w:rFonts w:ascii="Calibri" w:cs="Calibri" w:eastAsia="Calibri" w:hAnsi="Calibri"/>
          <w:b/>
          <w:bCs/>
          <w:color w:val="12756A"/>
          <w:sz w:val="25"/>
          <w:szCs w:val="25"/>
        </w:rPr>
        <w:t xml:space="preserve">4.3  For the Office Manager — keep five, rename all five</w:t>
      </w:r>
    </w:p>
    <w:p>
      <w:pPr>
        <w:spacing w:after="120" w:before="0" w:line="276"/>
      </w:pPr>
      <w:r>
        <w:rPr>
          <w:rFonts w:ascii="Calibri" w:cs="Calibri" w:eastAsia="Calibri" w:hAnsi="Calibri"/>
          <w:color w:val="222222"/>
          <w:sz w:val="21"/>
          <w:szCs w:val="21"/>
        </w:rPr>
        <w:t xml:space="preserve">The Office Manager does need the detail, because they are the person chasing each queue. The statuses stay, the words change, and they are grouped by who is holding the work.</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400"/>
        <w:gridCol w:w="2600"/>
        <w:gridCol w:w="2000"/>
        <w:gridCol w:w="3080"/>
      </w:tblGrid>
      <w:tr>
        <w:trPr>
          <w:tblHeader/>
        </w:trPr>
        <w:tc>
          <w:tcPr>
            <w:tcW w:type="dxa" w:w="24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Current</w:t>
            </w:r>
          </w:p>
        </w:tc>
        <w:tc>
          <w:tcPr>
            <w:tcW w:type="dxa" w:w="26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Office Manager sees</w:t>
            </w:r>
          </w:p>
        </w:tc>
        <w:tc>
          <w:tcPr>
            <w:tcW w:type="dxa" w:w="20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Who holds it</w:t>
            </w:r>
          </w:p>
        </w:tc>
        <w:tc>
          <w:tcPr>
            <w:tcW w:type="dxa" w:w="30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Count</w:t>
            </w:r>
          </w:p>
        </w:tc>
      </w:tr>
      <w:tr>
        <w:tc>
          <w:tcPr>
            <w:tcW w:type="dxa" w:w="24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Approved</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12756A"/>
                <w:sz w:val="20"/>
                <w:szCs w:val="20"/>
              </w:rPr>
              <w:t xml:space="preserve">Benefits confirmed</w:t>
            </w:r>
          </w:p>
        </w:tc>
        <w:tc>
          <w:tcPr>
            <w:tcW w:type="dxa" w:w="20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Done</w:t>
            </w:r>
          </w:p>
        </w:tc>
        <w:tc>
          <w:tcPr>
            <w:tcW w:type="dxa" w:w="30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34,893</w:t>
            </w:r>
          </w:p>
        </w:tc>
      </w:tr>
      <w:tr>
        <w:tc>
          <w:tcPr>
            <w:tcW w:type="dxa" w:w="24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Pending QC</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In quality review</w:t>
            </w:r>
          </w:p>
        </w:tc>
        <w:tc>
          <w:tcPr>
            <w:tcW w:type="dxa" w:w="20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Our team</w:t>
            </w:r>
          </w:p>
        </w:tc>
        <w:tc>
          <w:tcPr>
            <w:tcW w:type="dxa" w:w="30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173</w:t>
            </w:r>
          </w:p>
        </w:tc>
      </w:tr>
      <w:tr>
        <w:tc>
          <w:tcPr>
            <w:tcW w:type="dxa" w:w="24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Returned</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Returned for correction</w:t>
            </w:r>
          </w:p>
        </w:tc>
        <w:tc>
          <w:tcPr>
            <w:tcW w:type="dxa" w:w="20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Our team</w:t>
            </w:r>
          </w:p>
        </w:tc>
        <w:tc>
          <w:tcPr>
            <w:tcW w:type="dxa" w:w="30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168</w:t>
            </w:r>
          </w:p>
        </w:tc>
      </w:tr>
      <w:tr>
        <w:tc>
          <w:tcPr>
            <w:tcW w:type="dxa" w:w="24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Drafts</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C0392B"/>
                <w:sz w:val="20"/>
                <w:szCs w:val="20"/>
              </w:rPr>
              <w:t xml:space="preserve">Started — not submitted</w:t>
            </w:r>
          </w:p>
        </w:tc>
        <w:tc>
          <w:tcPr>
            <w:tcW w:type="dxa" w:w="20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practice</w:t>
            </w:r>
          </w:p>
        </w:tc>
        <w:tc>
          <w:tcPr>
            <w:tcW w:type="dxa" w:w="30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10</w:t>
            </w:r>
          </w:p>
        </w:tc>
      </w:tr>
      <w:tr>
        <w:tc>
          <w:tcPr>
            <w:tcW w:type="dxa" w:w="24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Pending Schedule</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C0392B"/>
                <w:sz w:val="20"/>
                <w:szCs w:val="20"/>
              </w:rPr>
              <w:t xml:space="preserve">Waiting on appointment</w:t>
            </w:r>
          </w:p>
        </w:tc>
        <w:tc>
          <w:tcPr>
            <w:tcW w:type="dxa" w:w="20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practice</w:t>
            </w:r>
          </w:p>
        </w:tc>
        <w:tc>
          <w:tcPr>
            <w:tcW w:type="dxa" w:w="30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10</w:t>
            </w:r>
          </w:p>
        </w:tc>
      </w:tr>
    </w:tbl>
    <w:p>
      <w:pPr>
        <w:spacing w:after="0" w:before="0" w:line="276"/>
      </w:pPr>
      <w:r>
        <w:rPr>
          <w:rFonts w:ascii="Calibri" w:cs="Calibri" w:eastAsia="Calibri" w:hAnsi="Calibri"/>
          <w:color w:val="222222"/>
          <w:sz w:val="12"/>
          <w:szCs w:val="12"/>
        </w:rPr>
        <w:t xml:space="preserve"/>
      </w:r>
    </w:p>
    <w:tbl>
      <w:tblPr>
        <w:tblW w:type="dxa" w:w="10080"/>
        <w:tblBorders>
          <w:top w:val="single" w:color="E6D9B8" w:sz="4"/>
          <w:left w:val="single" w:color="B7791F" w:sz="24"/>
          <w:bottom w:val="single" w:color="E6D9B8" w:sz="4"/>
          <w:right w:val="single" w:color="E6D9B8" w:sz="4"/>
          <w:insideH w:val="none"/>
          <w:insideV w:val="none"/>
        </w:tblBorders>
        <w:tblCellMar>
          <w:top w:type="dxa" w:w="0"/>
        </w:tblCellMar>
      </w:tblPr>
      <w:tblGrid>
        <w:gridCol w:w="10080"/>
      </w:tblGrid>
      <w:tr>
        <w:trPr>
          <w:cantSplit/>
        </w:trPr>
        <w:tc>
          <w:tcPr>
            <w:tcW w:type="dxa" w:w="10080"/>
            <w:shd w:fill="FDF8EC" w:color="auto" w:val="clear"/>
            <w:tcMar>
              <w:top w:type="dxa" w:w="90"/>
              <w:left w:type="dxa" w:w="120"/>
              <w:bottom w:type="dxa" w:w="90"/>
              <w:right w:type="dxa" w:w="120"/>
            </w:tcMar>
            <w:vAlign w:val="top"/>
          </w:tcPr>
          <w:p>
            <w:pPr>
              <w:spacing w:after="60" w:before="0" w:line="276"/>
            </w:pPr>
            <w:r>
              <w:rPr>
                <w:rFonts w:ascii="Calibri" w:cs="Calibri" w:eastAsia="Calibri" w:hAnsi="Calibri"/>
                <w:b/>
                <w:bCs/>
                <w:color w:val="7A6027"/>
                <w:sz w:val="20"/>
                <w:szCs w:val="20"/>
              </w:rPr>
              <w:t xml:space="preserve">One word to avoid entirely on provider-facing screens</w:t>
            </w:r>
          </w:p>
          <w:p>
            <w:pPr>
              <w:spacing w:after="0" w:before="0" w:line="276"/>
            </w:pPr>
            <w:r>
              <w:rPr>
                <w:rFonts w:ascii="Calibri" w:cs="Calibri" w:eastAsia="Calibri" w:hAnsi="Calibri"/>
                <w:color w:val="5C4A1E"/>
                <w:sz w:val="20"/>
                <w:szCs w:val="20"/>
              </w:rPr>
              <w:t xml:space="preserve">Do not use “Approved”, even shortened or in a tooltip, anywhere a provider can see it. “Benefits confirmed” carries the same meaning without colliding with prior authorisation. Reserve “Approved” for the internal admin view, where the audience knows it refers to the QC step.</w:t>
            </w:r>
          </w:p>
        </w:tc>
      </w:tr>
    </w:tbl>
    <w:p>
      <w:r>
        <w:br w:type="page"/>
      </w:r>
    </w:p>
    <w:p>
      <w:pPr>
        <w:pStyle w:val="Heading1"/>
        <w:spacing w:after="160" w:before="320"/>
      </w:pPr>
      <w:r>
        <w:rPr>
          <w:rFonts w:ascii="Calibri" w:cs="Calibri" w:eastAsia="Calibri" w:hAnsi="Calibri"/>
          <w:b/>
          <w:bCs/>
          <w:color w:val="1F3864"/>
          <w:sz w:val="30"/>
          <w:szCs w:val="30"/>
        </w:rPr>
        <w:t xml:space="preserve">5. Metric card language</w:t>
      </w:r>
    </w:p>
    <w:p>
      <w:pPr>
        <w:spacing w:after="60" w:before="120"/>
        <w:jc w:val="center"/>
      </w:pPr>
      <w:r>
        <w:drawing>
          <wp:inline distT="0" distB="0" distL="0" distR="0">
            <wp:extent cx="6286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143250"/>
                    </a:xfrm>
                    <a:prstGeom prst="rect">
                      <a:avLst/>
                    </a:prstGeom>
                  </pic:spPr>
                </pic:pic>
              </a:graphicData>
            </a:graphic>
          </wp:inline>
        </w:drawing>
      </w:r>
    </w:p>
    <w:p>
      <w:pPr>
        <w:spacing w:after="170"/>
        <w:jc w:val="center"/>
      </w:pPr>
      <w:r>
        <w:rPr>
          <w:rFonts w:ascii="Calibri" w:cs="Calibri" w:eastAsia="Calibri" w:hAnsi="Calibri"/>
          <w:i/>
          <w:iCs/>
          <w:color w:val="595959"/>
          <w:sz w:val="18"/>
          <w:szCs w:val="18"/>
        </w:rPr>
        <w:t xml:space="preserve">Figure 5 — Today: eight cards, all in internal system language</w:t>
      </w:r>
    </w:p>
    <w:p>
      <w:pPr>
        <w:spacing w:after="120" w:before="0" w:line="276"/>
      </w:pPr>
      <w:r>
        <w:rPr>
          <w:rFonts w:ascii="Calibri" w:cs="Calibri" w:eastAsia="Calibri" w:hAnsi="Calibri"/>
          <w:color w:val="222222"/>
          <w:sz w:val="21"/>
          <w:szCs w:val="21"/>
        </w:rPr>
        <w:t xml:space="preserve">“Total Entries” is the clearest example of the problem. An entry is a database row. A provider does not think in entries, and an office manager does not chase entries — they chase patients and verifications. Every card should name the thing being counted, in the reader's words.</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200"/>
        <w:gridCol w:w="2700"/>
        <w:gridCol w:w="2700"/>
        <w:gridCol w:w="2480"/>
      </w:tblGrid>
      <w:tr>
        <w:trPr>
          <w:tblHeader/>
        </w:trPr>
        <w:tc>
          <w:tcPr>
            <w:tcW w:type="dxa" w:w="22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Current card</w:t>
            </w:r>
          </w:p>
        </w:tc>
        <w:tc>
          <w:tcPr>
            <w:tcW w:type="dxa" w:w="27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Provider sees</w:t>
            </w:r>
          </w:p>
        </w:tc>
        <w:tc>
          <w:tcPr>
            <w:tcW w:type="dxa" w:w="27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Office Manager sees</w:t>
            </w:r>
          </w:p>
        </w:tc>
        <w:tc>
          <w:tcPr>
            <w:tcW w:type="dxa" w:w="24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Notes</w:t>
            </w:r>
          </w:p>
        </w:tc>
      </w:tr>
      <w:tr>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TOTAL ENTRIES</w:t>
            </w:r>
          </w:p>
        </w:tc>
        <w:tc>
          <w:tcPr>
            <w:tcW w:type="dxa" w:w="2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shown</w:t>
            </w:r>
          </w:p>
        </w:tc>
        <w:tc>
          <w:tcPr>
            <w:tcW w:type="dxa" w:w="27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Verifications created</w:t>
            </w:r>
          </w:p>
        </w:tc>
        <w:tc>
          <w:tcPr>
            <w:tcW w:type="dxa" w:w="24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 row count means nothing to a provider</w:t>
            </w:r>
          </w:p>
        </w:tc>
      </w:tr>
      <w:tr>
        <w:tc>
          <w:tcPr>
            <w:tcW w:type="dxa" w:w="2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VOBS</w:t>
            </w:r>
          </w:p>
        </w:tc>
        <w:tc>
          <w:tcPr>
            <w:tcW w:type="dxa" w:w="27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shown</w:t>
            </w:r>
          </w:p>
        </w:tc>
        <w:tc>
          <w:tcPr>
            <w:tcW w:type="dxa" w:w="27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Verifications completed</w:t>
            </w:r>
          </w:p>
        </w:tc>
        <w:tc>
          <w:tcPr>
            <w:tcW w:type="dxa" w:w="24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Duplicate of the card below — keep one</w:t>
            </w:r>
          </w:p>
        </w:tc>
      </w:tr>
      <w:tr>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VERIFICATIONS</w:t>
            </w:r>
          </w:p>
        </w:tc>
        <w:tc>
          <w:tcPr>
            <w:tcW w:type="dxa" w:w="27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Benefits confirmed</w:t>
            </w:r>
          </w:p>
        </w:tc>
        <w:tc>
          <w:tcPr>
            <w:tcW w:type="dxa" w:w="27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Verifications completed</w:t>
            </w:r>
          </w:p>
        </w:tc>
        <w:tc>
          <w:tcPr>
            <w:tcW w:type="dxa" w:w="24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Both cards show 35,234 today — see F4</w:t>
            </w:r>
          </w:p>
        </w:tc>
      </w:tr>
      <w:tr>
        <w:tc>
          <w:tcPr>
            <w:tcW w:type="dxa" w:w="2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PENDING QC</w:t>
            </w:r>
          </w:p>
        </w:tc>
        <w:tc>
          <w:tcPr>
            <w:tcW w:type="dxa" w:w="27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In progress — our team</w:t>
            </w:r>
          </w:p>
        </w:tc>
        <w:tc>
          <w:tcPr>
            <w:tcW w:type="dxa" w:w="27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In quality review</w:t>
            </w:r>
          </w:p>
        </w:tc>
        <w:tc>
          <w:tcPr>
            <w:tcW w:type="dxa" w:w="24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Provider version says there is nothing to do</w:t>
            </w:r>
          </w:p>
        </w:tc>
      </w:tr>
      <w:tr>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PATIENTS REVIEWED</w:t>
            </w:r>
          </w:p>
        </w:tc>
        <w:tc>
          <w:tcPr>
            <w:tcW w:type="dxa" w:w="27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Patients ready to treat</w:t>
            </w:r>
          </w:p>
        </w:tc>
        <w:tc>
          <w:tcPr>
            <w:tcW w:type="dxa" w:w="27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Patients with confirmed benefits</w:t>
            </w:r>
          </w:p>
        </w:tc>
        <w:tc>
          <w:tcPr>
            <w:tcW w:type="dxa" w:w="24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“Reviewed” does not say by whom or with what result</w:t>
            </w:r>
          </w:p>
        </w:tc>
      </w:tr>
      <w:tr>
        <w:tc>
          <w:tcPr>
            <w:tcW w:type="dxa" w:w="2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TOTAL PATIENTS</w:t>
            </w:r>
          </w:p>
        </w:tc>
        <w:tc>
          <w:tcPr>
            <w:tcW w:type="dxa" w:w="27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My patients</w:t>
            </w:r>
          </w:p>
        </w:tc>
        <w:tc>
          <w:tcPr>
            <w:tcW w:type="dxa" w:w="27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Patients on file</w:t>
            </w:r>
          </w:p>
        </w:tc>
        <w:tc>
          <w:tcPr>
            <w:tcW w:type="dxa" w:w="24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Provider version scoped to their own panel</w:t>
            </w:r>
          </w:p>
        </w:tc>
      </w:tr>
      <w:tr>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ACTIVE</w:t>
            </w:r>
          </w:p>
        </w:tc>
        <w:tc>
          <w:tcPr>
            <w:tcW w:type="dxa" w:w="27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Active coverage</w:t>
            </w:r>
          </w:p>
        </w:tc>
        <w:tc>
          <w:tcPr>
            <w:tcW w:type="dxa" w:w="27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Active coverage</w:t>
            </w:r>
          </w:p>
        </w:tc>
        <w:tc>
          <w:tcPr>
            <w:tcW w:type="dxa" w:w="24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Says the status belongs to the policy</w:t>
            </w:r>
          </w:p>
        </w:tc>
      </w:tr>
      <w:tr>
        <w:tc>
          <w:tcPr>
            <w:tcW w:type="dxa" w:w="2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INACTIVE</w:t>
            </w:r>
          </w:p>
        </w:tc>
        <w:tc>
          <w:tcPr>
            <w:tcW w:type="dxa" w:w="27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Coverage ended</w:t>
            </w:r>
          </w:p>
        </w:tc>
        <w:tc>
          <w:tcPr>
            <w:tcW w:type="dxa" w:w="27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Coverage ended</w:t>
            </w:r>
          </w:p>
        </w:tc>
        <w:tc>
          <w:tcPr>
            <w:tcW w:type="dxa" w:w="24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Implies the action — get a new card</w:t>
            </w:r>
          </w:p>
        </w:tc>
      </w:tr>
      <w:tr>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INELIGIBLE</w:t>
            </w:r>
          </w:p>
        </w:tc>
        <w:tc>
          <w:tcPr>
            <w:tcW w:type="dxa" w:w="2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Replaced — see §3</w:t>
            </w:r>
          </w:p>
        </w:tc>
        <w:tc>
          <w:tcPr>
            <w:tcW w:type="dxa" w:w="2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Replaced — see §3</w:t>
            </w:r>
          </w:p>
        </w:tc>
        <w:tc>
          <w:tcPr>
            <w:tcW w:type="dxa" w:w="24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Split into four outcomes plus network status</w:t>
            </w:r>
          </w:p>
        </w:tc>
      </w:tr>
    </w:tbl>
    <w:p>
      <w:pPr>
        <w:spacing w:after="120" w:before="140" w:line="276"/>
      </w:pPr>
      <w:r>
        <w:rPr>
          <w:rFonts w:ascii="Calibri" w:cs="Calibri" w:eastAsia="Calibri" w:hAnsi="Calibri"/>
          <w:b/>
          <w:bCs/>
          <w:color w:val="222222"/>
          <w:sz w:val="21"/>
          <w:szCs w:val="21"/>
        </w:rPr>
        <w:t xml:space="preserve">Two supporting changes that make the cards readable:</w:t>
      </w:r>
    </w:p>
    <w:p>
      <w:pPr>
        <w:pStyle w:val="ListParagraph"/>
        <w:numPr>
          <w:ilvl w:val="0"/>
          <w:numId w:val="2"/>
        </w:numPr>
        <w:spacing w:after="70" w:line="270"/>
      </w:pPr>
      <w:r>
        <w:rPr>
          <w:rFonts w:ascii="Calibri" w:cs="Calibri" w:eastAsia="Calibri" w:hAnsi="Calibri"/>
          <w:sz w:val="21"/>
          <w:szCs w:val="21"/>
        </w:rPr>
        <w:t xml:space="preserve">Always state the unit under the number — “34,893 verifications” reads differently from “34,893 patients”, and the current screen mixes the two without saying so.</w:t>
      </w:r>
    </w:p>
    <w:p>
      <w:pPr>
        <w:pStyle w:val="ListParagraph"/>
        <w:numPr>
          <w:ilvl w:val="0"/>
          <w:numId w:val="2"/>
        </w:numPr>
        <w:spacing w:after="70" w:line="270"/>
      </w:pPr>
      <w:r>
        <w:rPr>
          <w:rFonts w:ascii="Calibri" w:cs="Calibri" w:eastAsia="Calibri" w:hAnsi="Calibri"/>
          <w:sz w:val="21"/>
          <w:szCs w:val="21"/>
        </w:rPr>
        <w:t xml:space="preserve">Drop the ALL CAPS labels. Sentence case is faster to read and lets the important cards stand out.</w:t>
      </w:r>
    </w:p>
    <w:p>
      <w:pPr>
        <w:pStyle w:val="Heading1"/>
        <w:spacing w:after="160" w:before="320"/>
      </w:pPr>
      <w:r>
        <w:rPr>
          <w:rFonts w:ascii="Calibri" w:cs="Calibri" w:eastAsia="Calibri" w:hAnsi="Calibri"/>
          <w:b/>
          <w:bCs/>
          <w:color w:val="1F3864"/>
          <w:sz w:val="30"/>
          <w:szCs w:val="30"/>
        </w:rPr>
        <w:t xml:space="preserve">6. What to remove from both views</w:t>
      </w:r>
    </w:p>
    <w:p>
      <w:pPr>
        <w:spacing w:after="60" w:before="120"/>
        <w:jc w:val="center"/>
      </w:pPr>
      <w:r>
        <w:drawing>
          <wp:inline distT="0" distB="0" distL="0" distR="0">
            <wp:extent cx="6286500"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1571625"/>
                    </a:xfrm>
                    <a:prstGeom prst="rect">
                      <a:avLst/>
                    </a:prstGeom>
                  </pic:spPr>
                </pic:pic>
              </a:graphicData>
            </a:graphic>
          </wp:inline>
        </w:drawing>
      </w:r>
    </w:p>
    <w:p>
      <w:pPr>
        <w:spacing w:after="170"/>
        <w:jc w:val="center"/>
      </w:pPr>
      <w:r>
        <w:rPr>
          <w:rFonts w:ascii="Calibri" w:cs="Calibri" w:eastAsia="Calibri" w:hAnsi="Calibri"/>
          <w:i/>
          <w:iCs/>
          <w:color w:val="595959"/>
          <w:sz w:val="18"/>
          <w:szCs w:val="18"/>
        </w:rPr>
        <w:t xml:space="preserve">Figure 6 — Top Agents and Recent Activity Logs: administrative content in a clinical view</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400"/>
        <w:gridCol w:w="7680"/>
      </w:tblGrid>
      <w:tr>
        <w:trPr>
          <w:tblHeader/>
        </w:trPr>
        <w:tc>
          <w:tcPr>
            <w:tcW w:type="dxa" w:w="24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Panel</w:t>
            </w:r>
          </w:p>
        </w:tc>
        <w:tc>
          <w:tcPr>
            <w:tcW w:type="dxa" w:w="76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Why it should be admin-only</w:t>
            </w:r>
          </w:p>
        </w:tc>
      </w:tr>
      <w:tr>
        <w:tc>
          <w:tcPr>
            <w:tcW w:type="dxa" w:w="24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Top Agents</w:t>
            </w:r>
          </w:p>
        </w:tc>
        <w:tc>
          <w:tcPr>
            <w:tcW w:type="dxa" w:w="76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Named staff productivity is a staffing and performance matter. It informs no clinical or front-desk decision, and showing individual agents' output to an external provider is not appropriate. It currently shows a single demo record, which makes the point moot but also damages credibility.</w:t>
            </w:r>
          </w:p>
        </w:tc>
      </w:tr>
      <w:tr>
        <w:tc>
          <w:tcPr>
            <w:tcW w:type="dxa" w:w="24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Recent Activity Logs</w:t>
            </w:r>
          </w:p>
        </w:tc>
        <w:tc>
          <w:tcPr>
            <w:tcW w:type="dxa" w:w="76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An audit trail exists for compliance and troubleshooting. It shows raw system route names, identifies users by first name only, and answers a question neither role is asking. Keep it, move it to the admin area, and rewrite the actions in plain English there.</w:t>
            </w:r>
          </w:p>
        </w:tc>
      </w:tr>
    </w:tbl>
    <w:p>
      <w:pPr>
        <w:spacing w:after="120" w:before="120" w:line="276"/>
      </w:pPr>
      <w:r>
        <w:rPr>
          <w:rFonts w:ascii="Calibri" w:cs="Calibri" w:eastAsia="Calibri" w:hAnsi="Calibri"/>
          <w:color w:val="222222"/>
          <w:sz w:val="21"/>
          <w:szCs w:val="21"/>
        </w:rPr>
        <w:t xml:space="preserve">Removing both panels frees the entire lower half of the screen. That space is better spent on the two things neither role can currently reach: the list of patients needing action, and the out-of-network patients who need a financial conversation before treatment.</w:t>
      </w:r>
    </w:p>
    <w:p>
      <w:r>
        <w:br w:type="page"/>
      </w:r>
    </w:p>
    <w:p>
      <w:pPr>
        <w:pStyle w:val="Heading1"/>
        <w:spacing w:after="160" w:before="320"/>
      </w:pPr>
      <w:r>
        <w:rPr>
          <w:rFonts w:ascii="Calibri" w:cs="Calibri" w:eastAsia="Calibri" w:hAnsi="Calibri"/>
          <w:b/>
          <w:bCs/>
          <w:color w:val="1F3864"/>
          <w:sz w:val="30"/>
          <w:szCs w:val="30"/>
        </w:rPr>
        <w:t xml:space="preserve">7. What each role should see</w:t>
      </w:r>
    </w:p>
    <w:p>
      <w:pPr>
        <w:pStyle w:val="Heading2"/>
        <w:spacing w:after="120" w:before="260"/>
      </w:pPr>
      <w:r>
        <w:rPr>
          <w:rFonts w:ascii="Calibri" w:cs="Calibri" w:eastAsia="Calibri" w:hAnsi="Calibri"/>
          <w:b/>
          <w:bCs/>
          <w:color w:val="12756A"/>
          <w:sz w:val="25"/>
          <w:szCs w:val="25"/>
        </w:rPr>
        <w:t xml:space="preserve">7.1  Provider (Doctor)</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5040"/>
        <w:gridCol w:w="5040"/>
      </w:tblGrid>
      <w:tr>
        <w:trPr>
          <w:tblHeader/>
        </w:trPr>
        <w:tc>
          <w:tcPr>
            <w:tcW w:type="dxa" w:w="504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Show</w:t>
            </w:r>
          </w:p>
        </w:tc>
        <w:tc>
          <w:tcPr>
            <w:tcW w:type="dxa" w:w="504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Remove</w:t>
            </w:r>
          </w:p>
        </w:tc>
      </w:tr>
      <w:tr>
        <w:tc>
          <w:tcPr>
            <w:tcW w:type="dxa" w:w="5040"/>
            <w:tcMar>
              <w:top w:type="dxa" w:w="90"/>
              <w:left w:type="dxa" w:w="120"/>
              <w:bottom w:type="dxa" w:w="90"/>
              <w:right w:type="dxa" w:w="120"/>
            </w:tcMar>
            <w:vAlign w:val="top"/>
          </w:tcPr>
          <w:p>
            <w:pPr>
              <w:pStyle w:val="ListParagraph"/>
              <w:numPr>
                <w:ilvl w:val="0"/>
                <w:numId w:val="2"/>
              </w:numPr>
              <w:spacing w:after="70" w:line="270"/>
            </w:pPr>
            <w:r>
              <w:rPr>
                <w:rFonts w:ascii="Calibri" w:cs="Calibri" w:eastAsia="Calibri" w:hAnsi="Calibri"/>
                <w:sz w:val="21"/>
                <w:szCs w:val="21"/>
              </w:rPr>
              <w:t xml:space="preserve">Ready to treat — benefits confirmed</w:t>
            </w:r>
          </w:p>
          <w:p>
            <w:pPr>
              <w:pStyle w:val="ListParagraph"/>
              <w:numPr>
                <w:ilvl w:val="0"/>
                <w:numId w:val="2"/>
              </w:numPr>
              <w:spacing w:after="70" w:line="270"/>
            </w:pPr>
            <w:r>
              <w:rPr>
                <w:rFonts w:ascii="Calibri" w:cs="Calibri" w:eastAsia="Calibri" w:hAnsi="Calibri"/>
                <w:sz w:val="21"/>
                <w:szCs w:val="21"/>
              </w:rPr>
              <w:t xml:space="preserve">In progress — with our team</w:t>
            </w:r>
          </w:p>
          <w:p>
            <w:pPr>
              <w:pStyle w:val="ListParagraph"/>
              <w:numPr>
                <w:ilvl w:val="0"/>
                <w:numId w:val="2"/>
              </w:numPr>
              <w:spacing w:after="70" w:line="270"/>
            </w:pPr>
            <w:r>
              <w:rPr>
                <w:rFonts w:ascii="Calibri" w:cs="Calibri" w:eastAsia="Calibri" w:hAnsi="Calibri"/>
                <w:sz w:val="21"/>
                <w:szCs w:val="21"/>
              </w:rPr>
              <w:t xml:space="preserve">Action needed — your practice</w:t>
            </w:r>
          </w:p>
          <w:p>
            <w:pPr>
              <w:pStyle w:val="ListParagraph"/>
              <w:numPr>
                <w:ilvl w:val="0"/>
                <w:numId w:val="2"/>
              </w:numPr>
              <w:spacing w:after="70" w:line="270"/>
            </w:pPr>
            <w:r>
              <w:rPr>
                <w:rFonts w:ascii="Calibri" w:cs="Calibri" w:eastAsia="Calibri" w:hAnsi="Calibri"/>
                <w:sz w:val="21"/>
                <w:szCs w:val="21"/>
              </w:rPr>
              <w:t xml:space="preserve">Out of network — financial conversation needed</w:t>
            </w:r>
          </w:p>
          <w:p>
            <w:pPr>
              <w:pStyle w:val="ListParagraph"/>
              <w:numPr>
                <w:ilvl w:val="0"/>
                <w:numId w:val="2"/>
              </w:numPr>
              <w:spacing w:after="70" w:line="270"/>
            </w:pPr>
            <w:r>
              <w:rPr>
                <w:rFonts w:ascii="Calibri" w:cs="Calibri" w:eastAsia="Calibri" w:hAnsi="Calibri"/>
                <w:sz w:val="21"/>
                <w:szCs w:val="21"/>
              </w:rPr>
              <w:t xml:space="preserve">Coverage ending in the next 30 days</w:t>
            </w:r>
          </w:p>
          <w:p>
            <w:pPr>
              <w:pStyle w:val="ListParagraph"/>
              <w:numPr>
                <w:ilvl w:val="0"/>
                <w:numId w:val="2"/>
              </w:numPr>
              <w:spacing w:after="70" w:line="270"/>
            </w:pPr>
            <w:r>
              <w:rPr>
                <w:rFonts w:ascii="Calibri" w:cs="Calibri" w:eastAsia="Calibri" w:hAnsi="Calibri"/>
                <w:sz w:val="21"/>
                <w:szCs w:val="21"/>
              </w:rPr>
              <w:t xml:space="preserve">Patient drill-down: carrier, plan, effective dates, copay, deductible met, out-of-pocket remaining, authorisation required</w:t>
            </w:r>
          </w:p>
        </w:tc>
        <w:tc>
          <w:tcPr>
            <w:tcW w:type="dxa" w:w="5040"/>
            <w:tcMar>
              <w:top w:type="dxa" w:w="90"/>
              <w:left w:type="dxa" w:w="120"/>
              <w:bottom w:type="dxa" w:w="90"/>
              <w:right w:type="dxa" w:w="120"/>
            </w:tcMar>
            <w:vAlign w:val="top"/>
          </w:tcPr>
          <w:p>
            <w:pPr>
              <w:pStyle w:val="ListParagraph"/>
              <w:numPr>
                <w:ilvl w:val="0"/>
                <w:numId w:val="2"/>
              </w:numPr>
              <w:spacing w:after="70" w:line="270"/>
            </w:pPr>
            <w:r>
              <w:rPr>
                <w:rFonts w:ascii="Calibri" w:cs="Calibri" w:eastAsia="Calibri" w:hAnsi="Calibri"/>
                <w:sz w:val="21"/>
                <w:szCs w:val="21"/>
              </w:rPr>
              <w:t xml:space="preserve">Top Agents</w:t>
            </w:r>
          </w:p>
          <w:p>
            <w:pPr>
              <w:pStyle w:val="ListParagraph"/>
              <w:numPr>
                <w:ilvl w:val="0"/>
                <w:numId w:val="2"/>
              </w:numPr>
              <w:spacing w:after="70" w:line="270"/>
            </w:pPr>
            <w:r>
              <w:rPr>
                <w:rFonts w:ascii="Calibri" w:cs="Calibri" w:eastAsia="Calibri" w:hAnsi="Calibri"/>
                <w:sz w:val="21"/>
                <w:szCs w:val="21"/>
              </w:rPr>
              <w:t xml:space="preserve">Recent Activity Logs</w:t>
            </w:r>
          </w:p>
          <w:p>
            <w:pPr>
              <w:pStyle w:val="ListParagraph"/>
              <w:numPr>
                <w:ilvl w:val="0"/>
                <w:numId w:val="2"/>
              </w:numPr>
              <w:spacing w:after="70" w:line="270"/>
            </w:pPr>
            <w:r>
              <w:rPr>
                <w:rFonts w:ascii="Calibri" w:cs="Calibri" w:eastAsia="Calibri" w:hAnsi="Calibri"/>
                <w:sz w:val="21"/>
                <w:szCs w:val="21"/>
              </w:rPr>
              <w:t xml:space="preserve">Total Entries</w:t>
            </w:r>
          </w:p>
          <w:p>
            <w:pPr>
              <w:pStyle w:val="ListParagraph"/>
              <w:numPr>
                <w:ilvl w:val="0"/>
                <w:numId w:val="2"/>
              </w:numPr>
              <w:spacing w:after="70" w:line="270"/>
            </w:pPr>
            <w:r>
              <w:rPr>
                <w:rFonts w:ascii="Calibri" w:cs="Calibri" w:eastAsia="Calibri" w:hAnsi="Calibri"/>
                <w:sz w:val="21"/>
                <w:szCs w:val="21"/>
              </w:rPr>
              <w:t xml:space="preserve">Pending QC as a standalone card</w:t>
            </w:r>
          </w:p>
          <w:p>
            <w:pPr>
              <w:pStyle w:val="ListParagraph"/>
              <w:numPr>
                <w:ilvl w:val="0"/>
                <w:numId w:val="2"/>
              </w:numPr>
              <w:spacing w:after="70" w:line="270"/>
            </w:pPr>
            <w:r>
              <w:rPr>
                <w:rFonts w:ascii="Calibri" w:cs="Calibri" w:eastAsia="Calibri" w:hAnsi="Calibri"/>
                <w:sz w:val="21"/>
                <w:szCs w:val="21"/>
              </w:rPr>
              <w:t xml:space="preserve">Operational Processing Overview</w:t>
            </w:r>
          </w:p>
          <w:p>
            <w:pPr>
              <w:pStyle w:val="ListParagraph"/>
              <w:numPr>
                <w:ilvl w:val="0"/>
                <w:numId w:val="2"/>
              </w:numPr>
              <w:spacing w:after="70" w:line="270"/>
            </w:pPr>
            <w:r>
              <w:rPr>
                <w:rFonts w:ascii="Calibri" w:cs="Calibri" w:eastAsia="Calibri" w:hAnsi="Calibri"/>
                <w:sz w:val="21"/>
                <w:szCs w:val="21"/>
              </w:rPr>
              <w:t xml:space="preserve">Any use of the words QC, entry, draft or approved</w:t>
            </w:r>
          </w:p>
        </w:tc>
      </w:tr>
    </w:tbl>
    <w:p>
      <w:pPr>
        <w:pStyle w:val="Heading2"/>
        <w:spacing w:after="120" w:before="260"/>
      </w:pPr>
      <w:r>
        <w:rPr>
          <w:rFonts w:ascii="Calibri" w:cs="Calibri" w:eastAsia="Calibri" w:hAnsi="Calibri"/>
          <w:b/>
          <w:bCs/>
          <w:color w:val="12756A"/>
          <w:sz w:val="25"/>
          <w:szCs w:val="25"/>
        </w:rPr>
        <w:t xml:space="preserve">7.2  Office Manager</w:t>
      </w:r>
    </w:p>
    <w:p>
      <w:pPr>
        <w:spacing w:after="120" w:before="0" w:line="276"/>
      </w:pPr>
      <w:r>
        <w:rPr>
          <w:rFonts w:ascii="Calibri" w:cs="Calibri" w:eastAsia="Calibri" w:hAnsi="Calibri"/>
          <w:color w:val="222222"/>
          <w:sz w:val="21"/>
          <w:szCs w:val="21"/>
        </w:rPr>
        <w:t xml:space="preserve">The current layout is close to right for this role. The change needed is that it reports where it should direct — every number should be a way into the work.</w:t>
      </w:r>
    </w:p>
    <w:p>
      <w:pPr>
        <w:pStyle w:val="ListParagraph"/>
        <w:numPr>
          <w:ilvl w:val="0"/>
          <w:numId w:val="2"/>
        </w:numPr>
        <w:spacing w:after="70" w:line="270"/>
      </w:pPr>
      <w:r>
        <w:rPr>
          <w:rFonts w:ascii="Calibri" w:cs="Calibri" w:eastAsia="Calibri" w:hAnsi="Calibri"/>
          <w:sz w:val="21"/>
          <w:szCs w:val="21"/>
        </w:rPr>
        <w:t xml:space="preserve">Every status is a link into its filtered queue: In quality review, Returned for correction, Started — not submitted, Waiting on appointment, and each coverage outcome.</w:t>
      </w:r>
    </w:p>
    <w:p>
      <w:pPr>
        <w:pStyle w:val="ListParagraph"/>
        <w:numPr>
          <w:ilvl w:val="0"/>
          <w:numId w:val="2"/>
        </w:numPr>
        <w:spacing w:after="70" w:line="270"/>
      </w:pPr>
      <w:r>
        <w:rPr>
          <w:rFonts w:ascii="Calibri" w:cs="Calibri" w:eastAsia="Calibri" w:hAnsi="Calibri"/>
          <w:sz w:val="21"/>
          <w:szCs w:val="21"/>
        </w:rPr>
        <w:t xml:space="preserve">Group the queues by who is holding the work — our team, or the practice — so it is obvious what can actually be chased.</w:t>
      </w:r>
    </w:p>
    <w:p>
      <w:pPr>
        <w:pStyle w:val="ListParagraph"/>
        <w:numPr>
          <w:ilvl w:val="0"/>
          <w:numId w:val="2"/>
        </w:numPr>
        <w:spacing w:after="70" w:line="270"/>
      </w:pPr>
      <w:r>
        <w:rPr>
          <w:rFonts w:ascii="Calibri" w:cs="Calibri" w:eastAsia="Calibri" w:hAnsi="Calibri"/>
          <w:sz w:val="21"/>
          <w:szCs w:val="21"/>
        </w:rPr>
        <w:t xml:space="preserve">Add ageing to every queue: oldest item, and how many are over target.</w:t>
      </w:r>
    </w:p>
    <w:p>
      <w:pPr>
        <w:pStyle w:val="ListParagraph"/>
        <w:numPr>
          <w:ilvl w:val="0"/>
          <w:numId w:val="2"/>
        </w:numPr>
        <w:spacing w:after="70" w:line="270"/>
      </w:pPr>
      <w:r>
        <w:rPr>
          <w:rFonts w:ascii="Calibri" w:cs="Calibri" w:eastAsia="Calibri" w:hAnsi="Calibri"/>
          <w:sz w:val="21"/>
          <w:szCs w:val="21"/>
        </w:rPr>
        <w:t xml:space="preserve">Add an out-of-network worklist — these patients need a financial conversation before their appointment, and today there is no way to find them.</w:t>
      </w:r>
    </w:p>
    <w:p>
      <w:pPr>
        <w:pStyle w:val="ListParagraph"/>
        <w:numPr>
          <w:ilvl w:val="0"/>
          <w:numId w:val="2"/>
        </w:numPr>
        <w:spacing w:after="70" w:line="270"/>
      </w:pPr>
      <w:r>
        <w:rPr>
          <w:rFonts w:ascii="Calibri" w:cs="Calibri" w:eastAsia="Calibri" w:hAnsi="Calibri"/>
          <w:sz w:val="21"/>
          <w:szCs w:val="21"/>
        </w:rPr>
        <w:t xml:space="preserve">Keep the Day-End Report, and let it export the current period directly to PDF or Excel.</w:t>
      </w:r>
    </w:p>
    <w:p>
      <w:pPr>
        <w:pStyle w:val="Heading1"/>
        <w:spacing w:after="160" w:before="320"/>
      </w:pPr>
      <w:r>
        <w:rPr>
          <w:rFonts w:ascii="Calibri" w:cs="Calibri" w:eastAsia="Calibri" w:hAnsi="Calibri"/>
          <w:b/>
          <w:bCs/>
          <w:color w:val="1F3864"/>
          <w:sz w:val="30"/>
          <w:szCs w:val="30"/>
        </w:rPr>
        <w:t xml:space="preserve">8. Remaining screen findings</w:t>
      </w:r>
    </w:p>
    <w:p>
      <w:pPr>
        <w:spacing w:after="120" w:before="0" w:line="276"/>
      </w:pPr>
      <w:r>
        <w:rPr>
          <w:rFonts w:ascii="Calibri" w:cs="Calibri" w:eastAsia="Calibri" w:hAnsi="Calibri"/>
          <w:color w:val="222222"/>
          <w:sz w:val="21"/>
          <w:szCs w:val="21"/>
        </w:rPr>
        <w:t xml:space="preserve">These are the non-language issues from the first review, still outstanding. Priorities: P1 affects accuracy or trust, P2 is a usability gap, P3 is presentation polish.</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700"/>
        <w:gridCol w:w="6300"/>
        <w:gridCol w:w="1200"/>
        <w:gridCol w:w="1880"/>
      </w:tblGrid>
      <w:tr>
        <w:trPr>
          <w:tblHeader/>
        </w:trPr>
        <w:tc>
          <w:tcPr>
            <w:tcW w:type="dxa" w:w="7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ID</w:t>
            </w:r>
          </w:p>
        </w:tc>
        <w:tc>
          <w:tcPr>
            <w:tcW w:type="dxa" w:w="63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Finding</w:t>
            </w:r>
          </w:p>
        </w:tc>
        <w:tc>
          <w:tcPr>
            <w:tcW w:type="dxa" w:w="12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Priority</w:t>
            </w:r>
          </w:p>
        </w:tc>
        <w:tc>
          <w:tcPr>
            <w:tcW w:type="dxa" w:w="18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Where</w:t>
            </w:r>
          </w:p>
        </w:tc>
      </w:tr>
      <w:tr>
        <w:tc>
          <w:tcPr>
            <w:tcW w:type="dxa" w:w="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F1</w:t>
            </w:r>
          </w:p>
        </w:tc>
        <w:tc>
          <w:tcPr>
            <w:tcW w:type="dxa" w:w="6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Header date is unlabelled and does not match the current date; no period filter, refresh or “last updated” stamp</w:t>
            </w:r>
          </w:p>
        </w:tc>
        <w:tc>
          <w:tcPr>
            <w:tcW w:type="dxa" w:w="1200"/>
            <w:tcMar>
              <w:top w:type="dxa" w:w="90"/>
              <w:left w:type="dxa" w:w="120"/>
              <w:bottom w:type="dxa" w:w="90"/>
              <w:right w:type="dxa" w:w="120"/>
            </w:tcMar>
            <w:vAlign w:val="top"/>
          </w:tcPr>
          <w:p>
            <w:pPr>
              <w:spacing w:after="0"/>
            </w:pPr>
            <w:r>
              <w:rPr>
                <w:rFonts w:ascii="Calibri" w:cs="Calibri" w:eastAsia="Calibri" w:hAnsi="Calibri"/>
                <w:b/>
                <w:bCs/>
                <w:color w:val="C0392B"/>
                <w:sz w:val="20"/>
                <w:szCs w:val="20"/>
              </w:rPr>
              <w:t xml:space="preserve">P1</w:t>
            </w:r>
          </w:p>
        </w:tc>
        <w:tc>
          <w:tcPr>
            <w:tcW w:type="dxa" w:w="1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Header</w:t>
            </w:r>
          </w:p>
        </w:tc>
      </w:tr>
      <w:tr>
        <w:tc>
          <w:tcPr>
            <w:tcW w:type="dxa" w:w="7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F2</w:t>
            </w:r>
          </w:p>
        </w:tc>
        <w:tc>
          <w:tcPr>
            <w:tcW w:type="dxa" w:w="6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Page title says “Admin Dashboard” to users who are not admins; VOB is never expanded</w:t>
            </w:r>
          </w:p>
        </w:tc>
        <w:tc>
          <w:tcPr>
            <w:tcW w:type="dxa" w:w="12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P2</w:t>
            </w:r>
          </w:p>
        </w:tc>
        <w:tc>
          <w:tcPr>
            <w:tcW w:type="dxa" w:w="1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Header</w:t>
            </w:r>
          </w:p>
        </w:tc>
      </w:tr>
      <w:tr>
        <w:tc>
          <w:tcPr>
            <w:tcW w:type="dxa" w:w="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F3</w:t>
            </w:r>
          </w:p>
        </w:tc>
        <w:tc>
          <w:tcPr>
            <w:tcW w:type="dxa" w:w="6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Four tabs have no selected state; “Day End Report” vs sidebar “Day-End Report”</w:t>
            </w:r>
          </w:p>
        </w:tc>
        <w:tc>
          <w:tcPr>
            <w:tcW w:type="dxa" w:w="1200"/>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P2</w:t>
            </w:r>
          </w:p>
        </w:tc>
        <w:tc>
          <w:tcPr>
            <w:tcW w:type="dxa" w:w="1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Header</w:t>
            </w:r>
          </w:p>
        </w:tc>
      </w:tr>
      <w:tr>
        <w:tc>
          <w:tcPr>
            <w:tcW w:type="dxa" w:w="7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F4</w:t>
            </w:r>
          </w:p>
        </w:tc>
        <w:tc>
          <w:tcPr>
            <w:tcW w:type="dxa" w:w="6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“VOBs” and “Verifications” show the identical value (35,234) with no stated difference</w:t>
            </w:r>
          </w:p>
        </w:tc>
        <w:tc>
          <w:tcPr>
            <w:tcW w:type="dxa" w:w="12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C0392B"/>
                <w:sz w:val="20"/>
                <w:szCs w:val="20"/>
              </w:rPr>
              <w:t xml:space="preserve">P1</w:t>
            </w:r>
          </w:p>
        </w:tc>
        <w:tc>
          <w:tcPr>
            <w:tcW w:type="dxa" w:w="1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Cards</w:t>
            </w:r>
          </w:p>
        </w:tc>
      </w:tr>
      <w:tr>
        <w:tc>
          <w:tcPr>
            <w:tcW w:type="dxa" w:w="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F5</w:t>
            </w:r>
          </w:p>
        </w:tc>
        <w:tc>
          <w:tcPr>
            <w:tcW w:type="dxa" w:w="6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 definitions or tooltips on any card; units are never stated</w:t>
            </w:r>
          </w:p>
        </w:tc>
        <w:tc>
          <w:tcPr>
            <w:tcW w:type="dxa" w:w="1200"/>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P2</w:t>
            </w:r>
          </w:p>
        </w:tc>
        <w:tc>
          <w:tcPr>
            <w:tcW w:type="dxa" w:w="1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Cards</w:t>
            </w:r>
          </w:p>
        </w:tc>
      </w:tr>
      <w:tr>
        <w:tc>
          <w:tcPr>
            <w:tcW w:type="dxa" w:w="7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F6</w:t>
            </w:r>
          </w:p>
        </w:tc>
        <w:tc>
          <w:tcPr>
            <w:tcW w:type="dxa" w:w="6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 card or status is clickable — the work cannot be reached from the numbers</w:t>
            </w:r>
          </w:p>
        </w:tc>
        <w:tc>
          <w:tcPr>
            <w:tcW w:type="dxa" w:w="12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P2</w:t>
            </w:r>
          </w:p>
        </w:tc>
        <w:tc>
          <w:tcPr>
            <w:tcW w:type="dxa" w:w="1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Whole page</w:t>
            </w:r>
          </w:p>
        </w:tc>
      </w:tr>
      <w:tr>
        <w:tc>
          <w:tcPr>
            <w:tcW w:type="dxa" w:w="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F7</w:t>
            </w:r>
          </w:p>
        </w:tc>
        <w:tc>
          <w:tcPr>
            <w:tcW w:type="dxa" w:w="6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ALL CAPS labels; no trend or comparison against a previous period</w:t>
            </w:r>
          </w:p>
        </w:tc>
        <w:tc>
          <w:tcPr>
            <w:tcW w:type="dxa" w:w="1200"/>
            <w:tcMar>
              <w:top w:type="dxa" w:w="90"/>
              <w:left w:type="dxa" w:w="120"/>
              <w:bottom w:type="dxa" w:w="90"/>
              <w:right w:type="dxa" w:w="120"/>
            </w:tcMar>
            <w:vAlign w:val="top"/>
          </w:tcPr>
          <w:p>
            <w:pPr>
              <w:spacing w:after="0"/>
            </w:pPr>
            <w:r>
              <w:rPr>
                <w:rFonts w:ascii="Calibri" w:cs="Calibri" w:eastAsia="Calibri" w:hAnsi="Calibri"/>
                <w:b/>
                <w:bCs/>
                <w:color w:val="595959"/>
                <w:sz w:val="20"/>
                <w:szCs w:val="20"/>
              </w:rPr>
              <w:t xml:space="preserve">P3</w:t>
            </w:r>
          </w:p>
        </w:tc>
        <w:tc>
          <w:tcPr>
            <w:tcW w:type="dxa" w:w="1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Cards</w:t>
            </w:r>
          </w:p>
        </w:tc>
      </w:tr>
      <w:tr>
        <w:tc>
          <w:tcPr>
            <w:tcW w:type="dxa" w:w="7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F8</w:t>
            </w:r>
          </w:p>
        </w:tc>
        <w:tc>
          <w:tcPr>
            <w:tcW w:type="dxa" w:w="6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Eligibility figures sum exactly to Total Patients, but the relationship is never shown</w:t>
            </w:r>
          </w:p>
        </w:tc>
        <w:tc>
          <w:tcPr>
            <w:tcW w:type="dxa" w:w="12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P2</w:t>
            </w:r>
          </w:p>
        </w:tc>
        <w:tc>
          <w:tcPr>
            <w:tcW w:type="dxa" w:w="1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Cards</w:t>
            </w:r>
          </w:p>
        </w:tc>
      </w:tr>
      <w:tr>
        <w:tc>
          <w:tcPr>
            <w:tcW w:type="dxa" w:w="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F9</w:t>
            </w:r>
          </w:p>
        </w:tc>
        <w:tc>
          <w:tcPr>
            <w:tcW w:type="dxa" w:w="6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“Ineligible” has no drill-down and no reason breakdown</w:t>
            </w:r>
          </w:p>
        </w:tc>
        <w:tc>
          <w:tcPr>
            <w:tcW w:type="dxa" w:w="1200"/>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P2</w:t>
            </w:r>
          </w:p>
        </w:tc>
        <w:tc>
          <w:tcPr>
            <w:tcW w:type="dxa" w:w="1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Cards</w:t>
            </w:r>
          </w:p>
        </w:tc>
      </w:tr>
      <w:tr>
        <w:tc>
          <w:tcPr>
            <w:tcW w:type="dxa" w:w="7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F10</w:t>
            </w:r>
          </w:p>
        </w:tc>
        <w:tc>
          <w:tcPr>
            <w:tcW w:type="dxa" w:w="6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Ineligible card sits alone leaving a large empty panel, which reads as a broken card</w:t>
            </w:r>
          </w:p>
        </w:tc>
        <w:tc>
          <w:tcPr>
            <w:tcW w:type="dxa" w:w="12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595959"/>
                <w:sz w:val="20"/>
                <w:szCs w:val="20"/>
              </w:rPr>
              <w:t xml:space="preserve">P3</w:t>
            </w:r>
          </w:p>
        </w:tc>
        <w:tc>
          <w:tcPr>
            <w:tcW w:type="dxa" w:w="1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Layout</w:t>
            </w:r>
          </w:p>
        </w:tc>
      </w:tr>
      <w:tr>
        <w:tc>
          <w:tcPr>
            <w:tcW w:type="dxa" w:w="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F11</w:t>
            </w:r>
          </w:p>
        </w:tc>
        <w:tc>
          <w:tcPr>
            <w:tcW w:type="dxa" w:w="6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Eligibility donut has no legend, labels, values or tooltips; colour is the only encoding</w:t>
            </w:r>
          </w:p>
        </w:tc>
        <w:tc>
          <w:tcPr>
            <w:tcW w:type="dxa" w:w="1200"/>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P2</w:t>
            </w:r>
          </w:p>
        </w:tc>
        <w:tc>
          <w:tcPr>
            <w:tcW w:type="dxa" w:w="1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Charts</w:t>
            </w:r>
          </w:p>
        </w:tc>
      </w:tr>
      <w:tr>
        <w:tc>
          <w:tcPr>
            <w:tcW w:type="dxa" w:w="7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F12</w:t>
            </w:r>
          </w:p>
        </w:tc>
        <w:tc>
          <w:tcPr>
            <w:tcW w:type="dxa" w:w="6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Operational Processing Overview compares four near-identical values; Pending QC is invisible</w:t>
            </w:r>
          </w:p>
        </w:tc>
        <w:tc>
          <w:tcPr>
            <w:tcW w:type="dxa" w:w="12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P2</w:t>
            </w:r>
          </w:p>
        </w:tc>
        <w:tc>
          <w:tcPr>
            <w:tcW w:type="dxa" w:w="1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Charts</w:t>
            </w:r>
          </w:p>
        </w:tc>
      </w:tr>
      <w:tr>
        <w:tc>
          <w:tcPr>
            <w:tcW w:type="dxa" w:w="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F13</w:t>
            </w:r>
          </w:p>
        </w:tc>
        <w:tc>
          <w:tcPr>
            <w:tcW w:type="dxa" w:w="6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Approved 34,893 does not reconcile with Patients Reviewed 34,892; no denominator stated</w:t>
            </w:r>
          </w:p>
        </w:tc>
        <w:tc>
          <w:tcPr>
            <w:tcW w:type="dxa" w:w="1200"/>
            <w:tcMar>
              <w:top w:type="dxa" w:w="90"/>
              <w:left w:type="dxa" w:w="120"/>
              <w:bottom w:type="dxa" w:w="90"/>
              <w:right w:type="dxa" w:w="120"/>
            </w:tcMar>
            <w:vAlign w:val="top"/>
          </w:tcPr>
          <w:p>
            <w:pPr>
              <w:spacing w:after="0"/>
            </w:pPr>
            <w:r>
              <w:rPr>
                <w:rFonts w:ascii="Calibri" w:cs="Calibri" w:eastAsia="Calibri" w:hAnsi="Calibri"/>
                <w:b/>
                <w:bCs/>
                <w:color w:val="C0392B"/>
                <w:sz w:val="20"/>
                <w:szCs w:val="20"/>
              </w:rPr>
              <w:t xml:space="preserve">P1</w:t>
            </w:r>
          </w:p>
        </w:tc>
        <w:tc>
          <w:tcPr>
            <w:tcW w:type="dxa" w:w="1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Charts</w:t>
            </w:r>
          </w:p>
        </w:tc>
      </w:tr>
      <w:tr>
        <w:tc>
          <w:tcPr>
            <w:tcW w:type="dxa" w:w="7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F14</w:t>
            </w:r>
          </w:p>
        </w:tc>
        <w:tc>
          <w:tcPr>
            <w:tcW w:type="dxa" w:w="6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Non-zero counts of 10 are displayed as “0.0%”, which reads as nothing to do</w:t>
            </w:r>
          </w:p>
        </w:tc>
        <w:tc>
          <w:tcPr>
            <w:tcW w:type="dxa" w:w="12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C0392B"/>
                <w:sz w:val="20"/>
                <w:szCs w:val="20"/>
              </w:rPr>
              <w:t xml:space="preserve">P1</w:t>
            </w:r>
          </w:p>
        </w:tc>
        <w:tc>
          <w:tcPr>
            <w:tcW w:type="dxa" w:w="1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Charts</w:t>
            </w:r>
          </w:p>
        </w:tc>
      </w:tr>
      <w:tr>
        <w:tc>
          <w:tcPr>
            <w:tcW w:type="dxa" w:w="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F15</w:t>
            </w:r>
          </w:p>
        </w:tc>
        <w:tc>
          <w:tcPr>
            <w:tcW w:type="dxa" w:w="6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Demo data (“Demo VOB Agent”) is visible; 35244 is missing its thousands separator</w:t>
            </w:r>
          </w:p>
        </w:tc>
        <w:tc>
          <w:tcPr>
            <w:tcW w:type="dxa" w:w="1200"/>
            <w:tcMar>
              <w:top w:type="dxa" w:w="90"/>
              <w:left w:type="dxa" w:w="120"/>
              <w:bottom w:type="dxa" w:w="90"/>
              <w:right w:type="dxa" w:w="120"/>
            </w:tcMar>
            <w:vAlign w:val="top"/>
          </w:tcPr>
          <w:p>
            <w:pPr>
              <w:spacing w:after="0"/>
            </w:pPr>
            <w:r>
              <w:rPr>
                <w:rFonts w:ascii="Calibri" w:cs="Calibri" w:eastAsia="Calibri" w:hAnsi="Calibri"/>
                <w:b/>
                <w:bCs/>
                <w:color w:val="C0392B"/>
                <w:sz w:val="20"/>
                <w:szCs w:val="20"/>
              </w:rPr>
              <w:t xml:space="preserve">P1</w:t>
            </w:r>
          </w:p>
        </w:tc>
        <w:tc>
          <w:tcPr>
            <w:tcW w:type="dxa" w:w="1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Tables</w:t>
            </w:r>
          </w:p>
        </w:tc>
      </w:tr>
      <w:tr>
        <w:tc>
          <w:tcPr>
            <w:tcW w:type="dxa" w:w="7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F16</w:t>
            </w:r>
          </w:p>
        </w:tc>
        <w:tc>
          <w:tcPr>
            <w:tcW w:type="dxa" w:w="6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Activity log shows raw system route names, truncated mid-word</w:t>
            </w:r>
          </w:p>
        </w:tc>
        <w:tc>
          <w:tcPr>
            <w:tcW w:type="dxa" w:w="12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P2</w:t>
            </w:r>
          </w:p>
        </w:tc>
        <w:tc>
          <w:tcPr>
            <w:tcW w:type="dxa" w:w="1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Tables</w:t>
            </w:r>
          </w:p>
        </w:tc>
      </w:tr>
      <w:tr>
        <w:tc>
          <w:tcPr>
            <w:tcW w:type="dxa" w:w="7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F17</w:t>
            </w:r>
          </w:p>
        </w:tc>
        <w:tc>
          <w:tcPr>
            <w:tcW w:type="dxa" w:w="6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Users identified by first name only; date format differs from the rest of the page</w:t>
            </w:r>
          </w:p>
        </w:tc>
        <w:tc>
          <w:tcPr>
            <w:tcW w:type="dxa" w:w="1200"/>
            <w:tcMar>
              <w:top w:type="dxa" w:w="90"/>
              <w:left w:type="dxa" w:w="120"/>
              <w:bottom w:type="dxa" w:w="90"/>
              <w:right w:type="dxa" w:w="120"/>
            </w:tcMar>
            <w:vAlign w:val="top"/>
          </w:tcPr>
          <w:p>
            <w:pPr>
              <w:spacing w:after="0"/>
            </w:pPr>
            <w:r>
              <w:rPr>
                <w:rFonts w:ascii="Calibri" w:cs="Calibri" w:eastAsia="Calibri" w:hAnsi="Calibri"/>
                <w:b/>
                <w:bCs/>
                <w:color w:val="595959"/>
                <w:sz w:val="20"/>
                <w:szCs w:val="20"/>
              </w:rPr>
              <w:t xml:space="preserve">P3</w:t>
            </w:r>
          </w:p>
        </w:tc>
        <w:tc>
          <w:tcPr>
            <w:tcW w:type="dxa" w:w="18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Tables</w:t>
            </w:r>
          </w:p>
        </w:tc>
      </w:tr>
      <w:tr>
        <w:tc>
          <w:tcPr>
            <w:tcW w:type="dxa" w:w="7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F18</w:t>
            </w:r>
          </w:p>
        </w:tc>
        <w:tc>
          <w:tcPr>
            <w:tcW w:type="dxa" w:w="6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Both roles are shown the same admin screen</w:t>
            </w:r>
          </w:p>
        </w:tc>
        <w:tc>
          <w:tcPr>
            <w:tcW w:type="dxa" w:w="12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B7791F"/>
                <w:sz w:val="20"/>
                <w:szCs w:val="20"/>
              </w:rPr>
              <w:t xml:space="preserve">P2</w:t>
            </w:r>
          </w:p>
        </w:tc>
        <w:tc>
          <w:tcPr>
            <w:tcW w:type="dxa" w:w="18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Roles</w:t>
            </w:r>
          </w:p>
        </w:tc>
      </w:tr>
    </w:tbl>
    <w:p>
      <w:pPr>
        <w:spacing w:after="60" w:before="120"/>
        <w:jc w:val="center"/>
      </w:pPr>
      <w:r>
        <w:drawing>
          <wp:inline distT="0" distB="0" distL="0" distR="0">
            <wp:extent cx="6286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1038225"/>
                    </a:xfrm>
                    <a:prstGeom prst="rect">
                      <a:avLst/>
                    </a:prstGeom>
                  </pic:spPr>
                </pic:pic>
              </a:graphicData>
            </a:graphic>
          </wp:inline>
        </w:drawing>
      </w:r>
    </w:p>
    <w:p>
      <w:pPr>
        <w:spacing w:after="170"/>
        <w:jc w:val="center"/>
      </w:pPr>
      <w:r>
        <w:rPr>
          <w:rFonts w:ascii="Calibri" w:cs="Calibri" w:eastAsia="Calibri" w:hAnsi="Calibri"/>
          <w:i/>
          <w:iCs/>
          <w:color w:val="595959"/>
          <w:sz w:val="18"/>
          <w:szCs w:val="18"/>
        </w:rPr>
        <w:t xml:space="preserve">Figure 7 — Header: unlabelled date (F1), admin-facing title (F2), tabs with no selected state (F3)</w:t>
      </w:r>
    </w:p>
    <w:p>
      <w:pPr>
        <w:spacing w:after="60" w:before="120"/>
        <w:jc w:val="center"/>
      </w:pPr>
      <w:r>
        <w:drawing>
          <wp:inline distT="0" distB="0" distL="0" distR="0">
            <wp:extent cx="6286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86500" cy="2114550"/>
                    </a:xfrm>
                    <a:prstGeom prst="rect">
                      <a:avLst/>
                    </a:prstGeom>
                  </pic:spPr>
                </pic:pic>
              </a:graphicData>
            </a:graphic>
          </wp:inline>
        </w:drawing>
      </w:r>
    </w:p>
    <w:p>
      <w:pPr>
        <w:spacing w:after="170"/>
        <w:jc w:val="center"/>
      </w:pPr>
      <w:r>
        <w:rPr>
          <w:rFonts w:ascii="Calibri" w:cs="Calibri" w:eastAsia="Calibri" w:hAnsi="Calibri"/>
          <w:i/>
          <w:iCs/>
          <w:color w:val="595959"/>
          <w:sz w:val="18"/>
          <w:szCs w:val="18"/>
        </w:rPr>
        <w:t xml:space="preserve">Figure 8 — Charts: unlabelled donut (F11) and four near-identical bars (F12)</w:t>
      </w:r>
    </w:p>
    <w:p>
      <w:r>
        <w:br w:type="page"/>
      </w:r>
    </w:p>
    <w:p>
      <w:pPr>
        <w:pStyle w:val="Heading1"/>
        <w:spacing w:after="160" w:before="320"/>
      </w:pPr>
      <w:r>
        <w:rPr>
          <w:rFonts w:ascii="Calibri" w:cs="Calibri" w:eastAsia="Calibri" w:hAnsi="Calibri"/>
          <w:b/>
          <w:bCs/>
          <w:color w:val="1F3864"/>
          <w:sz w:val="30"/>
          <w:szCs w:val="30"/>
        </w:rPr>
        <w:t xml:space="preserve">9. Full wording reference</w:t>
      </w:r>
    </w:p>
    <w:p>
      <w:pPr>
        <w:spacing w:after="140" w:before="0" w:line="276"/>
      </w:pPr>
      <w:r>
        <w:rPr>
          <w:rFonts w:ascii="Calibri" w:cs="Calibri" w:eastAsia="Calibri" w:hAnsi="Calibri"/>
          <w:color w:val="222222"/>
          <w:sz w:val="21"/>
          <w:szCs w:val="21"/>
        </w:rPr>
        <w:t xml:space="preserve">Every label in the VOB section, with the proposed wording for each role. Where a cell says “Not shown”, that item should not appear in that role's view at all.</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300"/>
        <w:gridCol w:w="2600"/>
        <w:gridCol w:w="2600"/>
        <w:gridCol w:w="2580"/>
      </w:tblGrid>
      <w:tr>
        <w:trPr>
          <w:tblHeader/>
        </w:trPr>
        <w:tc>
          <w:tcPr>
            <w:tcW w:type="dxa" w:w="23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Current wording</w:t>
            </w:r>
          </w:p>
        </w:tc>
        <w:tc>
          <w:tcPr>
            <w:tcW w:type="dxa" w:w="26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Provider view</w:t>
            </w:r>
          </w:p>
        </w:tc>
        <w:tc>
          <w:tcPr>
            <w:tcW w:type="dxa" w:w="26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Office Manager view</w:t>
            </w:r>
          </w:p>
        </w:tc>
        <w:tc>
          <w:tcPr>
            <w:tcW w:type="dxa" w:w="25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Why</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VOB Admin Dashboard</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Patient Benefits</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Benefits Verification</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Neither role is an admin</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Verification of benefits metrics, queues, and overall operational health.</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Where your patients stand on insurance benefit verification.</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Track verifications, quality review and patient coverage.</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Describes the reader's job, not the system</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Total Entries</w:t>
            </w:r>
          </w:p>
        </w:tc>
        <w:tc>
          <w:tcPr>
            <w:tcW w:type="dxa" w:w="2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shown</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Verifications created</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“Entry” is a database row</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VOBs / Verifications</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Benefits confirmed</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Verifications completed</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One card, not two</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Pending QC</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In progress — with our team</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In quality review</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“QC” is internal; provider version says there is nothing to do</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Returned</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In progress — with our team</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Returned for correction</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Avoids reading as an insurer denial</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Drafts</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Action needed — your practice</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Started — not submitted</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Implies an owner</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Pending Schedule</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Action needed — your practice</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Waiting on appointment</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Subject to question 1, §10</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Approved</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Ready to treat</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Benefits confirmed</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Never “Approved” on a provider screen</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Patients Reviewed</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Patients ready to treat</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Patients with confirmed benefits</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States by whom and with what result</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Total Patients</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My patients</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Patients on file</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Provider version scoped to their panel</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Active</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Active coverage</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Active coverage</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policy is active, not the patient</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Inactive</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Coverage ended</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Coverage ended</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Implies the action required</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Ineligible</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Split — see below</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Split — see below</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Four outcomes, not one</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 (part of Ineligible)</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Not covered</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Service not covered</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Plan is active, service is not a benefit</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 (part of Ineligible)</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No coverage found</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No coverage found</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Insurer has no record of the member</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 (part of Ineligible)</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Out of network</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Out of network</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an eligibility outcome — its own field</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 (not shown today)</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Needs re-verification</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Needs re-verification</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Our check is stale, not the policy</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Top Agents</w:t>
            </w:r>
          </w:p>
        </w:tc>
        <w:tc>
          <w:tcPr>
            <w:tcW w:type="dxa" w:w="2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shown</w:t>
            </w:r>
          </w:p>
        </w:tc>
        <w:tc>
          <w:tcPr>
            <w:tcW w:type="dxa" w:w="2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shown</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Admin only — §6</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Recent Activity Logs</w:t>
            </w:r>
          </w:p>
        </w:tc>
        <w:tc>
          <w:tcPr>
            <w:tcW w:type="dxa" w:w="2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shown</w:t>
            </w:r>
          </w:p>
        </w:tc>
        <w:tc>
          <w:tcPr>
            <w:tcW w:type="dxa" w:w="2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shown</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Admin only — §6</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Day End Report / Day-End Report</w:t>
            </w:r>
          </w:p>
        </w:tc>
        <w:tc>
          <w:tcPr>
            <w:tcW w:type="dxa" w:w="2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shown</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Day-End Report</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Currently inconsistent between tab and sidebar</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Entries / Entry History</w:t>
            </w:r>
          </w:p>
        </w:tc>
        <w:tc>
          <w:tcPr>
            <w:tcW w:type="dxa" w:w="2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shown</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Today's Verifications / All Verifications</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Makes the two views distinguishable</w:t>
            </w:r>
          </w:p>
        </w:tc>
      </w:tr>
      <w:tr>
        <w:tc>
          <w:tcPr>
            <w:tcW w:type="dxa" w:w="23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Aug 25, 2026 (unlabelled)</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Data as of 25 Aug 2026, 4:40 PM</w:t>
            </w:r>
          </w:p>
        </w:tc>
        <w:tc>
          <w:tcPr>
            <w:tcW w:type="dxa" w:w="2600"/>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Data as of 25 Aug 2026, 4:40 PM</w:t>
            </w:r>
          </w:p>
        </w:tc>
        <w:tc>
          <w:tcPr>
            <w:tcW w:type="dxa" w:w="25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Removes the ambiguity</w:t>
            </w:r>
          </w:p>
        </w:tc>
      </w:tr>
      <w:tr>
        <w:tc>
          <w:tcPr>
            <w:tcW w:type="dxa" w:w="23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0.0% (for a count of 10)</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&lt;0.1%</w:t>
            </w:r>
          </w:p>
        </w:tc>
        <w:tc>
          <w:tcPr>
            <w:tcW w:type="dxa" w:w="2600"/>
            <w:shd w:fill="F5F7FA" w:color="auto" w:val="clear"/>
            <w:tcMar>
              <w:top w:type="dxa" w:w="90"/>
              <w:left w:type="dxa" w:w="120"/>
              <w:bottom w:type="dxa" w:w="90"/>
              <w:right w:type="dxa" w:w="120"/>
            </w:tcMar>
            <w:vAlign w:val="top"/>
          </w:tcPr>
          <w:p>
            <w:pPr>
              <w:spacing w:after="0"/>
            </w:pPr>
            <w:r>
              <w:rPr>
                <w:rFonts w:ascii="Calibri" w:cs="Calibri" w:eastAsia="Calibri" w:hAnsi="Calibri"/>
                <w:b/>
                <w:bCs/>
                <w:color w:val="222222"/>
                <w:sz w:val="20"/>
                <w:szCs w:val="20"/>
              </w:rPr>
              <w:t xml:space="preserve">&lt;0.1%</w:t>
            </w:r>
          </w:p>
        </w:tc>
        <w:tc>
          <w:tcPr>
            <w:tcW w:type="dxa" w:w="25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Never show a real backlog as zero</w:t>
            </w:r>
          </w:p>
        </w:tc>
      </w:tr>
    </w:tbl>
    <w:p>
      <w:r>
        <w:br w:type="page"/>
      </w:r>
    </w:p>
    <w:p>
      <w:pPr>
        <w:pStyle w:val="Heading1"/>
        <w:spacing w:after="160" w:before="320"/>
      </w:pPr>
      <w:r>
        <w:rPr>
          <w:rFonts w:ascii="Calibri" w:cs="Calibri" w:eastAsia="Calibri" w:hAnsi="Calibri"/>
          <w:b/>
          <w:bCs/>
          <w:color w:val="1F3864"/>
          <w:sz w:val="30"/>
          <w:szCs w:val="30"/>
        </w:rPr>
        <w:t xml:space="preserve">10. Questions for the VOB team</w:t>
      </w:r>
    </w:p>
    <w:p>
      <w:pPr>
        <w:spacing w:after="140" w:before="0" w:line="276"/>
      </w:pPr>
      <w:r>
        <w:rPr>
          <w:rFonts w:ascii="Calibri" w:cs="Calibri" w:eastAsia="Calibri" w:hAnsi="Calibri"/>
          <w:color w:val="222222"/>
          <w:sz w:val="21"/>
          <w:szCs w:val="21"/>
        </w:rPr>
        <w:t xml:space="preserve">Six of the recommendations above depend on how the system actually behaves. These need confirming before the wording is finalised.</w:t>
      </w:r>
    </w:p>
    <w:p>
      <w:pPr>
        <w:pStyle w:val="ListParagraph"/>
        <w:numPr>
          <w:ilvl w:val="0"/>
          <w:numId w:val="3"/>
        </w:numPr>
        <w:spacing w:after="80" w:line="270"/>
      </w:pPr>
      <w:r>
        <w:rPr>
          <w:rFonts w:ascii="Calibri" w:cs="Calibri" w:eastAsia="Calibri" w:hAnsi="Calibri"/>
          <w:sz w:val="21"/>
          <w:szCs w:val="21"/>
        </w:rPr>
        <w:t xml:space="preserve">Does “Pending Schedule” mean the verification is complete and waiting for the patient to book, or that it cannot proceed until an appointment exists? The two need opposite wording — “Ready — awaiting booking” against “Blocked — needs an appointment”.</w:t>
      </w:r>
    </w:p>
    <w:p>
      <w:pPr>
        <w:pStyle w:val="ListParagraph"/>
        <w:numPr>
          <w:ilvl w:val="0"/>
          <w:numId w:val="3"/>
        </w:numPr>
        <w:spacing w:after="80" w:line="270"/>
      </w:pPr>
      <w:r>
        <w:rPr>
          <w:rFonts w:ascii="Calibri" w:cs="Calibri" w:eastAsia="Calibri" w:hAnsi="Calibri"/>
          <w:sz w:val="21"/>
          <w:szCs w:val="21"/>
        </w:rPr>
        <w:t xml:space="preserve">Does “Approved” mean our internal quality check passed, or that the payer approved or authorised the service? The whole of section 4 assumes the former.</w:t>
      </w:r>
    </w:p>
    <w:p>
      <w:pPr>
        <w:pStyle w:val="ListParagraph"/>
        <w:numPr>
          <w:ilvl w:val="0"/>
          <w:numId w:val="3"/>
        </w:numPr>
        <w:spacing w:after="80" w:line="270"/>
      </w:pPr>
      <w:r>
        <w:rPr>
          <w:rFonts w:ascii="Calibri" w:cs="Calibri" w:eastAsia="Calibri" w:hAnsi="Calibri"/>
          <w:sz w:val="21"/>
          <w:szCs w:val="21"/>
        </w:rPr>
        <w:t xml:space="preserve">Is “Ineligible” a single response the payer returns, or a bucket the system assigns when several different checks fail? If it is a bucket, the underlying reasons already exist and only need surfacing.</w:t>
      </w:r>
    </w:p>
    <w:p>
      <w:pPr>
        <w:pStyle w:val="ListParagraph"/>
        <w:numPr>
          <w:ilvl w:val="0"/>
          <w:numId w:val="3"/>
        </w:numPr>
        <w:spacing w:after="80" w:line="270"/>
      </w:pPr>
      <w:r>
        <w:rPr>
          <w:rFonts w:ascii="Calibri" w:cs="Calibri" w:eastAsia="Calibri" w:hAnsi="Calibri"/>
          <w:sz w:val="21"/>
          <w:szCs w:val="21"/>
        </w:rPr>
        <w:t xml:space="preserve">Is network status captured during verification today, in any field? If it is, the out-of-network split in section 3 can be built now. If not, it is a new field on the verification form.</w:t>
      </w:r>
    </w:p>
    <w:p>
      <w:pPr>
        <w:pStyle w:val="ListParagraph"/>
        <w:numPr>
          <w:ilvl w:val="0"/>
          <w:numId w:val="3"/>
        </w:numPr>
        <w:spacing w:after="80" w:line="270"/>
      </w:pPr>
      <w:r>
        <w:rPr>
          <w:rFonts w:ascii="Calibri" w:cs="Calibri" w:eastAsia="Calibri" w:hAnsi="Calibri"/>
          <w:sz w:val="21"/>
          <w:szCs w:val="21"/>
        </w:rPr>
        <w:t xml:space="preserve">Do “VOBs” and “Verifications” have genuinely different definitions? They show the same number today, and both equal Total Entries minus Drafts and Pending Schedule.</w:t>
      </w:r>
    </w:p>
    <w:p>
      <w:pPr>
        <w:pStyle w:val="ListParagraph"/>
        <w:numPr>
          <w:ilvl w:val="0"/>
          <w:numId w:val="3"/>
        </w:numPr>
        <w:spacing w:after="80" w:line="270"/>
      </w:pPr>
      <w:r>
        <w:rPr>
          <w:rFonts w:ascii="Calibri" w:cs="Calibri" w:eastAsia="Calibri" w:hAnsi="Calibri"/>
          <w:sz w:val="21"/>
          <w:szCs w:val="21"/>
        </w:rPr>
        <w:t xml:space="preserve">Is there a re-verification policy — after 30, 60 or 90 days? “Needs re-verification” only works if there is an agreed shelf life for a completed check.</w:t>
      </w:r>
    </w:p>
    <w:p>
      <w:pPr>
        <w:pStyle w:val="Heading1"/>
        <w:spacing w:after="160" w:before="320"/>
      </w:pPr>
      <w:r>
        <w:rPr>
          <w:rFonts w:ascii="Calibri" w:cs="Calibri" w:eastAsia="Calibri" w:hAnsi="Calibri"/>
          <w:b/>
          <w:bCs/>
          <w:color w:val="1F3864"/>
          <w:sz w:val="30"/>
          <w:szCs w:val="30"/>
        </w:rPr>
        <w:t xml:space="preserve">11. Suggested order of work</w:t>
      </w:r>
    </w:p>
    <w:p>
      <w:pPr>
        <w:pStyle w:val="Heading3"/>
        <w:spacing w:after="100" w:before="200"/>
      </w:pPr>
      <w:r>
        <w:rPr>
          <w:rFonts w:ascii="Calibri" w:cs="Calibri" w:eastAsia="Calibri" w:hAnsi="Calibri"/>
          <w:b/>
          <w:bCs/>
          <w:color w:val="1F3864"/>
          <w:sz w:val="22"/>
          <w:szCs w:val="22"/>
        </w:rPr>
        <w:t xml:space="preserve">Stage 1 — wording only, no data model changes</w:t>
      </w:r>
    </w:p>
    <w:p>
      <w:pPr>
        <w:pStyle w:val="ListParagraph"/>
        <w:numPr>
          <w:ilvl w:val="0"/>
          <w:numId w:val="2"/>
        </w:numPr>
        <w:spacing w:after="70" w:line="270"/>
      </w:pPr>
      <w:r>
        <w:rPr>
          <w:rFonts w:ascii="Calibri" w:cs="Calibri" w:eastAsia="Calibri" w:hAnsi="Calibri"/>
          <w:sz w:val="21"/>
          <w:szCs w:val="21"/>
        </w:rPr>
        <w:t xml:space="preserve">Rename every label per section 9 for the Office Manager view.</w:t>
      </w:r>
    </w:p>
    <w:p>
      <w:pPr>
        <w:pStyle w:val="ListParagraph"/>
        <w:numPr>
          <w:ilvl w:val="0"/>
          <w:numId w:val="2"/>
        </w:numPr>
        <w:spacing w:after="70" w:line="270"/>
      </w:pPr>
      <w:r>
        <w:rPr>
          <w:rFonts w:ascii="Calibri" w:cs="Calibri" w:eastAsia="Calibri" w:hAnsi="Calibri"/>
          <w:sz w:val="21"/>
          <w:szCs w:val="21"/>
        </w:rPr>
        <w:t xml:space="preserve">Replace “Approved” with “Benefits confirmed” everywhere a provider can see it.</w:t>
      </w:r>
    </w:p>
    <w:p>
      <w:pPr>
        <w:pStyle w:val="ListParagraph"/>
        <w:numPr>
          <w:ilvl w:val="0"/>
          <w:numId w:val="2"/>
        </w:numPr>
        <w:spacing w:after="70" w:line="270"/>
      </w:pPr>
      <w:r>
        <w:rPr>
          <w:rFonts w:ascii="Calibri" w:cs="Calibri" w:eastAsia="Calibri" w:hAnsi="Calibri"/>
          <w:sz w:val="21"/>
          <w:szCs w:val="21"/>
        </w:rPr>
        <w:t xml:space="preserve">Rename “Inactive” to “Coverage ended” and add the action sub-line to each status.</w:t>
      </w:r>
    </w:p>
    <w:p>
      <w:pPr>
        <w:pStyle w:val="ListParagraph"/>
        <w:numPr>
          <w:ilvl w:val="0"/>
          <w:numId w:val="2"/>
        </w:numPr>
        <w:spacing w:after="70" w:line="270"/>
      </w:pPr>
      <w:r>
        <w:rPr>
          <w:rFonts w:ascii="Calibri" w:cs="Calibri" w:eastAsia="Calibri" w:hAnsi="Calibri"/>
          <w:sz w:val="21"/>
          <w:szCs w:val="21"/>
        </w:rPr>
        <w:t xml:space="preserve">Fix the “0.0%” display, the missing thousands separator, and the Day-End Report inconsistency.</w:t>
      </w:r>
    </w:p>
    <w:p>
      <w:pPr>
        <w:pStyle w:val="ListParagraph"/>
        <w:numPr>
          <w:ilvl w:val="0"/>
          <w:numId w:val="2"/>
        </w:numPr>
        <w:spacing w:after="70" w:line="270"/>
      </w:pPr>
      <w:r>
        <w:rPr>
          <w:rFonts w:ascii="Calibri" w:cs="Calibri" w:eastAsia="Calibri" w:hAnsi="Calibri"/>
          <w:sz w:val="21"/>
          <w:szCs w:val="21"/>
        </w:rPr>
        <w:t xml:space="preserve">Label the header date, and remove the demo agent record.</w:t>
      </w:r>
    </w:p>
    <w:p>
      <w:pPr>
        <w:pStyle w:val="Heading3"/>
        <w:spacing w:after="100" w:before="200"/>
      </w:pPr>
      <w:r>
        <w:rPr>
          <w:rFonts w:ascii="Calibri" w:cs="Calibri" w:eastAsia="Calibri" w:hAnsi="Calibri"/>
          <w:b/>
          <w:bCs/>
          <w:color w:val="1F3864"/>
          <w:sz w:val="22"/>
          <w:szCs w:val="22"/>
        </w:rPr>
        <w:t xml:space="preserve">Stage 2 — grouping, links and the eligibility split</w:t>
      </w:r>
    </w:p>
    <w:p>
      <w:pPr>
        <w:pStyle w:val="ListParagraph"/>
        <w:numPr>
          <w:ilvl w:val="0"/>
          <w:numId w:val="2"/>
        </w:numPr>
        <w:spacing w:after="70" w:line="270"/>
      </w:pPr>
      <w:r>
        <w:rPr>
          <w:rFonts w:ascii="Calibri" w:cs="Calibri" w:eastAsia="Calibri" w:hAnsi="Calibri"/>
          <w:sz w:val="21"/>
          <w:szCs w:val="21"/>
        </w:rPr>
        <w:t xml:space="preserve">Split “Ineligible” into its underlying outcomes (subject to question 3).</w:t>
      </w:r>
    </w:p>
    <w:p>
      <w:pPr>
        <w:pStyle w:val="ListParagraph"/>
        <w:numPr>
          <w:ilvl w:val="0"/>
          <w:numId w:val="2"/>
        </w:numPr>
        <w:spacing w:after="70" w:line="270"/>
      </w:pPr>
      <w:r>
        <w:rPr>
          <w:rFonts w:ascii="Calibri" w:cs="Calibri" w:eastAsia="Calibri" w:hAnsi="Calibri"/>
          <w:sz w:val="21"/>
          <w:szCs w:val="21"/>
        </w:rPr>
        <w:t xml:space="preserve">Add network status as its own field and worklist (subject to question 4).</w:t>
      </w:r>
    </w:p>
    <w:p>
      <w:pPr>
        <w:pStyle w:val="ListParagraph"/>
        <w:numPr>
          <w:ilvl w:val="0"/>
          <w:numId w:val="2"/>
        </w:numPr>
        <w:spacing w:after="70" w:line="270"/>
      </w:pPr>
      <w:r>
        <w:rPr>
          <w:rFonts w:ascii="Calibri" w:cs="Calibri" w:eastAsia="Calibri" w:hAnsi="Calibri"/>
          <w:sz w:val="21"/>
          <w:szCs w:val="21"/>
        </w:rPr>
        <w:t xml:space="preserve">Group the five processing statuses by who is holding the work, and make each one a link into its queue.</w:t>
      </w:r>
    </w:p>
    <w:p>
      <w:pPr>
        <w:pStyle w:val="ListParagraph"/>
        <w:numPr>
          <w:ilvl w:val="0"/>
          <w:numId w:val="2"/>
        </w:numPr>
        <w:spacing w:after="70" w:line="270"/>
      </w:pPr>
      <w:r>
        <w:rPr>
          <w:rFonts w:ascii="Calibri" w:cs="Calibri" w:eastAsia="Calibri" w:hAnsi="Calibri"/>
          <w:sz w:val="21"/>
          <w:szCs w:val="21"/>
        </w:rPr>
        <w:t xml:space="preserve">Add the period selector, tooltips and “as of” stamp.</w:t>
      </w:r>
    </w:p>
    <w:p>
      <w:pPr>
        <w:pStyle w:val="ListParagraph"/>
        <w:numPr>
          <w:ilvl w:val="0"/>
          <w:numId w:val="2"/>
        </w:numPr>
        <w:spacing w:after="70" w:line="270"/>
      </w:pPr>
      <w:r>
        <w:rPr>
          <w:rFonts w:ascii="Calibri" w:cs="Calibri" w:eastAsia="Calibri" w:hAnsi="Calibri"/>
          <w:sz w:val="21"/>
          <w:szCs w:val="21"/>
        </w:rPr>
        <w:t xml:space="preserve">Move Top Agents and Recent Activity Logs to the admin area.</w:t>
      </w:r>
    </w:p>
    <w:p>
      <w:pPr>
        <w:pStyle w:val="Heading3"/>
        <w:spacing w:after="100" w:before="200"/>
      </w:pPr>
      <w:r>
        <w:rPr>
          <w:rFonts w:ascii="Calibri" w:cs="Calibri" w:eastAsia="Calibri" w:hAnsi="Calibri"/>
          <w:b/>
          <w:bCs/>
          <w:color w:val="1F3864"/>
          <w:sz w:val="22"/>
          <w:szCs w:val="22"/>
        </w:rPr>
        <w:t xml:space="preserve">Stage 3 — the Provider view</w:t>
      </w:r>
    </w:p>
    <w:p>
      <w:pPr>
        <w:pStyle w:val="ListParagraph"/>
        <w:numPr>
          <w:ilvl w:val="0"/>
          <w:numId w:val="2"/>
        </w:numPr>
        <w:spacing w:after="70" w:line="270"/>
      </w:pPr>
      <w:r>
        <w:rPr>
          <w:rFonts w:ascii="Calibri" w:cs="Calibri" w:eastAsia="Calibri" w:hAnsi="Calibri"/>
          <w:sz w:val="21"/>
          <w:szCs w:val="21"/>
        </w:rPr>
        <w:t xml:space="preserve">Build the three-bucket Provider view shown in Figure 4, scoped to the provider's own patients.</w:t>
      </w:r>
    </w:p>
    <w:p>
      <w:pPr>
        <w:pStyle w:val="ListParagraph"/>
        <w:numPr>
          <w:ilvl w:val="0"/>
          <w:numId w:val="2"/>
        </w:numPr>
        <w:spacing w:after="70" w:line="270"/>
      </w:pPr>
      <w:r>
        <w:rPr>
          <w:rFonts w:ascii="Calibri" w:cs="Calibri" w:eastAsia="Calibri" w:hAnsi="Calibri"/>
          <w:sz w:val="21"/>
          <w:szCs w:val="21"/>
        </w:rPr>
        <w:t xml:space="preserve">Add the patient drill-down with carrier, plan, effective dates and patient financial responsibility.</w:t>
      </w:r>
    </w:p>
    <w:p>
      <w:pPr>
        <w:pStyle w:val="ListParagraph"/>
        <w:numPr>
          <w:ilvl w:val="0"/>
          <w:numId w:val="2"/>
        </w:numPr>
        <w:spacing w:after="70" w:line="270"/>
      </w:pPr>
      <w:r>
        <w:rPr>
          <w:rFonts w:ascii="Calibri" w:cs="Calibri" w:eastAsia="Calibri" w:hAnsi="Calibri"/>
          <w:sz w:val="21"/>
          <w:szCs w:val="21"/>
        </w:rPr>
        <w:t xml:space="preserve">Add the “coverage ending in 30 days” and out-of-network worklists.</w:t>
      </w:r>
    </w:p>
    <w:p>
      <w:r>
        <w:br w:type="page"/>
      </w:r>
    </w:p>
    <w:p>
      <w:pPr>
        <w:pStyle w:val="Heading1"/>
        <w:spacing w:after="160" w:before="320"/>
      </w:pPr>
      <w:r>
        <w:rPr>
          <w:rFonts w:ascii="Calibri" w:cs="Calibri" w:eastAsia="Calibri" w:hAnsi="Calibri"/>
          <w:b/>
          <w:bCs/>
          <w:color w:val="1F3864"/>
          <w:sz w:val="30"/>
          <w:szCs w:val="30"/>
        </w:rPr>
        <w:t xml:space="preserve">Appendix A — How the figures on screen reconcile</w:t>
      </w:r>
    </w:p>
    <w:p>
      <w:pPr>
        <w:spacing w:after="140" w:before="0" w:line="276"/>
      </w:pPr>
      <w:r>
        <w:rPr>
          <w:rFonts w:ascii="Calibri" w:cs="Calibri" w:eastAsia="Calibri" w:hAnsi="Calibri"/>
          <w:color w:val="222222"/>
          <w:sz w:val="21"/>
          <w:szCs w:val="21"/>
        </w:rPr>
        <w:t xml:space="preserve">The numbers do tie together, which is a good sign. The problem is that none of these relationships are visible to the reader.</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4600"/>
        <w:gridCol w:w="2200"/>
        <w:gridCol w:w="3280"/>
      </w:tblGrid>
      <w:tr>
        <w:trPr>
          <w:tblHeader/>
        </w:trPr>
        <w:tc>
          <w:tcPr>
            <w:tcW w:type="dxa" w:w="46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Relationship</w:t>
            </w:r>
          </w:p>
        </w:tc>
        <w:tc>
          <w:tcPr>
            <w:tcW w:type="dxa" w:w="22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Result</w:t>
            </w:r>
          </w:p>
        </w:tc>
        <w:tc>
          <w:tcPr>
            <w:tcW w:type="dxa" w:w="32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What it tells us</w:t>
            </w:r>
          </w:p>
        </w:tc>
      </w:tr>
      <w:tr>
        <w:tc>
          <w:tcPr>
            <w:tcW w:type="dxa" w:w="4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Active 32,282 + Inactive 1,883 + Ineligible 1,088</w:t>
            </w:r>
          </w:p>
        </w:tc>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 35,253</w:t>
            </w:r>
          </w:p>
        </w:tc>
        <w:tc>
          <w:tcPr>
            <w:tcW w:type="dxa" w:w="32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These three are patient coverage statuses and add up to Total Patients</w:t>
            </w:r>
          </w:p>
        </w:tc>
      </w:tr>
      <w:tr>
        <w:tc>
          <w:tcPr>
            <w:tcW w:type="dxa" w:w="4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Approved 34,893 + Pending QC 173 + Returned 168 + Drafts 10 + Pending Schedule 10</w:t>
            </w:r>
          </w:p>
        </w:tc>
        <w:tc>
          <w:tcPr>
            <w:tcW w:type="dxa" w:w="2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 35,254</w:t>
            </w:r>
          </w:p>
        </w:tc>
        <w:tc>
          <w:tcPr>
            <w:tcW w:type="dxa" w:w="32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processing statuses add up to Total Entries — the correct denominator for that chart</w:t>
            </w:r>
          </w:p>
        </w:tc>
      </w:tr>
      <w:tr>
        <w:tc>
          <w:tcPr>
            <w:tcW w:type="dxa" w:w="4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Total Entries 35,254 − Drafts 10 − Pending Schedule 10</w:t>
            </w:r>
          </w:p>
        </w:tc>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 35,234</w:t>
            </w:r>
          </w:p>
        </w:tc>
        <w:tc>
          <w:tcPr>
            <w:tcW w:type="dxa" w:w="32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Equals both “VOBs” and “Verifications” — strong evidence the two cards are one measure shown twice (F4)</w:t>
            </w:r>
          </w:p>
        </w:tc>
      </w:tr>
      <w:tr>
        <w:tc>
          <w:tcPr>
            <w:tcW w:type="dxa" w:w="4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Approved 34,893 vs Patients Reviewed 34,892</w:t>
            </w:r>
          </w:p>
        </w:tc>
        <w:tc>
          <w:tcPr>
            <w:tcW w:type="dxa" w:w="2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differs by 1</w:t>
            </w:r>
          </w:p>
        </w:tc>
        <w:tc>
          <w:tcPr>
            <w:tcW w:type="dxa" w:w="32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Two measures that look identical but are not — see question 2</w:t>
            </w:r>
          </w:p>
        </w:tc>
      </w:tr>
      <w:tr>
        <w:tc>
          <w:tcPr>
            <w:tcW w:type="dxa" w:w="4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Total Entries 35,254 vs Total Patients 35,253</w:t>
            </w:r>
          </w:p>
        </w:tc>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differs by 1</w:t>
            </w:r>
          </w:p>
        </w:tc>
        <w:tc>
          <w:tcPr>
            <w:tcW w:type="dxa" w:w="32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Suggests one patient with two entries, or a leftover test record</w:t>
            </w:r>
          </w:p>
        </w:tc>
      </w:tr>
      <w:tr>
        <w:tc>
          <w:tcPr>
            <w:tcW w:type="dxa" w:w="46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Pending QC 173 + Returned 168</w:t>
            </w:r>
          </w:p>
        </w:tc>
        <w:tc>
          <w:tcPr>
            <w:tcW w:type="dxa" w:w="22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 341</w:t>
            </w:r>
          </w:p>
        </w:tc>
        <w:tc>
          <w:tcPr>
            <w:tcW w:type="dxa" w:w="32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“in progress with our team” bucket in the proposed Provider view</w:t>
            </w:r>
          </w:p>
        </w:tc>
      </w:tr>
      <w:tr>
        <w:tc>
          <w:tcPr>
            <w:tcW w:type="dxa" w:w="46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Drafts 10 + Pending Schedule 10</w:t>
            </w:r>
          </w:p>
        </w:tc>
        <w:tc>
          <w:tcPr>
            <w:tcW w:type="dxa" w:w="22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 20</w:t>
            </w:r>
          </w:p>
        </w:tc>
        <w:tc>
          <w:tcPr>
            <w:tcW w:type="dxa" w:w="32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“action needed from your practice” bucket</w:t>
            </w:r>
          </w:p>
        </w:tc>
      </w:tr>
    </w:tbl>
    <w:p>
      <w:pPr>
        <w:pStyle w:val="Heading1"/>
        <w:spacing w:after="160" w:before="320"/>
      </w:pPr>
      <w:r>
        <w:rPr>
          <w:rFonts w:ascii="Calibri" w:cs="Calibri" w:eastAsia="Calibri" w:hAnsi="Calibri"/>
          <w:b/>
          <w:bCs/>
          <w:color w:val="1F3864"/>
          <w:sz w:val="30"/>
          <w:szCs w:val="30"/>
        </w:rPr>
        <w:t xml:space="preserve">Appendix B — Tooltip text, ready to use</w:t>
      </w:r>
    </w:p>
    <w:tbl>
      <w:tblPr>
        <w:tblW w:type="dxa" w:w="10080"/>
        <w:tblBorders>
          <w:top w:val="single" w:color="C7D0DA" w:sz="4"/>
          <w:left w:val="single" w:color="C7D0DA" w:sz="4"/>
          <w:bottom w:val="single" w:color="C7D0DA" w:sz="4"/>
          <w:right w:val="single" w:color="C7D0DA" w:sz="4"/>
          <w:insideH w:val="single" w:color="D8DEE6" w:sz="4"/>
          <w:insideV w:val="single" w:color="D8DEE6" w:sz="4"/>
        </w:tblBorders>
      </w:tblPr>
      <w:tblGrid>
        <w:gridCol w:w="2900"/>
        <w:gridCol w:w="7180"/>
      </w:tblGrid>
      <w:tr>
        <w:trPr>
          <w:tblHeader/>
        </w:trPr>
        <w:tc>
          <w:tcPr>
            <w:tcW w:type="dxa" w:w="290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Label</w:t>
            </w:r>
          </w:p>
        </w:tc>
        <w:tc>
          <w:tcPr>
            <w:tcW w:type="dxa" w:w="7180"/>
            <w:shd w:fill="1F3864" w:color="auto" w:val="clear"/>
            <w:tcMar>
              <w:top w:type="dxa" w:w="90"/>
              <w:left w:type="dxa" w:w="120"/>
              <w:bottom w:type="dxa" w:w="90"/>
              <w:right w:type="dxa" w:w="120"/>
            </w:tcMar>
            <w:vAlign w:val="top"/>
          </w:tcPr>
          <w:p>
            <w:pPr>
              <w:spacing w:after="0" w:before="0" w:line="276"/>
            </w:pPr>
            <w:r>
              <w:rPr>
                <w:rFonts w:ascii="Calibri" w:cs="Calibri" w:eastAsia="Calibri" w:hAnsi="Calibri"/>
                <w:b/>
                <w:bCs/>
                <w:color w:val="FFFFFF"/>
                <w:sz w:val="20"/>
                <w:szCs w:val="20"/>
              </w:rPr>
              <w:t xml:space="preserve">Tooltip</w:t>
            </w:r>
          </w:p>
        </w:tc>
      </w:tr>
      <w:tr>
        <w:tc>
          <w:tcPr>
            <w:tcW w:type="dxa" w:w="29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Ready to treat</w:t>
            </w:r>
          </w:p>
        </w:tc>
        <w:tc>
          <w:tcPr>
            <w:tcW w:type="dxa" w:w="71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Benefits have been confirmed with the insurer. Nothing further is needed before treatment.</w:t>
            </w:r>
          </w:p>
        </w:tc>
      </w:tr>
      <w:tr>
        <w:tc>
          <w:tcPr>
            <w:tcW w:type="dxa" w:w="29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In progress — with our team</w:t>
            </w:r>
          </w:p>
        </w:tc>
        <w:tc>
          <w:tcPr>
            <w:tcW w:type="dxa" w:w="71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Our verification team is still working on these. Nothing is needed from your office.</w:t>
            </w:r>
          </w:p>
        </w:tc>
      </w:tr>
      <w:tr>
        <w:tc>
          <w:tcPr>
            <w:tcW w:type="dxa" w:w="29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Action needed — your practice</w:t>
            </w:r>
          </w:p>
        </w:tc>
        <w:tc>
          <w:tcPr>
            <w:tcW w:type="dxa" w:w="71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These are waiting on your office before verification can continue.</w:t>
            </w:r>
          </w:p>
        </w:tc>
      </w:tr>
      <w:tr>
        <w:tc>
          <w:tcPr>
            <w:tcW w:type="dxa" w:w="29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Benefits confirmed</w:t>
            </w:r>
          </w:p>
        </w:tc>
        <w:tc>
          <w:tcPr>
            <w:tcW w:type="dxa" w:w="71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verification is complete and has passed quality review. This does not mean the payer has authorised the service.</w:t>
            </w:r>
          </w:p>
        </w:tc>
      </w:tr>
      <w:tr>
        <w:tc>
          <w:tcPr>
            <w:tcW w:type="dxa" w:w="29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In quality review</w:t>
            </w:r>
          </w:p>
        </w:tc>
        <w:tc>
          <w:tcPr>
            <w:tcW w:type="dxa" w:w="71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Completed verifications waiting for a second review before they are released.</w:t>
            </w:r>
          </w:p>
        </w:tc>
      </w:tr>
      <w:tr>
        <w:tc>
          <w:tcPr>
            <w:tcW w:type="dxa" w:w="29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Returned for correction</w:t>
            </w:r>
          </w:p>
        </w:tc>
        <w:tc>
          <w:tcPr>
            <w:tcW w:type="dxa" w:w="71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Sent back to the verification agent to fix an error. This is an internal step, not an insurer decision.</w:t>
            </w:r>
          </w:p>
        </w:tc>
      </w:tr>
      <w:tr>
        <w:tc>
          <w:tcPr>
            <w:tcW w:type="dxa" w:w="29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Started — not submitted</w:t>
            </w:r>
          </w:p>
        </w:tc>
        <w:tc>
          <w:tcPr>
            <w:tcW w:type="dxa" w:w="71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 verification was begun but never submitted.</w:t>
            </w:r>
          </w:p>
        </w:tc>
      </w:tr>
      <w:tr>
        <w:tc>
          <w:tcPr>
            <w:tcW w:type="dxa" w:w="29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Waiting on appointment</w:t>
            </w:r>
          </w:p>
        </w:tc>
        <w:tc>
          <w:tcPr>
            <w:tcW w:type="dxa" w:w="71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Verification cannot be completed until the patient has an appointment booked.</w:t>
            </w:r>
          </w:p>
        </w:tc>
      </w:tr>
      <w:tr>
        <w:tc>
          <w:tcPr>
            <w:tcW w:type="dxa" w:w="29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Active coverage</w:t>
            </w:r>
          </w:p>
        </w:tc>
        <w:tc>
          <w:tcPr>
            <w:tcW w:type="dxa" w:w="71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insurance policy is currently active.</w:t>
            </w:r>
          </w:p>
        </w:tc>
      </w:tr>
      <w:tr>
        <w:tc>
          <w:tcPr>
            <w:tcW w:type="dxa" w:w="29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Coverage ended</w:t>
            </w:r>
          </w:p>
        </w:tc>
        <w:tc>
          <w:tcPr>
            <w:tcW w:type="dxa" w:w="71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policy has been terminated or has expired. Ask the patient for current insurance.</w:t>
            </w:r>
          </w:p>
        </w:tc>
      </w:tr>
      <w:tr>
        <w:tc>
          <w:tcPr>
            <w:tcW w:type="dxa" w:w="29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Not covered</w:t>
            </w:r>
          </w:p>
        </w:tc>
        <w:tc>
          <w:tcPr>
            <w:tcW w:type="dxa" w:w="71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policy is active, but this service is not a covered benefit under the plan.</w:t>
            </w:r>
          </w:p>
        </w:tc>
      </w:tr>
      <w:tr>
        <w:tc>
          <w:tcPr>
            <w:tcW w:type="dxa" w:w="29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No coverage found</w:t>
            </w:r>
          </w:p>
        </w:tc>
        <w:tc>
          <w:tcPr>
            <w:tcW w:type="dxa" w:w="71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insurer has no record of this member. Check the member ID, date of birth and payer.</w:t>
            </w:r>
          </w:p>
        </w:tc>
      </w:tr>
      <w:tr>
        <w:tc>
          <w:tcPr>
            <w:tcW w:type="dxa" w:w="290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Out of network</w:t>
            </w:r>
          </w:p>
        </w:tc>
        <w:tc>
          <w:tcPr>
            <w:tcW w:type="dxa" w:w="7180"/>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The patient's plan is active, but we are not a participating provider. Discuss patient responsibility before treatment.</w:t>
            </w:r>
          </w:p>
        </w:tc>
      </w:tr>
      <w:tr>
        <w:tc>
          <w:tcPr>
            <w:tcW w:type="dxa" w:w="290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Needs re-verification</w:t>
            </w:r>
          </w:p>
        </w:tc>
        <w:tc>
          <w:tcPr>
            <w:tcW w:type="dxa" w:w="7180"/>
            <w:shd w:fill="F5F7FA" w:color="auto" w:val="clear"/>
            <w:tcMar>
              <w:top w:type="dxa" w:w="90"/>
              <w:left w:type="dxa" w:w="120"/>
              <w:bottom w:type="dxa" w:w="90"/>
              <w:right w:type="dxa" w:w="120"/>
            </w:tcMar>
            <w:vAlign w:val="top"/>
          </w:tcPr>
          <w:p>
            <w:pPr>
              <w:spacing w:after="0" w:before="0" w:line="276"/>
            </w:pPr>
            <w:r>
              <w:rPr>
                <w:rFonts w:ascii="Calibri" w:cs="Calibri" w:eastAsia="Calibri" w:hAnsi="Calibri"/>
                <w:color w:val="222222"/>
                <w:sz w:val="20"/>
                <w:szCs w:val="20"/>
              </w:rPr>
              <w:t xml:space="preserve">This verification is older than our re-check policy and should be run again before treatment.</w:t>
            </w:r>
          </w:p>
        </w:tc>
      </w:tr>
    </w:tbl>
    <w:p>
      <w:pPr>
        <w:pBdr>
          <w:bottom w:val="single" w:color="C7D0DA" w:sz="6"/>
        </w:pBdr>
        <w:spacing w:after="160" w:before="60"/>
      </w:pPr>
      <w:r>
        <w:t xml:space="preserve"/>
      </w:r>
    </w:p>
    <w:p>
      <w:pPr>
        <w:spacing w:after="120" w:before="0" w:line="276"/>
      </w:pPr>
      <w:r>
        <w:rPr>
          <w:rFonts w:ascii="Calibri" w:cs="Calibri" w:eastAsia="Calibri" w:hAnsi="Calibri"/>
          <w:i/>
          <w:iCs/>
          <w:color w:val="595959"/>
          <w:sz w:val="18"/>
          <w:szCs w:val="18"/>
        </w:rPr>
        <w:t xml:space="preserve">Prepared from screen captures of the live VOB Admin Dashboard dated Aug 25, 2026. Figures 2 and 4 are mockups produced for this document; the counts shown in them are taken from the live figures, except the network status counts, which are deliberately left blank because that field is not captured today. No changes were made to the application as part of this review.</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595959"/>
        <w:sz w:val="16"/>
        <w:szCs w:val="16"/>
      </w:rPr>
      <w:t xml:space="preserve">VOB Section — Review &amp; Improvement Recommendations · Revision 2</w:t>
    </w:r>
    <w:r>
      <w:rPr>
        <w:sz w:val="16"/>
        <w:szCs w:val="16"/>
      </w:rPr>
      <w:ptab w:alignment="right" w:relativeTo="margin" w:leader="none"/>
    </w: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b891869d84a5643a2328ce93db99c3857779898.jpg"/><Relationship Id="rId9" Type="http://schemas.openxmlformats.org/officeDocument/2006/relationships/image" Target="media/83eec637187c9d3723108f1077f929ee25f95e99.png"/><Relationship Id="rId10" Type="http://schemas.openxmlformats.org/officeDocument/2006/relationships/image" Target="media/849e772b1d3ebfa1de68992f839ca9d2e81c98c8.jpg"/><Relationship Id="rId11" Type="http://schemas.openxmlformats.org/officeDocument/2006/relationships/image" Target="media/57f9c596f933862868fb32f8ae1fdab21f3974c8.png"/><Relationship Id="rId12" Type="http://schemas.openxmlformats.org/officeDocument/2006/relationships/image" Target="media/913898aec0e2ca6d99cccd18b021f65f3cb53da0.jpg"/><Relationship Id="rId13" Type="http://schemas.openxmlformats.org/officeDocument/2006/relationships/image" Target="media/8bbfc1138a5207bc2a79e593900edd4d9e01e20a.jpg"/><Relationship Id="rId14" Type="http://schemas.openxmlformats.org/officeDocument/2006/relationships/image" Target="media/037512880264846a0e6725afb8d72252ab3f77a7.jpg"/><Relationship Id="rId15" Type="http://schemas.openxmlformats.org/officeDocument/2006/relationships/image" Target="media/d472dc1ff8581edef24679b79b48729196a24fe7.jp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VOB Section — Review &amp; Improvement Recommendations (Revision 2)</dc:title>
  <dc:creator>Revusys VOB Review</dc:creator>
  <dc:description>Language and terminology review of the VOB section for the Provider and Office Manager roles</dc:description>
  <cp:lastModifiedBy>Un-named</cp:lastModifiedBy>
  <cp:revision>1</cp:revision>
  <dcterms:created xsi:type="dcterms:W3CDTF">2026-08-27T15:01:11.395Z</dcterms:created>
  <dcterms:modified xsi:type="dcterms:W3CDTF">2026-08-27T15:01:11.396Z</dcterms:modified>
</cp:coreProperties>
</file>

<file path=docProps/custom.xml><?xml version="1.0" encoding="utf-8"?>
<Properties xmlns="http://schemas.openxmlformats.org/officeDocument/2006/custom-properties" xmlns:vt="http://schemas.openxmlformats.org/officeDocument/2006/docPropsVTypes"/>
</file>