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pStyle w:val="Title"/>
        <w:spacing w:after="80" w:line="288" w:lineRule="auto"/>
        <w:jc w:val="left"/>
        <w:pBdr>
          <w:bottom w:val="solid" w:sz="8" w:color="4472C4" w:space="1"/>
        </w:pBdr>
      </w:pPr>
      <w:r>
        <w:rPr>
          <w:rFonts w:ascii="Aptos Display" w:hAnsi="Aptos Display"/>
          <w:b/>
          <w:color w:val="000000"/>
          <w:sz w:val="56"/>
        </w:rPr>
        <w:t>[CUSTOMER NAME] Microsoft 365 Tenant Best Practices Assessment</w:t>
      </w:r>
    </w:p>
    <w:p>
      <w:pPr>
        <w:pStyle w:val="Subtitle"/>
        <w:spacing w:before="120" w:after="360" w:line="336" w:lineRule="auto"/>
        <w:jc w:val="left"/>
      </w:pPr>
      <w:r>
        <w:rPr>
          <w:rFonts w:ascii="Aptos" w:hAnsi="Aptos"/>
          <w:i/>
          <w:color w:val="000000"/>
          <w:sz w:val="28"/>
        </w:rPr>
        <w:t>Prepared by: [CONSULTANT NAME]</w:t>
      </w:r>
    </w:p>
    <w:p>
      <w:pPr>
        <w:pStyle w:val="Heading1"/>
        <w:spacing w:line="240" w:lineRule="auto" w:after="240"/>
        <w:jc w:val="left"/>
      </w:pPr>
      <w:r>
        <w:rPr>
          <w:rFonts w:ascii="Aptos Display" w:hAnsi="Aptos Display"/>
        </w:rPr>
        <w:t>Version History</w:t>
      </w:r>
    </w:p>
    <w:p>
      <w:pPr>
        <w:spacing w:after="240" w:line="276" w:lineRule="auto"/>
        <w:jc w:val="left"/>
      </w:pPr>
      <w:r>
        <w:rPr>
          <w:rFonts w:ascii="Aptos" w:hAnsi="Aptos"/>
          <w:color w:val="000000"/>
          <w:sz w:val="24"/>
        </w:rPr>
        <w:t>This section tracks all revisions to the assessment document. Each row captures the date of revision, version number, author name, description of changes, and names of reviewers who validated the updates. Maintaining accurate version history ensures transparency and provides an audit trail for document evolution throughout the engagement.</w:t>
      </w:r>
    </w:p>
    <w:tbl>
      <w:tblPr>
        <w:tblW w:type="auto" w:w="0"/>
        <w:tblLook w:firstColumn="1" w:firstRow="1" w:lastColumn="0" w:lastRow="0" w:noHBand="0" w:noVBand="1" w:val="04A0"/>
      </w:tblPr>
      <w:tblGrid>
        <w:gridCol w:w="1928"/>
        <w:gridCol w:w="1928"/>
        <w:gridCol w:w="1928"/>
        <w:gridCol w:w="1928"/>
        <w:gridCol w:w="1928"/>
      </w:tblGrid>
      <w:tr>
        <w:trPr>
          <w:tblHeader/>
        </w:trPr>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Date</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Revision</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Author</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Description</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Reviewers</w:t>
            </w:r>
          </w:p>
        </w:tc>
      </w:tr>
      <w:tr>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[VERSION]</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[AUTHOR NAME]</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[Initial/Revision/Final]</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[REVIEWER NAMES]</w:t>
            </w:r>
          </w:p>
        </w:tc>
      </w:tr>
      <w:tr>
        <w:tc>
          <w:tcPr>
            <w:tcW w:type="dxa" w:w="1928"/>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w:t>
            </w:r>
          </w:p>
        </w:tc>
        <w:tc>
          <w:tcPr>
            <w:tcW w:type="dxa" w:w="1928"/>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[VERSION]</w:t>
            </w:r>
          </w:p>
        </w:tc>
        <w:tc>
          <w:tcPr>
            <w:tcW w:type="dxa" w:w="1928"/>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[AUTHOR NAME]</w:t>
            </w:r>
          </w:p>
        </w:tc>
        <w:tc>
          <w:tcPr>
            <w:tcW w:type="dxa" w:w="1928"/>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[Initial/Revision/Final]</w:t>
            </w:r>
          </w:p>
        </w:tc>
        <w:tc>
          <w:tcPr>
            <w:tcW w:type="dxa" w:w="1928"/>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[REVIEWER NAMES]</w:t>
            </w:r>
          </w:p>
        </w:tc>
      </w:tr>
      <w:tr>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[VERSION]</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[AUTHOR NAME]</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[Initial/Revision/Final]</w:t>
            </w:r>
          </w:p>
        </w:tc>
        <w:tc>
          <w:tcPr>
            <w:tcW w:type="dxa" w:w="1928"/>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[REVIEWER NAMES]</w:t>
            </w:r>
          </w:p>
        </w:tc>
      </w:tr>
    </w:tbl>
    <w:p>
      <w:pPr>
        <w:pStyle w:val="Heading1"/>
        <w:spacing w:line="240" w:lineRule="auto" w:after="80"/>
        <w:jc w:val="left"/>
      </w:pPr>
      <w:r>
        <w:rPr>
          <w:rFonts w:ascii="Aptos Display" w:hAnsi="Aptos Display"/>
        </w:rPr>
        <w:t>Introduction</w:t>
      </w:r>
    </w:p>
    <w:p>
      <w:pPr>
        <w:spacing w:after="240" w:line="276" w:lineRule="auto"/>
        <w:jc w:val="left"/>
      </w:pPr>
      <w:r>
        <w:rPr>
          <w:rFonts w:ascii="Aptos" w:hAnsi="Aptos"/>
          <w:color w:val="000000"/>
          <w:sz w:val="24"/>
        </w:rPr>
        <w:t>Through this engagement, [CONSULTING FIRM] will leverage a comprehensive review of [CUSTOMER NAME]'s Microsoft environment to identify actionable improvements in user account management, device compliance, and governance practices. This initiative will emphasize collaboration with [CUSTOMER NAME] stakeholders to evaluate existing controls, pinpoint procedural gaps, and recommend enhancements tailored to both immediate needs and long-term resilience. The approach will focus on aligning processes with industry best practices, optimizing Entra ID configurations, and fostering a secure, well-governed foundation that supports ongoing operational excellence and regulatory compliance. [INSTRUCTIONS: Customize this section to reflect the specific engagement objectives, customer pain points identified during discovery, and any unique compliance requirements or business drivers that prompted the assessment.]</w:t>
      </w:r>
    </w:p>
    <w:p>
      <w:pPr>
        <w:pStyle w:val="Heading1"/>
        <w:spacing w:line="240" w:lineRule="auto" w:after="80"/>
        <w:jc w:val="left"/>
      </w:pPr>
      <w:r>
        <w:rPr>
          <w:rFonts w:ascii="Aptos Display" w:hAnsi="Aptos Display"/>
        </w:rPr>
        <w:t>Project Scope</w:t>
      </w:r>
    </w:p>
    <w:p>
      <w:pPr>
        <w:spacing w:after="240" w:line="276" w:lineRule="auto"/>
        <w:jc w:val="left"/>
      </w:pPr>
      <w:r>
        <w:rPr>
          <w:rFonts w:ascii="Aptos" w:hAnsi="Aptos"/>
          <w:color w:val="000000"/>
          <w:sz w:val="24"/>
        </w:rPr>
        <w:t>[CONSULTING FIRM] will work closely with [CUSTOMER NAME] to identify and recommend targeted actions for improving the management of user accounts, device compliance, and governance practices throughout the Microsoft environment. In coordination with stakeholders, [CONSULTING FIRM] will analyze current processes and inventory to uncover gaps or inefficiencies, focusing on both immediate and long-term enhancements. These efforts will support the development of streamlined policies and controls—especially for Entra ID—helping [CUSTOMER NAME] maintain a secure, compliant, and well-governed system while laying the groundwork for ongoing improvement and operational resilience. [INSTRUCTIONS: Define the specific scope boundaries for this engagement including which M365 workloads are in scope (Entra ID, Exchange Online, Teams, SharePoint, etc.), any out-of-scope systems, timeline for assessment activities, stakeholder interview schedule, and deliverables expected at engagement completion.]</w:t>
      </w:r>
    </w:p>
    <w:p>
      <w:pPr>
        <w:pStyle w:val="Heading1"/>
        <w:spacing w:line="240" w:lineRule="auto" w:after="80"/>
        <w:jc w:val="left"/>
      </w:pPr>
      <w:r>
        <w:rPr>
          <w:rFonts w:ascii="Aptos Display" w:hAnsi="Aptos Display"/>
        </w:rPr>
        <w:t>Executive Summary</w:t>
      </w:r>
    </w:p>
    <w:p>
      <w:pPr>
        <w:spacing w:after="160" w:line="276" w:lineRule="auto"/>
        <w:jc w:val="left"/>
      </w:pPr>
      <w:r>
        <w:rPr>
          <w:rFonts w:ascii="Aptos" w:hAnsi="Aptos"/>
          <w:color w:val="000000"/>
          <w:sz w:val="24"/>
        </w:rPr>
        <w:t>This assessment provides a comprehensive review of [CUSTOMER NAME]'s Microsoft 365 environment, evaluating user account management, device compliance, and governance within Entra ID through the lens of Microsoft's Zero Trust protection model. Designed around the principle of 'never trust, always verify,' Zero Trust offers [CUSTOMER NAME] a clear framework for strengthening identity security, ensuring least-privilege access, and continuously validating users and devices—ultimately reducing risk and supporting operational resilience. Applying this model, [CONSULTING FIRM] analyzed current inventory and activity patterns to identify key areas for cleanup and policy improvement, delivering actionable recommendations that address inactive and active accounts, guest access governance, and internal user enablement. [INSTRUCTIONS: Replace with executive-level summary of top 3-5 critical findings, their business impact, and high-level recommendations. Include summary statistics like total users, percentage of inactive accounts, device compliance rates, and priority risk areas. Tailor the Zero Trust messaging to reflect actual security posture observed.] All totals and statistics are as of [DATE].</w:t>
      </w:r>
    </w:p>
    <w:p>
      <w:pPr>
        <w:pStyle w:val="Heading1"/>
        <w:spacing w:line="240" w:lineRule="auto" w:after="240"/>
        <w:jc w:val="left"/>
      </w:pPr>
      <w:r>
        <w:rPr>
          <w:rFonts w:ascii="Aptos Display" w:hAnsi="Aptos Display"/>
        </w:rPr>
        <w:t>Modern Workplace Recommendations</w:t>
      </w:r>
    </w:p>
    <w:p>
      <w:pPr>
        <w:spacing w:after="240" w:line="276" w:lineRule="auto"/>
        <w:jc w:val="left"/>
      </w:pPr>
      <w:r>
        <w:rPr>
          <w:rFonts w:ascii="Aptos" w:hAnsi="Aptos"/>
          <w:color w:val="000000"/>
          <w:sz w:val="24"/>
        </w:rPr>
        <w:t>The following table presents prioritized recommendations for improving [CUSTOMER NAME]'s Microsoft 365 security posture, governance, and operational efficiency. Each recommendation is assessed for criticality/impact to the organization and level of effort required for implementation. These recommendations are derived from observed gaps in device management, authentication policies, administrative access controls, data protection, and email security configurations. [INSTRUCTIONS: Customize this table based on actual findings from the assessment. Add or remove rows as needed to reflect the specific recommendations for this customer. Ensure criticality ratings (High/Medium/Low) and effort estimates (High/Medium/Low) are calibrated to the customer's technical maturity and resource availability.]</w:t>
      </w:r>
    </w:p>
    <w:tbl>
      <w:tblPr>
        <w:tblW w:type="auto" w:w="0"/>
        <w:tblLook w:firstColumn="1" w:firstRow="1" w:lastColumn="0" w:lastRow="0" w:noHBand="0" w:noVBand="1" w:val="04A0"/>
      </w:tblPr>
      <w:tblGrid>
        <w:gridCol w:w="3213"/>
        <w:gridCol w:w="3213"/>
        <w:gridCol w:w="3213"/>
      </w:tblGrid>
      <w:tr>
        <w:trPr>
          <w:tblHeader/>
        </w:trPr>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Recommendation</w:t>
            </w:r>
          </w:p>
        </w:tc>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Criticality / Impact</w:t>
            </w:r>
          </w:p>
        </w:tc>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Level of Effort</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Implement centralized device management (Intune/SCCM)</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High – Enables policy enforcement, reduces security gaps from unmanaged devices</w:t>
            </w:r>
          </w:p>
        </w:tc>
        <w:tc>
          <w:tcPr>
            <w:tcW w:type="dxa" w:w="3213"/>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Medium</w:t>
            </w:r>
          </w:p>
        </w:tc>
      </w:tr>
      <w:tr>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Migrate legacy MFA policies to Entra Authentication Methods</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High – Modernizes authentication, improves user experience</w:t>
            </w:r>
          </w:p>
        </w:tc>
        <w:tc>
          <w:tcPr>
            <w:tcW w:type="dxa" w:w="3213"/>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Low</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Enable Conditional Access for legacy authentication blocking</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High – Prevents exploitation of older, less secure protocols</w:t>
            </w:r>
          </w:p>
        </w:tc>
        <w:tc>
          <w:tcPr>
            <w:tcW w:type="dxa" w:w="3213"/>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Low</w:t>
            </w:r>
          </w:p>
        </w:tc>
      </w:tr>
      <w:tr>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Expand MFA coverage to all users</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High – Critical security baseline for identity protection</w:t>
            </w:r>
          </w:p>
        </w:tc>
        <w:tc>
          <w:tcPr>
            <w:tcW w:type="dxa" w:w="3213"/>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Medium</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Implement Privileged Identity Management (PIM)</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High – Reduces standing admin access, enables just-in-time elevation</w:t>
            </w:r>
          </w:p>
        </w:tc>
        <w:tc>
          <w:tcPr>
            <w:tcW w:type="dxa" w:w="3213"/>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Medium</w:t>
            </w:r>
          </w:p>
        </w:tc>
      </w:tr>
      <w:tr>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Establish quarterly application access review</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Medium – Ensures access hygiene, prevents permission creep</w:t>
            </w:r>
          </w:p>
        </w:tc>
        <w:tc>
          <w:tcPr>
            <w:tcW w:type="dxa" w:w="3213"/>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Low</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Update DMARC policy to quarantine with reporting</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Medium – Improves email authentication, reduces phishing risk</w:t>
            </w:r>
          </w:p>
        </w:tc>
        <w:tc>
          <w:tcPr>
            <w:tcW w:type="dxa" w:w="3213"/>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Low</w:t>
            </w:r>
          </w:p>
        </w:tc>
      </w:tr>
      <w:tr>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Implement DLP and retention policies</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Medium – Protects sensitive data, ensures compliance</w:t>
            </w:r>
          </w:p>
        </w:tc>
        <w:tc>
          <w:tcPr>
            <w:tcW w:type="dxa" w:w="3213"/>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Medium</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Optimize Exchange Online licensing</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Low – Reduces costs, aligns licensing with actual usage</w:t>
            </w:r>
          </w:p>
        </w:tc>
        <w:tc>
          <w:tcPr>
            <w:tcW w:type="dxa" w:w="3213"/>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Low</w:t>
            </w:r>
          </w:p>
        </w:tc>
      </w:tr>
    </w:tbl>
    <w:p>
      <w:pPr>
        <w:pStyle w:val="Heading1"/>
        <w:spacing w:line="240" w:lineRule="auto" w:after="240"/>
        <w:jc w:val="left"/>
      </w:pPr>
      <w:r>
        <w:rPr>
          <w:rFonts w:ascii="Aptos Display" w:hAnsi="Aptos Display"/>
        </w:rPr>
        <w:t>Entra ID Review: User and Device Inventory</w:t>
      </w:r>
    </w:p>
    <w:p>
      <w:pPr>
        <w:spacing w:after="240" w:line="276" w:lineRule="auto"/>
        <w:jc w:val="left"/>
      </w:pPr>
      <w:r>
        <w:rPr>
          <w:rFonts w:ascii="Aptos" w:hAnsi="Aptos"/>
          <w:color w:val="000000"/>
          <w:sz w:val="24"/>
        </w:rPr>
        <w:t>By examining the inventory and monitoring user activity, it is possible to identify trends that point to areas requiring remediation. These patterns offer insight into which accounts and devices are actively being used, as well as those that may be inactive or non-compliant. Recognizing such distinctions is critical for prioritizing cleanup efforts, ensuring that only authorized and necessary accounts remain enabled, and that devices meet required compliance standards.</w:t>
      </w:r>
    </w:p>
    <w:p>
      <w:pPr>
        <w:pStyle w:val="Heading3"/>
        <w:spacing w:line="240" w:lineRule="auto" w:after="160"/>
        <w:jc w:val="left"/>
      </w:pPr>
      <w:r>
        <w:rPr>
          <w:rFonts w:ascii="Aptos Display" w:hAnsi="Aptos Display"/>
        </w:rPr>
        <w:t>User Account Summary</w:t>
      </w:r>
    </w:p>
    <w:p>
      <w:pPr>
        <w:spacing w:after="160" w:line="276" w:lineRule="auto"/>
        <w:jc w:val="left"/>
      </w:pPr>
      <w:r>
        <w:rPr>
          <w:rFonts w:ascii="Aptos" w:hAnsi="Aptos"/>
          <w:b/>
          <w:color w:val="ED7D31"/>
          <w:sz w:val="24"/>
        </w:rPr>
        <w:t>[INSTRUCTIONS: Replace placeholder metrics below with actual values from customer tenant.]</w:t>
      </w:r>
    </w:p>
    <w:p>
      <w:pPr>
        <w:spacing w:after="120" w:line="276" w:lineRule="auto"/>
        <w:jc w:val="left"/>
      </w:pPr>
      <w:r>
        <w:rPr>
          <w:rFonts w:ascii="Aptos" w:hAnsi="Aptos"/>
          <w:b/>
          <w:color w:val="000000"/>
          <w:sz w:val="24"/>
        </w:rPr>
        <w:t>Total Users:</w:t>
      </w:r>
      <w:r>
        <w:rPr>
          <w:rFonts w:ascii="Aptos" w:hAnsi="Aptos"/>
          <w:color w:val="000000"/>
          <w:sz w:val="24"/>
        </w:rPr>
        <w:t xml:space="preserve"> [COUNT]</w:t>
      </w:r>
    </w:p>
    <w:p>
      <w:pPr>
        <w:spacing w:after="120" w:line="276" w:lineRule="auto"/>
        <w:jc w:val="left"/>
      </w:pPr>
      <w:r>
        <w:rPr>
          <w:rFonts w:ascii="Aptos" w:hAnsi="Aptos"/>
          <w:b/>
          <w:color w:val="000000"/>
          <w:sz w:val="24"/>
        </w:rPr>
        <w:t>Guest Accounts:</w:t>
      </w:r>
      <w:r>
        <w:rPr>
          <w:rFonts w:ascii="Aptos" w:hAnsi="Aptos"/>
          <w:color w:val="000000"/>
          <w:sz w:val="24"/>
        </w:rPr>
        <w:t xml:space="preserve"> [COUNT] (Active in recent period: [COUNT], Inactive: [COUNT])</w:t>
      </w:r>
    </w:p>
    <w:p>
      <w:pPr>
        <w:spacing w:after="240" w:line="276" w:lineRule="auto"/>
        <w:jc w:val="left"/>
      </w:pPr>
      <w:r>
        <w:rPr>
          <w:rFonts w:ascii="Aptos" w:hAnsi="Aptos"/>
          <w:b/>
          <w:color w:val="000000"/>
          <w:sz w:val="24"/>
        </w:rPr>
        <w:t>Internal Members:</w:t>
      </w:r>
      <w:r>
        <w:rPr>
          <w:rFonts w:ascii="Aptos" w:hAnsi="Aptos"/>
          <w:color w:val="000000"/>
          <w:sz w:val="24"/>
        </w:rPr>
        <w:t xml:space="preserve"> [COUNT] (Enabled Accounts: [COUNT], Active in recent period: [COUNT], Inactive: [COUNT])</w:t>
      </w:r>
    </w:p>
    <w:p>
      <w:pPr>
        <w:spacing w:after="240" w:line="276" w:lineRule="auto"/>
        <w:jc w:val="left"/>
      </w:pPr>
      <w:r>
        <w:rPr>
          <w:rFonts w:ascii="Aptos" w:hAnsi="Aptos"/>
          <w:color w:val="000000"/>
          <w:sz w:val="24"/>
        </w:rPr>
        <w:t>This breakdown highlights the portion of inactive accounts among both guest and internal users. Regular review and timely deactivation of unused accounts are essential to maintain security and reduce organizational risk.</w:t>
      </w:r>
    </w:p>
    <w:p>
      <w:pPr>
        <w:pStyle w:val="Heading3"/>
        <w:spacing w:line="240" w:lineRule="auto" w:after="160"/>
        <w:jc w:val="left"/>
      </w:pPr>
      <w:r>
        <w:rPr>
          <w:rFonts w:ascii="Aptos Display" w:hAnsi="Aptos Display"/>
        </w:rPr>
        <w:t>User Account Status Comparison</w:t>
      </w:r>
    </w:p>
    <w:p>
      <w:pPr>
        <w:spacing w:after="240" w:line="276" w:lineRule="auto"/>
        <w:jc w:val="center"/>
        <w:shd w:fill="F0F0F0"/>
      </w:pPr>
      <w:r>
        <w:rPr>
          <w:rFonts w:ascii="Aptos" w:hAnsi="Aptos"/>
          <w:i/>
          <w:color w:val="4472C4"/>
          <w:sz w:val="24"/>
        </w:rPr>
        <w:t>[PLACEHOLDER CHART: Grouped bar chart showing Enabled vs Disabled accounts across Internal Members and Guest Accounts categories. Replace with actual customer data.]</w:t>
      </w:r>
    </w:p>
    <w:p>
      <w:pPr>
        <w:pStyle w:val="Heading3"/>
        <w:spacing w:line="240" w:lineRule="auto" w:after="160"/>
        <w:jc w:val="left"/>
      </w:pPr>
      <w:r>
        <w:rPr>
          <w:rFonts w:ascii="Aptos Display" w:hAnsi="Aptos Display"/>
        </w:rPr>
        <w:t>Device Registration Summary</w:t>
      </w:r>
    </w:p>
    <w:p>
      <w:pPr>
        <w:spacing w:after="160" w:line="276" w:lineRule="auto"/>
        <w:jc w:val="left"/>
      </w:pPr>
      <w:r>
        <w:rPr>
          <w:rFonts w:ascii="Aptos" w:hAnsi="Aptos"/>
          <w:b/>
          <w:color w:val="ED7D31"/>
          <w:sz w:val="24"/>
        </w:rPr>
        <w:t>[INSTRUCTIONS: Replace placeholder metrics below with actual values from customer tenant. Include mobile and non-Windows platforms if relevant. Highlight any critical gaps in device governance or compliance.]</w:t>
      </w:r>
    </w:p>
    <w:p>
      <w:pPr>
        <w:spacing w:after="120" w:line="276" w:lineRule="auto"/>
        <w:jc w:val="left"/>
      </w:pPr>
      <w:r>
        <w:rPr>
          <w:rFonts w:ascii="Aptos" w:hAnsi="Aptos"/>
          <w:b/>
          <w:color w:val="000000"/>
          <w:sz w:val="24"/>
        </w:rPr>
        <w:t>Total Devices Registered:</w:t>
      </w:r>
      <w:r>
        <w:rPr>
          <w:rFonts w:ascii="Aptos" w:hAnsi="Aptos"/>
          <w:color w:val="000000"/>
          <w:sz w:val="24"/>
        </w:rPr>
        <w:t xml:space="preserve"> [COUNT]</w:t>
      </w:r>
    </w:p>
    <w:p>
      <w:pPr>
        <w:spacing w:after="120" w:line="276" w:lineRule="auto"/>
        <w:jc w:val="left"/>
      </w:pPr>
      <w:r>
        <w:rPr>
          <w:rFonts w:ascii="Aptos" w:hAnsi="Aptos"/>
          <w:b/>
          <w:color w:val="000000"/>
          <w:sz w:val="24"/>
        </w:rPr>
        <w:t>Dominant Platform:</w:t>
      </w:r>
      <w:r>
        <w:rPr>
          <w:rFonts w:ascii="Aptos" w:hAnsi="Aptos"/>
          <w:color w:val="000000"/>
          <w:sz w:val="24"/>
        </w:rPr>
        <w:t xml:space="preserve"> [PLATFORM] ([PERCENTAGE]% of all devices)</w:t>
      </w:r>
    </w:p>
    <w:p>
      <w:pPr>
        <w:spacing w:after="120" w:line="276" w:lineRule="auto"/>
        <w:jc w:val="left"/>
      </w:pPr>
      <w:r>
        <w:rPr>
          <w:rFonts w:ascii="Aptos" w:hAnsi="Aptos"/>
          <w:b/>
          <w:color w:val="000000"/>
          <w:sz w:val="24"/>
        </w:rPr>
        <w:t>Stale Devices:</w:t>
      </w:r>
      <w:r>
        <w:rPr>
          <w:rFonts w:ascii="Aptos" w:hAnsi="Aptos"/>
          <w:color w:val="000000"/>
          <w:sz w:val="24"/>
        </w:rPr>
        <w:t xml:space="preserve"> [PERCENTAGE]% of [PLATFORM] devices have not been active in over six months</w:t>
      </w:r>
    </w:p>
    <w:p>
      <w:pPr>
        <w:spacing w:after="240" w:line="276" w:lineRule="auto"/>
        <w:jc w:val="left"/>
      </w:pPr>
      <w:r>
        <w:rPr>
          <w:rFonts w:ascii="Aptos" w:hAnsi="Aptos"/>
          <w:b/>
          <w:color w:val="000000"/>
          <w:sz w:val="24"/>
        </w:rPr>
        <w:t>Compliance and Management:</w:t>
      </w:r>
      <w:r>
        <w:rPr>
          <w:rFonts w:ascii="Aptos" w:hAnsi="Aptos"/>
          <w:color w:val="000000"/>
          <w:sz w:val="24"/>
        </w:rPr>
        <w:t xml:space="preserve"> [PERCENTAGE]% of [PLATFORM] devices are managed via Intune or SCCM, [PERCENTAGE]% of [PLATFORM] devices are marked as compliant</w:t>
      </w:r>
    </w:p>
    <w:p>
      <w:pPr>
        <w:pStyle w:val="Heading3"/>
        <w:spacing w:line="240" w:lineRule="auto" w:after="160"/>
        <w:jc w:val="left"/>
      </w:pPr>
      <w:r>
        <w:rPr>
          <w:rFonts w:ascii="Aptos Display" w:hAnsi="Aptos Display"/>
        </w:rPr>
        <w:t>Device Platform Distribution</w:t>
      </w:r>
    </w:p>
    <w:p>
      <w:pPr>
        <w:spacing w:after="240" w:line="276" w:lineRule="auto"/>
        <w:jc w:val="center"/>
        <w:shd w:fill="F0F0F0"/>
      </w:pPr>
      <w:r>
        <w:rPr>
          <w:rFonts w:ascii="Aptos" w:hAnsi="Aptos"/>
          <w:i/>
          <w:color w:val="4472C4"/>
          <w:sz w:val="24"/>
        </w:rPr>
        <w:t>[PLACEHOLDER CHART: Pie chart showing percentage breakdown by operating system (Windows, Android, iOS, Other). Replace with actual customer data.]</w:t>
      </w:r>
    </w:p>
    <w:p>
      <w:pPr>
        <w:pStyle w:val="Heading1"/>
        <w:spacing w:line="240" w:lineRule="auto" w:after="240"/>
        <w:jc w:val="left"/>
      </w:pPr>
      <w:r>
        <w:rPr>
          <w:rFonts w:ascii="Aptos Display" w:hAnsi="Aptos Display"/>
        </w:rPr>
        <w:t>Device Registration and Compliance Gaps</w:t>
      </w:r>
    </w:p>
    <w:p>
      <w:pPr>
        <w:spacing w:after="240" w:line="276" w:lineRule="auto"/>
        <w:jc w:val="left"/>
      </w:pPr>
      <w:r>
        <w:rPr>
          <w:rFonts w:ascii="Aptos" w:hAnsi="Aptos"/>
          <w:color w:val="000000"/>
          <w:sz w:val="24"/>
        </w:rPr>
        <w:t>The device registration process currently reflects gaps in both management and compliance, especially for [PRIMARY PLATFORM] devices. With [PERCENTAGE]% of devices under Intune or SCCM management and [PERCENTAGE]% compliance rates, there is an immediate need to implement centralized device management solutions and enforce compliance policies. Addressing these issues will help enhance security posture, streamline asset tracking, and reduce risks associated with stale or unmanaged devices. [INSTRUCTIONS: Replace placeholders with actual device inventory data. Include breakdown by OS type, stale device counts, management status, and compliance rates. Highlight specific device types requiring immediate attention. Reference appendix section for detailed device management best practices.]</w:t>
      </w:r>
    </w:p>
    <w:tbl>
      <w:tblPr>
        <w:tblW w:type="auto" w:w="0"/>
        <w:tblLook w:firstColumn="1" w:firstRow="1" w:lastColumn="0" w:lastRow="0" w:noHBand="0" w:noVBand="1" w:val="04A0"/>
      </w:tblPr>
      <w:tblGrid>
        <w:gridCol w:w="1606"/>
        <w:gridCol w:w="1606"/>
        <w:gridCol w:w="1606"/>
        <w:gridCol w:w="1606"/>
        <w:gridCol w:w="1606"/>
        <w:gridCol w:w="1606"/>
      </w:tblGrid>
      <w:tr>
        <w:trPr>
          <w:tblHeader/>
        </w:trPr>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OS Type</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Count</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All Device Percentage</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Stale Devices (&gt;6 Months)</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Intune/SCCM Managed</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Is Compliant</w:t>
            </w:r>
          </w:p>
        </w:tc>
      </w:tr>
      <w:tr>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[OS TYPE]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r>
      <w:tr>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[OS TYPE]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r>
      <w:tr>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[OS TYPE]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r>
      <w:tr>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[OS TYPE]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[PERCENTAGE]%</w:t>
            </w:r>
          </w:p>
        </w:tc>
      </w:tr>
    </w:tbl>
    <w:p>
      <w:pPr>
        <w:pStyle w:val="Heading1"/>
        <w:spacing w:line="240" w:lineRule="auto" w:after="240"/>
        <w:jc w:val="left"/>
      </w:pPr>
      <w:r>
        <w:rPr>
          <w:rFonts w:ascii="Aptos Display" w:hAnsi="Aptos Display"/>
        </w:rPr>
        <w:t>Entra Guest Access Configuration</w:t>
      </w:r>
    </w:p>
    <w:p>
      <w:pPr>
        <w:spacing w:before="0" w:after="0" w:line="192" w:lineRule="auto"/>
      </w:pPr>
      <w:r>
        <w:drawing>
          <wp:anchor xmlns:a="http://schemas.openxmlformats.org/drawingml/2006/main" xmlns:pic="http://schemas.openxmlformats.org/drawingml/2006/picture" distT="91440" distB="91440" distL="114300" distR="114300" simplePos="0" relativeHeight="251658240" behindDoc="0" locked="0" layoutInCell="1" allowOverlap="1">
            <wp:simplePos x="0" y="0"/>
            <wp:positionH relativeFrom="column">
              <wp:align>left</wp:align>
            </wp:positionH>
            <wp:positionV relativeFrom="line">
              <wp:posOffset>457200</wp:posOffset>
            </wp:positionV>
            <wp:extent cx="2520000" cy="2195156"/>
            <wp:effectExtent l="0" t="0" r="0" b="0"/>
            <wp:wrapSquare wrapText="bothSides"/>
            <wp:docPr id="1" name="Picture 1"/>
            <a:graphic>
              <a:graphicData uri="http://schemas.openxmlformats.org/drawingml/2006/picture">
                <pic:pic>
                  <pic:nvPicPr>
                    <pic:cNvPr id="0" name="image.png"/>
                    <pic:cNvPicPr/>
                  </pic:nvPicPr>
                  <pic:blipFill>
                    <a:blip r:embed="rId11"/>
                    <a:stretch>
                      <a:fillRect/>
                    </a:stretch>
                  </pic:blipFill>
                  <pic:spPr>
                    <a:xfrm>
                      <a:off x="0" y="0"/>
                      <a:ext cx="2520000" cy="2195156"/>
                    </a:xfrm>
                    <a:prstGeom prst="rect"/>
                  </pic:spPr>
                </pic:pic>
              </a:graphicData>
            </a:graphic>
          </wp:anchor>
        </w:drawing>
      </w:r>
    </w:p>
    <w:p>
      <w:pPr>
        <w:spacing w:after="240" w:line="276" w:lineRule="auto"/>
        <w:jc w:val="left"/>
      </w:pPr>
      <w:r>
        <w:rPr>
          <w:rFonts w:ascii="Aptos" w:hAnsi="Aptos"/>
          <w:color w:val="000000"/>
          <w:sz w:val="24"/>
        </w:rPr>
        <w:t>Based on the current configuration of guest access settings in Microsoft Entra ID, [CUSTOMER NAME] has established a foundation for supporting external collaboration while maintaining control over directory visibility. The existing settings reflect some recognized best practices. [INSTRUCTIONS: Evaluate actual guest access settings and describe current state - do they restrict guest visibility appropriately? Do they support user autonomy by allowing external users to remove themselves from the directory?]</w:t>
      </w:r>
    </w:p>
    <w:p>
      <w:pPr>
        <w:spacing w:after="160" w:line="276" w:lineRule="auto"/>
        <w:jc w:val="left"/>
      </w:pPr>
      <w:r>
        <w:rPr>
          <w:rFonts w:ascii="Aptos" w:hAnsi="Aptos"/>
          <w:color w:val="000000"/>
          <w:sz w:val="24"/>
        </w:rPr>
        <w:t>We recommend the following measures:</w:t>
      </w:r>
    </w:p>
    <w:p>
      <w:pPr>
        <w:spacing w:line="276" w:lineRule="auto" w:after="120"/>
        <w:ind w:left="400" w:hanging="300"/>
      </w:pPr>
      <w:r>
        <w:t xml:space="preserve">• </w:t>
      </w:r>
      <w:r>
        <w:rPr>
          <w:rFonts w:ascii="Aptos" w:hAnsi="Aptos"/>
          <w:color w:val="000000"/>
          <w:sz w:val="24"/>
        </w:rPr>
        <w:t>Control invitation rights by requiring specific administrative roles to invite external users.</w:t>
      </w:r>
    </w:p>
    <w:p>
      <w:pPr>
        <w:spacing w:line="276" w:lineRule="auto" w:after="120"/>
        <w:ind w:left="400" w:hanging="300"/>
      </w:pPr>
      <w:r>
        <w:t xml:space="preserve">• </w:t>
      </w:r>
      <w:r>
        <w:rPr>
          <w:rFonts w:ascii="Aptos" w:hAnsi="Aptos"/>
          <w:color w:val="000000"/>
          <w:sz w:val="24"/>
        </w:rPr>
        <w:t>Support user autonomy by allowing external users to utilize self-service sign-up via user flows where appropriate.</w:t>
      </w:r>
    </w:p>
    <w:p>
      <w:pPr>
        <w:spacing w:line="276" w:lineRule="auto" w:after="120"/>
        <w:ind w:left="400" w:hanging="300"/>
      </w:pPr>
      <w:r>
        <w:t xml:space="preserve">• </w:t>
      </w:r>
      <w:r>
        <w:rPr>
          <w:rFonts w:ascii="Aptos" w:hAnsi="Aptos"/>
          <w:color w:val="000000"/>
          <w:sz w:val="24"/>
        </w:rPr>
        <w:t>Implement regular access reviews for guest accounts to ensure continued business justification.</w:t>
      </w:r>
    </w:p>
    <w:p>
      <w:pPr>
        <w:spacing w:after="240" w:line="276" w:lineRule="auto"/>
        <w:jc w:val="left"/>
      </w:pPr>
      <w:r>
        <w:rPr>
          <w:rFonts w:ascii="Aptos" w:hAnsi="Aptos"/>
          <w:color w:val="000000"/>
          <w:sz w:val="24"/>
        </w:rPr>
        <w:t>[INSTRUCTIONS: Reference appendix section [SECTION NUMBER] for detailed Entra Guest Access best practices. For External Sharing configuration, review the SharePoint Online section [SECTION NUMBER].]</w:t>
      </w:r>
    </w:p>
    <w:p>
      <w:pPr>
        <w:pStyle w:val="Heading1"/>
        <w:spacing w:line="240" w:lineRule="auto" w:after="240"/>
        <w:jc w:val="left"/>
      </w:pPr>
      <w:r>
        <w:rPr>
          <w:rFonts w:ascii="Aptos Display" w:hAnsi="Aptos Display"/>
        </w:rPr>
        <w:t>Entra Applications and Access Review</w:t>
      </w:r>
    </w:p>
    <w:p>
      <w:pPr>
        <w:spacing w:after="240" w:line="276" w:lineRule="auto"/>
        <w:jc w:val="left"/>
      </w:pPr>
      <w:r>
        <w:rPr>
          <w:rFonts w:ascii="Aptos" w:hAnsi="Aptos"/>
          <w:color w:val="000000"/>
          <w:sz w:val="24"/>
        </w:rPr>
        <w:t>[CUSTOMER NAME]'s Microsoft Entra ID tenant currently includes a total of [COUNT] applications (App Registrations) and [COUNT] Enterprise Applications. During the review period, [COUNT] applications have been accessed by users in the last 30 days, demonstrating ongoing engagement.</w:t>
      </w:r>
    </w:p>
    <w:p>
      <w:pPr>
        <w:pStyle w:val="Heading2"/>
        <w:spacing w:line="240" w:lineRule="auto" w:after="160"/>
        <w:jc w:val="left"/>
      </w:pPr>
      <w:r>
        <w:rPr>
          <w:rFonts w:ascii="Aptos Display" w:hAnsi="Aptos Display"/>
        </w:rPr>
        <w:t>Application Inventory</w:t>
      </w:r>
    </w:p>
    <w:p>
      <w:pPr>
        <w:spacing w:after="240" w:line="276" w:lineRule="auto"/>
        <w:jc w:val="left"/>
      </w:pPr>
      <w:r>
        <w:rPr>
          <w:rFonts w:ascii="Aptos" w:hAnsi="Aptos"/>
          <w:color w:val="000000"/>
          <w:sz w:val="24"/>
        </w:rPr>
        <w:t>[INSTRUCTIONS: Review the application inventory and document key applications in the table below. For each application, list DisplayName, API Permissions granted, and Observations about usage/purpose. Flag any applications that appear unused, have excessive permissions, or lack clear business justification.]</w:t>
      </w:r>
    </w:p>
    <w:tbl>
      <w:tblPr>
        <w:tblW w:type="auto" w:w="0"/>
        <w:tblLook w:firstColumn="1" w:firstRow="1" w:lastColumn="0" w:lastRow="0" w:noHBand="0" w:noVBand="1" w:val="04A0"/>
      </w:tblPr>
      <w:tblGrid>
        <w:gridCol w:w="3213"/>
        <w:gridCol w:w="3213"/>
        <w:gridCol w:w="3213"/>
      </w:tblGrid>
      <w:tr>
        <w:trPr>
          <w:tblHeader/>
        </w:trPr>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DisplayName</w:t>
            </w:r>
          </w:p>
        </w:tc>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API Permissions</w:t>
            </w:r>
          </w:p>
        </w:tc>
        <w:tc>
          <w:tcPr>
            <w:tcW w:type="dxa" w:w="3213"/>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Observation</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[APPLICATION NAME]</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[API NAME (COUNT), API NAME (COUNT)]</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[USAGE DESCRIPTION / RECOMMENDATION]</w:t>
            </w:r>
          </w:p>
        </w:tc>
      </w:tr>
      <w:tr>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[APPLICATION NAME]</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[API NAME (COUNT), API NAME (COUNT)]</w:t>
            </w:r>
          </w:p>
        </w:tc>
        <w:tc>
          <w:tcPr>
            <w:tcW w:type="dxa" w:w="3213"/>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[USAGE DESCRIPTION / RECOMMENDATION]</w:t>
            </w:r>
          </w:p>
        </w:tc>
      </w:tr>
      <w:tr>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[APPLICATION NAME]</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[API NAME (COUNT), API NAME (COUNT)]</w:t>
            </w:r>
          </w:p>
        </w:tc>
        <w:tc>
          <w:tcPr>
            <w:tcW w:type="dxa" w:w="3213"/>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[USAGE DESCRIPTION / RECOMMENDATION]</w:t>
            </w:r>
          </w:p>
        </w:tc>
      </w:tr>
    </w:tbl>
    <w:p>
      <w:pPr>
        <w:pStyle w:val="Heading2"/>
        <w:spacing w:line="240" w:lineRule="auto" w:before="360" w:after="160"/>
        <w:jc w:val="left"/>
      </w:pPr>
      <w:r>
        <w:rPr>
          <w:rFonts w:ascii="Aptos Display" w:hAnsi="Aptos Display"/>
        </w:rPr>
        <w:t>Sign-In Activity and Security Analysis</w:t>
      </w:r>
    </w:p>
    <w:p>
      <w:pPr>
        <w:spacing w:after="240" w:line="276" w:lineRule="auto"/>
        <w:jc w:val="left"/>
      </w:pPr>
      <w:r>
        <w:rPr>
          <w:rFonts w:ascii="Aptos" w:hAnsi="Aptos"/>
          <w:color w:val="000000"/>
          <w:sz w:val="24"/>
        </w:rPr>
        <w:t>[INSTRUCTIONS: Analyze sign-in logs for failed attempts to privileged applications such as Azure Active Directory PowerShell and Microsoft Azure CLI. Note if attempts are blocked by Conditional Access policies like 'Block Countries' or if there are concerning patterns requiring investigation. Document any successful sign-ins from unexpected locations or risky IPs.]</w:t>
      </w:r>
    </w:p>
    <w:p>
      <w:pPr>
        <w:pStyle w:val="Heading2"/>
        <w:spacing w:line="240" w:lineRule="auto" w:before="360" w:after="160"/>
        <w:jc w:val="left"/>
      </w:pPr>
      <w:r>
        <w:rPr>
          <w:rFonts w:ascii="Aptos Display" w:hAnsi="Aptos Display"/>
        </w:rPr>
        <w:t>Recommendations for Application Governance</w:t>
      </w:r>
    </w:p>
    <w:p>
      <w:pPr>
        <w:spacing w:after="160" w:line="276" w:lineRule="auto"/>
        <w:jc w:val="left"/>
      </w:pPr>
      <w:r>
        <w:rPr>
          <w:rFonts w:ascii="Aptos" w:hAnsi="Aptos"/>
          <w:color w:val="000000"/>
          <w:sz w:val="24"/>
        </w:rPr>
        <w:t>To improve security posture and reduce administrative overhead, it is recommended that [CUSTOMER NAME]:</w:t>
      </w:r>
    </w:p>
    <w:p>
      <w:pPr>
        <w:spacing w:line="240" w:lineRule="auto" w:after="160"/>
        <w:ind w:left="400" w:hanging="300"/>
      </w:pPr>
      <w:r>
        <w:t xml:space="preserve">• </w:t>
      </w:r>
      <w:r>
        <w:rPr>
          <w:rFonts w:ascii="Aptos" w:hAnsi="Aptos"/>
          <w:b/>
          <w:sz w:val="24"/>
        </w:rPr>
        <w:t>Monitor Application Sign-In Logs</w:t>
      </w:r>
      <w:r>
        <w:rPr>
          <w:rFonts w:ascii="Aptos" w:hAnsi="Aptos"/>
          <w:sz w:val="24"/>
        </w:rPr>
        <w:t>: Use Entra Admin Application Activity logs to identify failures and opportunities to update access permissions.</w:t>
      </w:r>
    </w:p>
    <w:p>
      <w:pPr>
        <w:spacing w:line="240" w:lineRule="auto" w:after="160"/>
        <w:ind w:left="400" w:hanging="300"/>
      </w:pPr>
      <w:r>
        <w:t xml:space="preserve">• </w:t>
      </w:r>
      <w:r>
        <w:rPr>
          <w:rFonts w:ascii="Aptos" w:hAnsi="Aptos"/>
          <w:b/>
          <w:sz w:val="24"/>
        </w:rPr>
        <w:t>Implement Lifecycle Management</w:t>
      </w:r>
      <w:r>
        <w:rPr>
          <w:rFonts w:ascii="Aptos" w:hAnsi="Aptos"/>
          <w:sz w:val="24"/>
        </w:rPr>
        <w:t>: Establish a quarterly review process for enterprise applications, using sign-in logs and access patterns to identify stale or orphaned apps.</w:t>
      </w:r>
    </w:p>
    <w:p>
      <w:pPr>
        <w:spacing w:line="240" w:lineRule="auto" w:after="160"/>
        <w:ind w:left="400" w:hanging="300"/>
      </w:pPr>
      <w:r>
        <w:t xml:space="preserve">• </w:t>
      </w:r>
      <w:r>
        <w:rPr>
          <w:rFonts w:ascii="Aptos" w:hAnsi="Aptos"/>
          <w:b/>
          <w:sz w:val="24"/>
        </w:rPr>
        <w:t>Consider Modern Authentication</w:t>
      </w:r>
      <w:r>
        <w:rPr>
          <w:rFonts w:ascii="Aptos" w:hAnsi="Aptos"/>
          <w:sz w:val="24"/>
        </w:rPr>
        <w:t>: Update apps to use Single Sign-On with protocols like OpenID Connect (OIDC) and SAML for improved security.</w:t>
      </w:r>
    </w:p>
    <w:p>
      <w:pPr>
        <w:spacing w:before="240" w:after="240" w:line="276" w:lineRule="auto"/>
        <w:jc w:val="left"/>
      </w:pPr>
      <w:r>
        <w:rPr>
          <w:rFonts w:ascii="Aptos" w:hAnsi="Aptos"/>
          <w:color w:val="000000"/>
          <w:sz w:val="24"/>
        </w:rPr>
        <w:t>[INSTRUCTIONS: If Apple Internet Accounts app consent is required for iOS device modern authentication, include specific guidance about granting admin consent to enable secure email access while blocking legacy authentication.]</w:t>
      </w:r>
    </w:p>
    <w:p>
      <w:pPr>
        <w:pStyle w:val="Heading1"/>
        <w:spacing w:line="240" w:lineRule="auto" w:after="80"/>
        <w:jc w:val="left"/>
      </w:pPr>
      <w:r>
        <w:rPr>
          <w:rFonts w:ascii="Aptos Display" w:hAnsi="Aptos Display"/>
        </w:rPr>
        <w:t>Modernizing Authentication: Duo Integration, Conditional Access, and MFA Coverage</w:t>
      </w:r>
    </w:p>
    <w:p>
      <w:pPr>
        <w:spacing w:after="240" w:line="276" w:lineRule="auto"/>
        <w:jc w:val="left"/>
      </w:pPr>
      <w:r>
        <w:rPr>
          <w:rFonts w:ascii="Aptos" w:hAnsi="Aptos"/>
          <w:color w:val="000000"/>
          <w:sz w:val="24"/>
        </w:rPr>
        <w:t>[CUSTOMER NAME]'s current Microsoft Entra ID configuration demonstrates [LEVEL] adoption of modern authentication protocols. [INSTRUCTIONS: Assess current state - what percentage of users are enabled for MFA? What methods are in use (Duo, Microsoft Authenticator, SMS, etc.)? Are there legacy MFA policies still in use? Document current Conditional Access policy count (enabled vs disabled), MFA capability summary, and gaps in enforcement.]</w:t>
      </w:r>
    </w:p>
    <w:p>
      <w:pPr>
        <w:pStyle w:val="Heading2"/>
        <w:spacing w:line="240" w:lineRule="auto" w:after="80"/>
        <w:jc w:val="left"/>
      </w:pPr>
      <w:r>
        <w:rPr>
          <w:rFonts w:ascii="Aptos Display" w:hAnsi="Aptos Display"/>
        </w:rPr>
        <w:t>Current State Analysis</w:t>
      </w:r>
    </w:p>
    <w:p>
      <w:pPr>
        <w:spacing w:after="240" w:line="276" w:lineRule="auto"/>
        <w:jc w:val="left"/>
      </w:pPr>
      <w:r>
        <w:rPr>
          <w:rFonts w:ascii="Aptos" w:hAnsi="Aptos"/>
          <w:color w:val="000000"/>
          <w:sz w:val="24"/>
        </w:rPr>
        <w:t>[COUNT] Conditional Access policies are currently enabled. [COUNT] Conditional Access policies remain disabled. [PERCENTAGE]% of sign-ins originate from unmanaged or non-compliant devices. [COUNT] users are not MFA capable (no registered MFA method or using unrecognized methods). Mixed method combinations exist where users have registered multiple authentication methods with inconsistent enrollment practices.</w:t>
      </w:r>
    </w:p>
    <w:p>
      <w:pPr>
        <w:spacing w:after="240" w:line="276" w:lineRule="auto"/>
        <w:jc w:val="left"/>
      </w:pPr>
      <w:r>
        <w:rPr>
          <w:rFonts w:ascii="Aptos" w:hAnsi="Aptos"/>
          <w:color w:val="000000"/>
          <w:sz w:val="24"/>
        </w:rPr>
        <w:t>[INSTRUCTIONS: If Duo is in use via Custom Controls, note that Microsoft recommends integrating Duo as an External Authentication Method for improved reporting and compatibility.]</w:t>
      </w:r>
    </w:p>
    <w:p>
      <w:pPr>
        <w:pStyle w:val="Heading2"/>
        <w:spacing w:line="240" w:lineRule="auto" w:after="80"/>
        <w:jc w:val="left"/>
      </w:pPr>
      <w:r>
        <w:rPr>
          <w:rFonts w:ascii="Aptos Display" w:hAnsi="Aptos Display"/>
        </w:rPr>
        <w:t>Key Recommendations</w:t>
      </w:r>
    </w:p>
    <w:p>
      <w:pPr>
        <w:spacing w:line="276" w:lineRule="auto" w:after="160"/>
        <w:ind w:left="400" w:hanging="300"/>
      </w:pPr>
      <w:r>
        <w:t xml:space="preserve">• </w:t>
      </w:r>
      <w:r>
        <w:rPr>
          <w:rFonts w:ascii="Aptos" w:hAnsi="Aptos"/>
          <w:color w:val="000000"/>
          <w:sz w:val="24"/>
        </w:rPr>
        <w:t>Integrate Duo as an External Authentication Method in Microsoft Entra, deprecating Custom Controls if currently in use.</w:t>
      </w:r>
    </w:p>
    <w:p>
      <w:pPr>
        <w:spacing w:line="276" w:lineRule="auto" w:after="160"/>
        <w:ind w:left="400" w:hanging="300"/>
      </w:pPr>
      <w:r>
        <w:t xml:space="preserve">• </w:t>
      </w:r>
      <w:r>
        <w:rPr>
          <w:rFonts w:ascii="Aptos" w:hAnsi="Aptos"/>
          <w:color w:val="000000"/>
          <w:sz w:val="24"/>
        </w:rPr>
        <w:t>Revise Conditional Access policies to enforce MFA for all users, with exceptions managed through dedicated groups.</w:t>
      </w:r>
    </w:p>
    <w:p>
      <w:pPr>
        <w:spacing w:line="276" w:lineRule="auto" w:after="160"/>
        <w:ind w:left="400" w:hanging="300"/>
      </w:pPr>
      <w:r>
        <w:t xml:space="preserve">• </w:t>
      </w:r>
      <w:r>
        <w:rPr>
          <w:rFonts w:ascii="Aptos" w:hAnsi="Aptos"/>
          <w:color w:val="000000"/>
          <w:sz w:val="24"/>
        </w:rPr>
        <w:t>Transition from enablement groups to an exception-based zero trust model ensuring comprehensive security and simplified policy management.</w:t>
      </w:r>
    </w:p>
    <w:p>
      <w:pPr>
        <w:spacing w:line="276" w:lineRule="auto" w:after="160"/>
        <w:ind w:left="400" w:hanging="300"/>
      </w:pPr>
      <w:r>
        <w:t xml:space="preserve">• </w:t>
      </w:r>
      <w:r>
        <w:rPr>
          <w:rFonts w:ascii="Aptos" w:hAnsi="Aptos"/>
          <w:color w:val="000000"/>
          <w:sz w:val="24"/>
        </w:rPr>
        <w:t>Apply Conditional Access policies to all users by default covering both browser and application sessions.</w:t>
      </w:r>
    </w:p>
    <w:p>
      <w:pPr>
        <w:spacing w:line="276" w:lineRule="auto" w:after="160"/>
        <w:ind w:left="400" w:hanging="300"/>
      </w:pPr>
      <w:r>
        <w:t xml:space="preserve">• </w:t>
      </w:r>
      <w:r>
        <w:rPr>
          <w:rFonts w:ascii="Aptos" w:hAnsi="Aptos"/>
          <w:color w:val="000000"/>
          <w:sz w:val="24"/>
        </w:rPr>
        <w:t>Establish tightly controlled exception groups for service accounts or legacy applications unable to support MFA.</w:t>
      </w:r>
    </w:p>
    <w:p>
      <w:pPr>
        <w:spacing w:line="276" w:lineRule="auto" w:after="160"/>
        <w:ind w:left="400" w:hanging="300"/>
      </w:pPr>
      <w:r>
        <w:t xml:space="preserve">• </w:t>
      </w:r>
      <w:r>
        <w:rPr>
          <w:rFonts w:ascii="Aptos" w:hAnsi="Aptos"/>
          <w:color w:val="000000"/>
          <w:sz w:val="24"/>
        </w:rPr>
        <w:t>Monitor policy logs and group memberships regularly to validate coverage and minimize risk.</w:t>
      </w:r>
    </w:p>
    <w:p>
      <w:pPr>
        <w:spacing w:line="276" w:lineRule="auto" w:after="160"/>
        <w:ind w:left="400" w:hanging="300"/>
      </w:pPr>
      <w:r>
        <w:t xml:space="preserve">• </w:t>
      </w:r>
      <w:r>
        <w:rPr>
          <w:rFonts w:ascii="Aptos" w:hAnsi="Aptos"/>
          <w:color w:val="000000"/>
          <w:sz w:val="24"/>
        </w:rPr>
        <w:t>Prepare for deprecation of legacy policies by completing migration to the Authentication Methods framework.</w:t>
      </w:r>
    </w:p>
    <w:p>
      <w:pPr>
        <w:spacing w:after="240" w:line="276" w:lineRule="auto"/>
        <w:jc w:val="left"/>
      </w:pPr>
      <w:r>
        <w:rPr>
          <w:rFonts w:ascii="Aptos" w:hAnsi="Aptos"/>
          <w:color w:val="000000"/>
          <w:sz w:val="24"/>
        </w:rPr>
        <w:t>[INSTRUCTIONS: Reference appendix sections for Authentication Methods Migration and Conditional Access Best Practices. Include tables showing MFA capability summary by user count and authentication method distribution if data is available.]</w:t>
      </w:r>
    </w:p>
    <w:p>
      <w:pPr>
        <w:pStyle w:val="Heading1"/>
        <w:spacing w:line="240" w:lineRule="auto" w:after="80"/>
        <w:jc w:val="left"/>
      </w:pPr>
      <w:r>
        <w:rPr>
          <w:rFonts w:ascii="Aptos Display" w:hAnsi="Aptos Display"/>
        </w:rPr>
        <w:t>Password Writeback and Self-Service Password Reset</w:t>
      </w:r>
    </w:p>
    <w:p>
      <w:pPr>
        <w:spacing w:after="160" w:line="276" w:lineRule="auto"/>
        <w:jc w:val="left"/>
      </w:pPr>
      <w:r>
        <w:rPr>
          <w:rFonts w:ascii="Aptos" w:hAnsi="Aptos"/>
          <w:color w:val="000000"/>
          <w:sz w:val="24"/>
        </w:rPr>
        <w:t>Password Writeback enables users to reset their Active Directory passwords from Azure AD, ensuring that password changes are synchronized between on-premises and cloud environments. This feature helps reduce helpdesk workload and improves end-user productivity by allowing seamless password recovery and updates. [INSTRUCTIONS: Assess current state - is Password Writeback currently enabled? Is Self-Service Password Reset (SSPR) configured? What authentication methods are required for SSPR? Are there gaps in user enablement?] Implementing Self-Service Password Reset (SSPR) empowers users to securely reset their own passwords without administrator intervention, minimizing downtime and supporting compliance standards. For optimal results, configure SSPR policies to include multi-factor authentication and regular audits of password reset activities. [INSTRUCTIONS: Document current configuration and provide specific recommendations for [CUSTOMER NAME] based on observed gaps. Reference appendix section for detailed Password Writeback and SSPR best practices.]</w:t>
      </w:r>
    </w:p>
    <w:p>
      <w:pPr>
        <w:pStyle w:val="Heading1"/>
        <w:spacing w:line="240" w:lineRule="auto" w:after="80"/>
        <w:jc w:val="left"/>
      </w:pPr>
      <w:r>
        <w:rPr>
          <w:rFonts w:ascii="Aptos Display" w:hAnsi="Aptos Display"/>
        </w:rPr>
        <w:t>Authorization: Admin Access and Role Assignments</w:t>
      </w:r>
    </w:p>
    <w:p>
      <w:pPr>
        <w:spacing w:after="240" w:line="276" w:lineRule="auto"/>
        <w:jc w:val="left"/>
      </w:pPr>
      <w:r>
        <w:rPr>
          <w:rFonts w:ascii="Aptos" w:hAnsi="Aptos"/>
          <w:color w:val="000000"/>
          <w:sz w:val="24"/>
        </w:rPr>
        <w:t>A review of administrative role assignments highlights areas where access can be streamlined and aligned with least-privilege principles. To enhance security and operational efficiency, regularly assess the necessity of existing admin roles, remove redundant or unnecessary privileges, and ensure that each administrator's access is strictly limited to what is required for their responsibilities.</w:t>
      </w:r>
    </w:p>
    <w:p>
      <w:pPr>
        <w:spacing w:after="240" w:line="276" w:lineRule="auto"/>
        <w:jc w:val="left"/>
      </w:pPr>
      <w:r>
        <w:rPr>
          <w:rFonts w:ascii="Aptos" w:hAnsi="Aptos"/>
          <w:b/>
          <w:color w:val="ED7D31"/>
          <w:sz w:val="24"/>
        </w:rPr>
        <w:t>[INSTRUCTIONS: Replace placeholders below with actual admin account details from customer tenant.]</w:t>
      </w:r>
    </w:p>
    <w:p>
      <w:pPr>
        <w:pStyle w:val="Heading2"/>
        <w:spacing w:line="240" w:lineRule="auto" w:after="80"/>
        <w:jc w:val="left"/>
      </w:pPr>
      <w:r>
        <w:rPr>
          <w:rFonts w:ascii="Aptos Display" w:hAnsi="Aptos Display"/>
        </w:rPr>
        <w:t>Summary of Findings</w:t>
      </w:r>
    </w:p>
    <w:p>
      <w:pPr>
        <w:spacing w:line="276" w:lineRule="auto" w:after="240"/>
        <w:ind w:left="400" w:hanging="300"/>
      </w:pPr>
      <w:r>
        <w:t xml:space="preserve">• </w:t>
      </w:r>
      <w:r>
        <w:rPr>
          <w:rFonts w:ascii="Aptos" w:hAnsi="Aptos"/>
          <w:color w:val="000000"/>
          <w:sz w:val="24"/>
        </w:rPr>
        <w:t>Total Admin Accounts Reviewed: [COUNT]</w:t>
      </w:r>
    </w:p>
    <w:p>
      <w:pPr>
        <w:spacing w:line="276" w:lineRule="auto" w:after="240"/>
        <w:ind w:left="400" w:hanging="300"/>
      </w:pPr>
      <w:r>
        <w:t xml:space="preserve">• </w:t>
      </w:r>
      <w:r>
        <w:rPr>
          <w:rFonts w:ascii="Aptos" w:hAnsi="Aptos"/>
          <w:color w:val="000000"/>
          <w:sz w:val="24"/>
        </w:rPr>
        <w:t>Global Administrators: [COUNT] accounts</w:t>
      </w:r>
    </w:p>
    <w:p>
      <w:pPr>
        <w:spacing w:line="276" w:lineRule="auto" w:after="240"/>
        <w:ind w:left="400" w:hanging="300"/>
      </w:pPr>
      <w:r>
        <w:t xml:space="preserve">• </w:t>
      </w:r>
      <w:r>
        <w:rPr>
          <w:rFonts w:ascii="Aptos" w:hAnsi="Aptos"/>
          <w:color w:val="000000"/>
          <w:sz w:val="24"/>
        </w:rPr>
        <w:t>Break Glass Account: [ACCOUNT NAME - note if identified and properly secured]</w:t>
      </w:r>
    </w:p>
    <w:p>
      <w:pPr>
        <w:spacing w:line="276" w:lineRule="auto" w:after="240"/>
        <w:ind w:left="400" w:hanging="300"/>
      </w:pPr>
      <w:r>
        <w:t xml:space="preserve">• </w:t>
      </w:r>
      <w:r>
        <w:rPr>
          <w:rFonts w:ascii="Aptos" w:hAnsi="Aptos"/>
          <w:color w:val="000000"/>
          <w:sz w:val="24"/>
        </w:rPr>
        <w:t>Inactive or Low-Activity Admins: [LIST ACCOUNTS with last sign-in dates and activity notes]</w:t>
      </w:r>
    </w:p>
    <w:p>
      <w:pPr>
        <w:pStyle w:val="Heading2"/>
        <w:spacing w:line="240" w:lineRule="auto" w:after="80"/>
        <w:jc w:val="left"/>
      </w:pPr>
      <w:r>
        <w:rPr>
          <w:rFonts w:ascii="Aptos Display" w:hAnsi="Aptos Display"/>
        </w:rPr>
        <w:t>High-Level Recommendations</w:t>
      </w:r>
    </w:p>
    <w:p>
      <w:pPr>
        <w:spacing w:line="276" w:lineRule="auto" w:after="240"/>
        <w:ind w:left="400" w:hanging="300"/>
      </w:pPr>
      <w:r>
        <w:t xml:space="preserve">• </w:t>
      </w:r>
      <w:r>
        <w:rPr>
          <w:rFonts w:ascii="Aptos" w:hAnsi="Aptos"/>
          <w:b/>
          <w:color w:val="000000"/>
          <w:sz w:val="24"/>
        </w:rPr>
        <w:t>Review and Rationalize Role Assignments</w:t>
      </w:r>
      <w:r>
        <w:rPr>
          <w:rFonts w:ascii="Aptos" w:hAnsi="Aptos"/>
          <w:color w:val="000000"/>
          <w:sz w:val="24"/>
        </w:rPr>
        <w:t xml:space="preserve"> to consolidate or reduce excessive role assignments aligned with least privilege principles.</w:t>
      </w:r>
    </w:p>
    <w:p>
      <w:pPr>
        <w:spacing w:line="276" w:lineRule="auto" w:after="240"/>
        <w:ind w:left="400" w:hanging="300"/>
      </w:pPr>
      <w:r>
        <w:t xml:space="preserve">• </w:t>
      </w:r>
      <w:r>
        <w:rPr>
          <w:rFonts w:ascii="Aptos" w:hAnsi="Aptos"/>
          <w:b/>
          <w:color w:val="000000"/>
          <w:sz w:val="24"/>
        </w:rPr>
        <w:t>Decommission or Secure Inactive Admin Accounts</w:t>
      </w:r>
      <w:r>
        <w:rPr>
          <w:rFonts w:ascii="Aptos" w:hAnsi="Aptos"/>
          <w:color w:val="000000"/>
          <w:sz w:val="24"/>
        </w:rPr>
        <w:t xml:space="preserve"> by disabling or removing legacy accounts no longer in use.</w:t>
      </w:r>
    </w:p>
    <w:p>
      <w:pPr>
        <w:spacing w:line="276" w:lineRule="auto" w:after="240"/>
        <w:ind w:left="400" w:hanging="300"/>
      </w:pPr>
      <w:r>
        <w:t xml:space="preserve">• </w:t>
      </w:r>
      <w:r>
        <w:rPr>
          <w:rFonts w:ascii="Aptos" w:hAnsi="Aptos"/>
          <w:b/>
          <w:color w:val="000000"/>
          <w:sz w:val="24"/>
        </w:rPr>
        <w:t>Implement Role Governance</w:t>
      </w:r>
      <w:r>
        <w:rPr>
          <w:rFonts w:ascii="Aptos" w:hAnsi="Aptos"/>
          <w:color w:val="000000"/>
          <w:sz w:val="24"/>
        </w:rPr>
        <w:t xml:space="preserve"> through a recurring review process for privileged roles using Entra ID Privileged Identity Management (PIM) to enforce approval workflows, time-bound access, and audit trails.</w:t>
      </w:r>
    </w:p>
    <w:p>
      <w:pPr>
        <w:spacing w:line="276" w:lineRule="auto" w:after="240"/>
        <w:ind w:left="400" w:hanging="300"/>
      </w:pPr>
      <w:r>
        <w:t xml:space="preserve">• </w:t>
      </w:r>
      <w:r>
        <w:rPr>
          <w:rFonts w:ascii="Aptos" w:hAnsi="Aptos"/>
          <w:b/>
          <w:color w:val="000000"/>
          <w:sz w:val="24"/>
        </w:rPr>
        <w:t>Rename Break Glass Account UPN</w:t>
      </w:r>
      <w:r>
        <w:rPr>
          <w:rFonts w:ascii="Aptos" w:hAnsi="Aptos"/>
          <w:color w:val="000000"/>
          <w:sz w:val="24"/>
        </w:rPr>
        <w:t xml:space="preserve"> to make it more unique and limit likelihood of brute force attacks.</w:t>
      </w:r>
    </w:p>
    <w:p>
      <w:pPr>
        <w:spacing w:after="240" w:line="276" w:lineRule="auto"/>
        <w:jc w:val="left"/>
      </w:pPr>
      <w:r>
        <w:rPr>
          <w:rFonts w:ascii="Aptos" w:hAnsi="Aptos"/>
          <w:b/>
          <w:color w:val="ED7D31"/>
          <w:sz w:val="24"/>
        </w:rPr>
        <w:t>[INSTRUCTIONS: Include table below listing all Global Administrators with columns for DisplayName, Created date, UserPrincipalName, and LastSignIn. Reference appendix section for Privileged Identity Management best practices.]</w:t>
      </w:r>
    </w:p>
    <w:p>
      <w:pPr>
        <w:pStyle w:val="Heading2"/>
        <w:spacing w:line="240" w:lineRule="auto" w:after="160"/>
        <w:jc w:val="left"/>
      </w:pPr>
      <w:r>
        <w:rPr>
          <w:rFonts w:ascii="Aptos Display" w:hAnsi="Aptos Display"/>
        </w:rPr>
        <w:t>Global Administrator Accounts</w:t>
      </w:r>
    </w:p>
    <w:tbl>
      <w:tblPr>
        <w:tblW w:type="auto" w:w="0"/>
        <w:tblLook w:firstColumn="1" w:firstRow="1" w:lastColumn="0" w:lastRow="0" w:noHBand="0" w:noVBand="1" w:val="04A0"/>
      </w:tblPr>
      <w:tblGrid>
        <w:gridCol w:w="2409"/>
        <w:gridCol w:w="2409"/>
        <w:gridCol w:w="2409"/>
        <w:gridCol w:w="2409"/>
      </w:tblGrid>
      <w:tr>
        <w:trPr>
          <w:tblHeader/>
        </w:trPr>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DisplayName</w:t>
            </w:r>
          </w:p>
        </w:tc>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Created</w:t>
            </w:r>
          </w:p>
        </w:tc>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UserPrincipalName</w:t>
            </w:r>
          </w:p>
        </w:tc>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LastSignIn</w:t>
            </w:r>
          </w:p>
        </w:tc>
      </w:tr>
      <w:tr>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 NAME]</w:t>
            </w:r>
          </w:p>
        </w:tc>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[ADMIN@DOMAIN.COM]</w:t>
            </w:r>
          </w:p>
        </w:tc>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r>
      <w:tr>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 NAME]</w:t>
            </w:r>
          </w:p>
        </w:tc>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[ADMIN@DOMAIN.COM]</w:t>
            </w:r>
          </w:p>
        </w:tc>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r>
      <w:tr>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 NAME]</w:t>
            </w:r>
          </w:p>
        </w:tc>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[ADMIN@DOMAIN.COM]</w:t>
            </w:r>
          </w:p>
        </w:tc>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r>
      <w:tr>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 NAME]</w:t>
            </w:r>
          </w:p>
        </w:tc>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[ADMIN@DOMAIN.COM]</w:t>
            </w:r>
          </w:p>
        </w:tc>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[MM/DD/YYYY]</w:t>
            </w:r>
          </w:p>
        </w:tc>
      </w:tr>
    </w:tbl>
    <w:p>
      <w:pPr>
        <w:spacing w:after="240" w:line="276" w:lineRule="auto"/>
        <w:jc w:val="left"/>
      </w:pPr>
      <w:r>
        <w:rPr>
          <w:rFonts w:ascii="Aptos" w:hAnsi="Aptos"/>
          <w:i/>
          <w:color w:val="44546A"/>
          <w:sz w:val="24"/>
        </w:rPr>
        <w:t>Note: This table shows placeholder data. Replace with actual Global Administrator account details from the customer's Entra ID tenant. Reference the appendix section for Privileged Identity Management (PIM) best practices and implementation guidance.</w:t>
      </w:r>
    </w:p>
    <w:p>
      <w:pPr>
        <w:pStyle w:val="Heading1"/>
        <w:spacing w:line="240" w:lineRule="auto" w:after="240"/>
        <w:jc w:val="left"/>
      </w:pPr>
      <w:r>
        <w:rPr>
          <w:rFonts w:ascii="Aptos Display" w:hAnsi="Aptos Display"/>
        </w:rPr>
        <w:t>Exchange Online: Mailboxes and Storage Overview</w:t>
      </w:r>
    </w:p>
    <w:p>
      <w:pPr>
        <w:spacing w:after="240" w:line="276" w:lineRule="auto"/>
        <w:jc w:val="left"/>
      </w:pPr>
      <w:r>
        <w:rPr>
          <w:rFonts w:ascii="Aptos" w:hAnsi="Aptos"/>
          <w:color w:val="000000"/>
          <w:sz w:val="24"/>
        </w:rPr>
        <w:t>A review was performed on mailbox usage and the distribution of recipient objects. The primary goals of this assessment were to evaluate current storage patterns, identify any resources that are no longer active, and pinpoint areas where improved lifecycle management could be implemented.</w:t>
      </w:r>
    </w:p>
    <w:p>
      <w:pPr>
        <w:spacing w:after="240" w:line="276" w:lineRule="auto"/>
        <w:jc w:val="left"/>
      </w:pPr>
      <w:r>
        <w:rPr>
          <w:rFonts w:ascii="Aptos" w:hAnsi="Aptos"/>
          <w:i/>
          <w:color w:val="000000"/>
          <w:sz w:val="24"/>
        </w:rPr>
        <w:t>[INSTRUCTIONS: Replace placeholders below with actual Exchange Online data from customer tenant.]</w:t>
      </w:r>
    </w:p>
    <w:p>
      <w:pPr>
        <w:pStyle w:val="Heading2"/>
        <w:spacing w:line="240" w:lineRule="auto" w:after="200"/>
        <w:jc w:val="left"/>
      </w:pPr>
      <w:r>
        <w:rPr>
          <w:rFonts w:ascii="Aptos Display" w:hAnsi="Aptos Display"/>
        </w:rPr>
        <w:t>High-Level Observations and Recommendations</w:t>
      </w:r>
    </w:p>
    <w:p>
      <w:pPr>
        <w:pStyle w:val="Heading3"/>
        <w:spacing w:line="240" w:lineRule="auto" w:after="160"/>
        <w:jc w:val="left"/>
      </w:pPr>
      <w:r>
        <w:rPr>
          <w:rFonts w:ascii="Aptos Display" w:hAnsi="Aptos Display"/>
        </w:rPr>
        <w:t>User Mailbox Growth</w:t>
      </w:r>
    </w:p>
    <w:p>
      <w:pPr>
        <w:spacing w:line="276" w:lineRule="auto" w:after="160"/>
        <w:ind w:left="400" w:hanging="300"/>
      </w:pPr>
      <w:r>
        <w:t xml:space="preserve">• </w:t>
      </w:r>
      <w:r>
        <w:rPr>
          <w:rFonts w:ascii="Aptos" w:hAnsi="Aptos"/>
          <w:color w:val="000000"/>
          <w:sz w:val="24"/>
        </w:rPr>
        <w:t>[COUNT] user mailboxes are nearing the [SIZE] GB mailbox quota and do not have an Exchange Online Archive enabled. Consider enabling expanding archive mailboxes to manage growth and reduce primary mailbox size.</w:t>
      </w:r>
    </w:p>
    <w:p>
      <w:pPr>
        <w:spacing w:line="276" w:lineRule="auto" w:after="160"/>
        <w:ind w:left="400" w:hanging="300"/>
      </w:pPr>
      <w:r>
        <w:t xml:space="preserve">• </w:t>
      </w:r>
      <w:r>
        <w:rPr>
          <w:rFonts w:ascii="Aptos" w:hAnsi="Aptos"/>
          <w:color w:val="000000"/>
          <w:sz w:val="24"/>
        </w:rPr>
        <w:t>[COUNT] mailbox users have under 1GB of usage - audit usage to identify inactive or redundant items.</w:t>
      </w:r>
    </w:p>
    <w:p>
      <w:pPr>
        <w:pStyle w:val="Heading3"/>
        <w:spacing w:line="240" w:lineRule="auto" w:after="160"/>
        <w:jc w:val="left"/>
      </w:pPr>
      <w:r>
        <w:rPr>
          <w:rFonts w:ascii="Aptos Display" w:hAnsi="Aptos Display"/>
        </w:rPr>
        <w:t>Shared Mailbox Review</w:t>
      </w:r>
    </w:p>
    <w:p>
      <w:pPr>
        <w:spacing w:after="240" w:line="276" w:lineRule="auto"/>
        <w:jc w:val="left"/>
      </w:pPr>
      <w:r>
        <w:rPr>
          <w:rFonts w:ascii="Aptos" w:hAnsi="Aptos"/>
          <w:color w:val="000000"/>
          <w:sz w:val="24"/>
        </w:rPr>
        <w:t>Shared mailboxes are moderately sized; however, [COUNT] out of [COUNT] Shared Mailboxes are under 1GB. Perform a usage audit to determine which items may be inactive or redundant.</w:t>
      </w:r>
    </w:p>
    <w:p>
      <w:pPr>
        <w:pStyle w:val="Heading3"/>
        <w:spacing w:line="240" w:lineRule="auto" w:after="160"/>
        <w:jc w:val="left"/>
      </w:pPr>
      <w:r>
        <w:rPr>
          <w:rFonts w:ascii="Aptos Display" w:hAnsi="Aptos Display"/>
        </w:rPr>
        <w:t>Inactive Mailboxes</w:t>
      </w:r>
    </w:p>
    <w:p>
      <w:pPr>
        <w:spacing w:after="240" w:line="276" w:lineRule="auto"/>
        <w:jc w:val="left"/>
      </w:pPr>
      <w:r>
        <w:rPr>
          <w:rFonts w:ascii="Aptos" w:hAnsi="Aptos"/>
          <w:color w:val="000000"/>
          <w:sz w:val="24"/>
        </w:rPr>
        <w:t>[COUNT] inactive mailboxes found. Regularly check mailboxes and either archive or delete any that are no longer necessary.</w:t>
      </w:r>
    </w:p>
    <w:p>
      <w:pPr>
        <w:pStyle w:val="Heading3"/>
        <w:spacing w:line="240" w:lineRule="auto" w:after="160"/>
        <w:jc w:val="left"/>
      </w:pPr>
      <w:r>
        <w:rPr>
          <w:rFonts w:ascii="Aptos Display" w:hAnsi="Aptos Display"/>
        </w:rPr>
        <w:t>Group Mailbox Utilization</w:t>
      </w:r>
    </w:p>
    <w:p>
      <w:pPr>
        <w:spacing w:after="240" w:line="276" w:lineRule="auto"/>
        <w:jc w:val="left"/>
      </w:pPr>
      <w:r>
        <w:rPr>
          <w:rFonts w:ascii="Aptos" w:hAnsi="Aptos"/>
          <w:color w:val="000000"/>
          <w:sz w:val="24"/>
        </w:rPr>
        <w:t>Group mailboxes are [small/moderate/large] in size. Review their purpose and usage to ensure they are still serving active collaboration needs.</w:t>
      </w:r>
    </w:p>
    <w:p>
      <w:pPr>
        <w:pStyle w:val="Heading3"/>
        <w:spacing w:line="240" w:lineRule="auto" w:after="160"/>
        <w:jc w:val="left"/>
      </w:pPr>
      <w:r>
        <w:rPr>
          <w:rFonts w:ascii="Aptos Display" w:hAnsi="Aptos Display"/>
        </w:rPr>
        <w:t>Archive Mailbox Usage and Licensing</w:t>
      </w:r>
    </w:p>
    <w:p>
      <w:pPr>
        <w:spacing w:after="240" w:line="276" w:lineRule="auto"/>
        <w:jc w:val="left"/>
      </w:pPr>
      <w:r>
        <w:rPr>
          <w:rFonts w:ascii="Aptos" w:hAnsi="Aptos"/>
          <w:color w:val="000000"/>
          <w:sz w:val="24"/>
        </w:rPr>
        <w:t>Of [COUNT] with archive license assigned, [COUNT] archives are over 50GB and [COUNT] have holds applied. Consider optimizing license utilization by removing Add-on archive license where Business Standard or Exchange Online P2 licenses provide sufficient archiving capabilities.</w:t>
      </w:r>
    </w:p>
    <w:p>
      <w:pPr>
        <w:spacing w:after="320" w:line="276" w:lineRule="auto"/>
        <w:jc w:val="left"/>
      </w:pPr>
      <w:r>
        <w:rPr>
          <w:rFonts w:ascii="Aptos" w:hAnsi="Aptos"/>
          <w:i/>
          <w:color w:val="000000"/>
          <w:sz w:val="24"/>
        </w:rPr>
        <w:t>[INSTRUCTIONS: Reference appendix section for Exchange Online Archives and Retention Policies best practices.]</w:t>
      </w:r>
    </w:p>
    <w:p>
      <w:pPr>
        <w:pStyle w:val="Heading2"/>
        <w:spacing w:line="240" w:lineRule="auto" w:after="200"/>
        <w:jc w:val="left"/>
      </w:pPr>
      <w:r>
        <w:rPr>
          <w:rFonts w:ascii="Aptos Display" w:hAnsi="Aptos Display"/>
        </w:rPr>
        <w:t>Mailbox Statistics Overview</w:t>
      </w:r>
    </w:p>
    <w:tbl>
      <w:tblPr>
        <w:tblW w:type="auto" w:w="0"/>
        <w:tblLook w:firstColumn="1" w:firstRow="1" w:lastColumn="0" w:lastRow="0" w:noHBand="0" w:noVBand="1" w:val="04A0"/>
      </w:tblPr>
      <w:tblGrid>
        <w:gridCol w:w="1205"/>
        <w:gridCol w:w="1205"/>
        <w:gridCol w:w="1205"/>
        <w:gridCol w:w="1205"/>
        <w:gridCol w:w="1205"/>
        <w:gridCol w:w="1205"/>
        <w:gridCol w:w="1205"/>
        <w:gridCol w:w="1205"/>
      </w:tblGrid>
      <w:tr>
        <w:trPr>
          <w:tblHeader/>
        </w:trPr>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Mailbox Type</w:t>
            </w:r>
          </w:p>
        </w:tc>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Quantity</w:t>
            </w:r>
          </w:p>
        </w:tc>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Total Size (GB)</w:t>
            </w:r>
          </w:p>
        </w:tc>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Total Archive Size (GB)</w:t>
            </w:r>
          </w:p>
        </w:tc>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Average Size (GB)</w:t>
            </w:r>
          </w:p>
        </w:tc>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Average Archive Size (GB)</w:t>
            </w:r>
          </w:p>
        </w:tc>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Mailboxes Over 50 GB</w:t>
            </w:r>
          </w:p>
        </w:tc>
        <w:tc>
          <w:tcPr>
            <w:tcW w:type="dxa" w:w="1205"/>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Largest Mailbox Size</w:t>
            </w:r>
          </w:p>
        </w:tc>
      </w:tr>
      <w:tr>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[MAILBOX TYPE]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r>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[MAILBOX TYPE]</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r>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[MAILBOX TYPE]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r>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[MAILBOX TYPE]</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r>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[MAILBOX TYPE]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205"/>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bl>
    <w:p>
      <w:pPr>
        <w:pStyle w:val="Heading1"/>
        <w:spacing w:line="240" w:lineRule="auto" w:after="240"/>
        <w:jc w:val="left"/>
      </w:pPr>
      <w:r>
        <w:rPr>
          <w:rFonts w:ascii="Aptos Display" w:hAnsi="Aptos Display"/>
        </w:rPr>
        <w:t>SMTP Relay Usage and Service Accounts</w:t>
      </w:r>
    </w:p>
    <w:p>
      <w:pPr>
        <w:spacing w:after="240" w:line="276" w:lineRule="auto"/>
        <w:jc w:val="left"/>
      </w:pPr>
      <w:r>
        <w:rPr>
          <w:rFonts w:ascii="Aptos" w:hAnsi="Aptos"/>
          <w:color w:val="000000"/>
          <w:sz w:val="24"/>
        </w:rPr>
        <w:t>Upon reviewing outbound email activity, [COUNT] accounts were discovered actively transmitting messages using SMTP relay. These accounts appear designated for automated or system-generated communications, such as those originating from scanners, multifunction devices, or business applications.</w:t>
      </w:r>
    </w:p>
    <w:p>
      <w:pPr>
        <w:spacing w:after="240" w:line="276" w:lineRule="auto"/>
        <w:jc w:val="left"/>
      </w:pPr>
      <w:r>
        <w:rPr>
          <w:rFonts w:ascii="Aptos" w:hAnsi="Aptos"/>
          <w:color w:val="000000"/>
          <w:sz w:val="24"/>
        </w:rPr>
        <w:t>[INSTRUCTIONS: Replace table below with actual SMTP relay sender addresses and message counts from customer tenant. Note if these are service accounts, copier accounts, or application accounts.]</w:t>
      </w:r>
    </w:p>
    <w:tbl>
      <w:tblPr>
        <w:tblW w:type="auto" w:w="0"/>
        <w:tblLook w:firstColumn="1" w:firstRow="1" w:lastColumn="0" w:lastRow="0" w:noHBand="0" w:noVBand="1" w:val="04A0"/>
      </w:tblPr>
      <w:tblGrid>
        <w:gridCol w:w="4819"/>
        <w:gridCol w:w="4819"/>
      </w:tblGrid>
      <w:tr>
        <w:trPr>
          <w:tblHeader/>
        </w:trPr>
        <w:tc>
          <w:tcPr>
            <w:tcW w:type="dxa" w:w="481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Sender Address</w:t>
            </w:r>
          </w:p>
        </w:tc>
        <w:tc>
          <w:tcPr>
            <w:tcW w:type="dxa" w:w="481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Messages Sent (Past 90 days)</w:t>
            </w:r>
          </w:p>
        </w:tc>
      </w:tr>
      <w:tr>
        <w:tc>
          <w:tcPr>
            <w:tcW w:type="dxa" w:w="481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[SERVICE-ACCOUNT@DOMAIN.COM]</w:t>
            </w:r>
          </w:p>
        </w:tc>
        <w:tc>
          <w:tcPr>
            <w:tcW w:type="dxa" w:w="481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r>
      <w:tr>
        <w:tc>
          <w:tcPr>
            <w:tcW w:type="dxa" w:w="481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[SERVICE-ACCOUNT@DOMAIN.COM]</w:t>
            </w:r>
          </w:p>
        </w:tc>
        <w:tc>
          <w:tcPr>
            <w:tcW w:type="dxa" w:w="481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r>
      <w:tr>
        <w:tc>
          <w:tcPr>
            <w:tcW w:type="dxa" w:w="481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[SERVICE-ACCOUNT@DOMAIN.COM]</w:t>
            </w:r>
          </w:p>
        </w:tc>
        <w:tc>
          <w:tcPr>
            <w:tcW w:type="dxa" w:w="481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r>
    </w:tbl>
    <w:p>
      <w:pPr>
        <w:spacing w:before="240" w:after="160" w:line="276" w:lineRule="auto"/>
        <w:jc w:val="left"/>
      </w:pPr>
      <w:r>
        <w:rPr>
          <w:rFonts w:ascii="Aptos" w:hAnsi="Aptos"/>
          <w:color w:val="000000"/>
          <w:sz w:val="24"/>
        </w:rPr>
        <w:t>While there is no immediate need to remove or disable these accounts, it is recommended to evaluate transitioning this workload to Microsoft's High-Volume Email (Preview) service. This service is:</w:t>
      </w:r>
    </w:p>
    <w:p>
      <w:pPr>
        <w:spacing w:line="240" w:lineRule="auto" w:after="120"/>
        <w:ind w:left="400" w:hanging="300"/>
      </w:pPr>
      <w:r>
        <w:t xml:space="preserve">• </w:t>
      </w:r>
      <w:r>
        <w:rPr>
          <w:rFonts w:ascii="Aptos" w:hAnsi="Aptos"/>
          <w:sz w:val="24"/>
        </w:rPr>
        <w:t>Designed for system-generated email (alerts, reports, scan-to-email).</w:t>
      </w:r>
    </w:p>
    <w:p>
      <w:pPr>
        <w:spacing w:line="240" w:lineRule="auto" w:after="120"/>
        <w:ind w:left="400" w:hanging="300"/>
      </w:pPr>
      <w:r>
        <w:t xml:space="preserve">• </w:t>
      </w:r>
      <w:r>
        <w:rPr>
          <w:rFonts w:ascii="Aptos" w:hAnsi="Aptos"/>
          <w:sz w:val="24"/>
        </w:rPr>
        <w:t>Free to use (currently in preview).</w:t>
      </w:r>
    </w:p>
    <w:p>
      <w:pPr>
        <w:spacing w:line="240" w:lineRule="auto" w:after="120"/>
        <w:ind w:left="400" w:hanging="300"/>
      </w:pPr>
      <w:r>
        <w:t xml:space="preserve">• </w:t>
      </w:r>
      <w:r>
        <w:rPr>
          <w:rFonts w:ascii="Aptos" w:hAnsi="Aptos"/>
          <w:sz w:val="24"/>
        </w:rPr>
        <w:t>More secure and scalable than using a named, licensed user account.</w:t>
      </w:r>
    </w:p>
    <w:p>
      <w:pPr>
        <w:pStyle w:val="Heading3"/>
        <w:spacing w:line="240" w:lineRule="auto" w:before="240" w:after="160"/>
        <w:jc w:val="left"/>
      </w:pPr>
      <w:r>
        <w:rPr>
          <w:rFonts w:ascii="Aptos Display" w:hAnsi="Aptos Display"/>
        </w:rPr>
        <w:t>Benefits of Transitioning</w:t>
      </w:r>
    </w:p>
    <w:p>
      <w:pPr>
        <w:spacing w:line="240" w:lineRule="auto" w:after="120"/>
        <w:ind w:left="400" w:hanging="300"/>
      </w:pPr>
      <w:r>
        <w:t xml:space="preserve">• </w:t>
      </w:r>
      <w:r>
        <w:rPr>
          <w:rFonts w:ascii="Aptos" w:hAnsi="Aptos"/>
          <w:sz w:val="24"/>
        </w:rPr>
        <w:t>Reduces reliance on licensed user accounts for non-human workloads.</w:t>
      </w:r>
    </w:p>
    <w:p>
      <w:pPr>
        <w:spacing w:line="240" w:lineRule="auto" w:after="120"/>
        <w:ind w:left="400" w:hanging="300"/>
      </w:pPr>
      <w:r>
        <w:t xml:space="preserve">• </w:t>
      </w:r>
      <w:r>
        <w:rPr>
          <w:rFonts w:ascii="Aptos" w:hAnsi="Aptos"/>
          <w:sz w:val="24"/>
        </w:rPr>
        <w:t>Aligns with Microsoft's best practices for service account management.</w:t>
      </w:r>
    </w:p>
    <w:p>
      <w:pPr>
        <w:spacing w:line="240" w:lineRule="auto" w:after="120"/>
        <w:ind w:left="400" w:hanging="300"/>
      </w:pPr>
      <w:r>
        <w:t xml:space="preserve">• </w:t>
      </w:r>
      <w:r>
        <w:rPr>
          <w:rFonts w:ascii="Aptos" w:hAnsi="Aptos"/>
          <w:sz w:val="24"/>
        </w:rPr>
        <w:t>Improves auditability and separation of duties.</w:t>
      </w:r>
    </w:p>
    <w:p>
      <w:pPr>
        <w:spacing w:before="240" w:after="240" w:line="276" w:lineRule="auto"/>
        <w:jc w:val="left"/>
      </w:pPr>
      <w:r>
        <w:rPr>
          <w:rFonts w:ascii="Aptos" w:hAnsi="Aptos"/>
          <w:color w:val="000000"/>
          <w:sz w:val="24"/>
        </w:rPr>
        <w:t>[INSTRUCTIONS: If legacy authentication is required for these SMTP relay accounts, note that they should be added to Conditional Access exception groups with appropriate monitoring and security controls. Reference appendix section for 3rd Party Sending with Office 365 best practices.]</w:t>
      </w:r>
    </w:p>
    <w:p>
      <w:pPr>
        <w:pStyle w:val="Heading1"/>
        <w:spacing w:line="240" w:lineRule="auto" w:after="80"/>
        <w:jc w:val="left"/>
      </w:pPr>
      <w:r>
        <w:rPr>
          <w:rFonts w:ascii="Aptos Display" w:hAnsi="Aptos Display"/>
        </w:rPr>
        <w:t>Microsoft Teams Governance and Cleanup</w:t>
      </w:r>
    </w:p>
    <w:p>
      <w:pPr>
        <w:spacing w:after="160" w:line="276" w:lineRule="auto"/>
        <w:jc w:val="left"/>
      </w:pPr>
      <w:r>
        <w:rPr>
          <w:rFonts w:ascii="Aptos" w:hAnsi="Aptos"/>
          <w:color w:val="000000"/>
          <w:sz w:val="24"/>
        </w:rPr>
        <w:t>An analysis of [CUSTOMER NAME]'s current Microsoft Teams environment shows that collaboration activity is highly concentrated among a small subset of Teams, while a large portion remain inactive or outdated. These findings present an opportunity to streamline the environment, reduce clutter, strengthen governance, and improve end-user experience.</w:t>
      </w:r>
    </w:p>
    <w:p>
      <w:pPr>
        <w:spacing w:after="160" w:line="276" w:lineRule="auto"/>
        <w:jc w:val="left"/>
      </w:pPr>
      <w:r>
        <w:rPr>
          <w:rFonts w:ascii="Aptos" w:hAnsi="Aptos"/>
          <w:i/>
          <w:color w:val="000000"/>
          <w:sz w:val="24"/>
        </w:rPr>
        <w:t>[INSTRUCTIONS: Replace placeholders with actual Teams usage data from customer tenant. Analyze reporting from Office 365 Admin Center Teams Activity reports.]</w:t>
      </w:r>
    </w:p>
    <w:p>
      <w:pPr>
        <w:spacing w:after="240" w:line="276" w:lineRule="auto"/>
        <w:jc w:val="left"/>
      </w:pPr>
      <w:r>
        <w:rPr>
          <w:rFonts w:ascii="Aptos" w:hAnsi="Aptos"/>
          <w:color w:val="000000"/>
          <w:sz w:val="24"/>
        </w:rPr>
        <w:t>Based on recent activity data, the environment contains [COUNT] Teams, but only [COUNT] Teams show measurable activity, meaning [PERCENTAGE]% of Teams appear inactive within the most recent reporting period (30 days).</w:t>
      </w:r>
    </w:p>
    <w:p>
      <w:pPr>
        <w:pStyle w:val="Heading2"/>
        <w:spacing w:line="240" w:lineRule="auto" w:before="160" w:after="80"/>
        <w:jc w:val="left"/>
      </w:pPr>
      <w:r>
        <w:rPr>
          <w:rFonts w:ascii="Aptos Display" w:hAnsi="Aptos Display"/>
        </w:rPr>
        <w:t>Key Findings</w:t>
      </w:r>
    </w:p>
    <w:p>
      <w:pPr>
        <w:spacing w:after="160" w:line="276" w:lineRule="auto"/>
        <w:jc w:val="left"/>
      </w:pPr>
      <w:r>
        <w:rPr>
          <w:rFonts w:ascii="Aptos" w:hAnsi="Aptos"/>
          <w:b/>
          <w:color w:val="000000"/>
          <w:sz w:val="24"/>
        </w:rPr>
        <w:t>Team sprawl is significant</w:t>
      </w:r>
      <w:r>
        <w:rPr>
          <w:rFonts w:ascii="Aptos" w:hAnsi="Aptos"/>
          <w:color w:val="000000"/>
          <w:sz w:val="24"/>
        </w:rPr>
        <w:t xml:space="preserve"> - Out of [COUNT] total Teams, [COUNT] have zero recorded activity during the report period. Many show stale Last Activity Dates with some inactive for several months or years.</w:t>
      </w:r>
    </w:p>
    <w:p>
      <w:pPr>
        <w:spacing w:after="160" w:line="276" w:lineRule="auto"/>
        <w:jc w:val="left"/>
      </w:pPr>
      <w:r>
        <w:rPr>
          <w:rFonts w:ascii="Aptos" w:hAnsi="Aptos"/>
          <w:b/>
          <w:color w:val="000000"/>
          <w:sz w:val="24"/>
        </w:rPr>
        <w:t>Activity is concentrated in a small core of Teams</w:t>
      </w:r>
      <w:r>
        <w:rPr>
          <w:rFonts w:ascii="Aptos" w:hAnsi="Aptos"/>
          <w:color w:val="000000"/>
          <w:sz w:val="24"/>
        </w:rPr>
        <w:t xml:space="preserve"> - Only [COUNT] Teams show meaningful activity with varying engagement levels based on Active Users.</w:t>
      </w:r>
    </w:p>
    <w:p>
      <w:pPr>
        <w:spacing w:after="160" w:line="276" w:lineRule="auto"/>
        <w:jc w:val="left"/>
      </w:pPr>
      <w:r>
        <w:rPr>
          <w:rFonts w:ascii="Aptos" w:hAnsi="Aptos"/>
          <w:b/>
          <w:color w:val="000000"/>
          <w:sz w:val="24"/>
        </w:rPr>
        <w:t>Engagement type is limited</w:t>
      </w:r>
      <w:r>
        <w:rPr>
          <w:rFonts w:ascii="Aptos" w:hAnsi="Aptos"/>
          <w:color w:val="000000"/>
          <w:sz w:val="24"/>
        </w:rPr>
        <w:t xml:space="preserve"> - Typical collaboration signals (posts, replies, channel messages) are mostly absent, meaning most interactions occur through meetings, file collaboration, or private chat.</w:t>
      </w:r>
    </w:p>
    <w:p>
      <w:pPr>
        <w:spacing w:after="240" w:line="276" w:lineRule="auto"/>
        <w:jc w:val="left"/>
      </w:pPr>
      <w:r>
        <w:rPr>
          <w:rFonts w:ascii="Aptos" w:hAnsi="Aptos"/>
          <w:b/>
          <w:color w:val="000000"/>
          <w:sz w:val="24"/>
        </w:rPr>
        <w:t>Majority of Teams are Private</w:t>
      </w:r>
      <w:r>
        <w:rPr>
          <w:rFonts w:ascii="Aptos" w:hAnsi="Aptos"/>
          <w:color w:val="000000"/>
          <w:sz w:val="24"/>
        </w:rPr>
        <w:t xml:space="preserve"> - Most Teams are Private with [COUNT] identified as Public, which is normal in regulated environments but requires access reviews and membership validation.</w:t>
      </w:r>
    </w:p>
    <w:p>
      <w:pPr>
        <w:pStyle w:val="Heading2"/>
        <w:spacing w:line="240" w:lineRule="auto" w:before="160" w:after="80"/>
        <w:jc w:val="left"/>
      </w:pPr>
      <w:r>
        <w:rPr>
          <w:rFonts w:ascii="Aptos Display" w:hAnsi="Aptos Display"/>
        </w:rPr>
        <w:t>Opportunities for Cleanup</w:t>
      </w:r>
    </w:p>
    <w:p>
      <w:pPr>
        <w:spacing w:after="160" w:line="276" w:lineRule="auto"/>
        <w:jc w:val="left"/>
      </w:pPr>
      <w:r>
        <w:rPr>
          <w:rFonts w:ascii="Aptos" w:hAnsi="Aptos"/>
          <w:b/>
          <w:color w:val="000000"/>
          <w:sz w:val="24"/>
        </w:rPr>
        <w:t>Identify and Archive Inactive Teams</w:t>
      </w:r>
      <w:r>
        <w:rPr>
          <w:rFonts w:ascii="Aptos" w:hAnsi="Aptos"/>
          <w:color w:val="000000"/>
          <w:sz w:val="24"/>
        </w:rPr>
        <w:t xml:space="preserve"> - Teams with no activity signals and Last Activity Date older than 180 days are prime candidates for archiving. An initial review suggests [COUNT] Teams could be retired with minimal organizational impact.</w:t>
      </w:r>
    </w:p>
    <w:p>
      <w:pPr>
        <w:spacing w:after="160" w:line="276" w:lineRule="auto"/>
        <w:jc w:val="left"/>
      </w:pPr>
      <w:r>
        <w:rPr>
          <w:rFonts w:ascii="Aptos" w:hAnsi="Aptos"/>
          <w:b/>
          <w:color w:val="000000"/>
          <w:sz w:val="24"/>
        </w:rPr>
        <w:t>Consolidate Redundant or Duplicative Teams</w:t>
      </w:r>
      <w:r>
        <w:rPr>
          <w:rFonts w:ascii="Aptos" w:hAnsi="Aptos"/>
          <w:color w:val="000000"/>
          <w:sz w:val="24"/>
        </w:rPr>
        <w:t xml:space="preserve"> where Teams serve similar purposes.</w:t>
      </w:r>
    </w:p>
    <w:p>
      <w:pPr>
        <w:spacing w:after="160" w:line="276" w:lineRule="auto"/>
        <w:jc w:val="left"/>
      </w:pPr>
      <w:r>
        <w:rPr>
          <w:rFonts w:ascii="Aptos" w:hAnsi="Aptos"/>
          <w:b/>
          <w:color w:val="000000"/>
          <w:sz w:val="24"/>
        </w:rPr>
        <w:t>Implement Lifecycle Governance</w:t>
      </w:r>
      <w:r>
        <w:rPr>
          <w:rFonts w:ascii="Aptos" w:hAnsi="Aptos"/>
          <w:color w:val="000000"/>
          <w:sz w:val="24"/>
        </w:rPr>
        <w:t xml:space="preserve"> with Teams expiration policies (180-day inactivity auto-renewal prompt), require Team ownership confirmation periodically, use naming conventions to distinguish types and expected lifespans.</w:t>
      </w:r>
    </w:p>
    <w:p>
      <w:pPr>
        <w:spacing w:after="240" w:line="276" w:lineRule="auto"/>
        <w:jc w:val="left"/>
      </w:pPr>
      <w:r>
        <w:rPr>
          <w:rFonts w:ascii="Aptos" w:hAnsi="Aptos"/>
          <w:b/>
          <w:color w:val="000000"/>
          <w:sz w:val="24"/>
        </w:rPr>
        <w:t>Standardize Team Structure</w:t>
      </w:r>
      <w:r>
        <w:rPr>
          <w:rFonts w:ascii="Aptos" w:hAnsi="Aptos"/>
          <w:color w:val="000000"/>
          <w:sz w:val="24"/>
        </w:rPr>
        <w:t xml:space="preserve"> for the [COUNT] Teams consistently used with standard channels and naming, relevant tabs, meeting templates.</w:t>
      </w:r>
    </w:p>
    <w:p>
      <w:pPr>
        <w:pStyle w:val="Heading2"/>
        <w:spacing w:line="240" w:lineRule="auto" w:before="160" w:after="80"/>
        <w:jc w:val="left"/>
      </w:pPr>
      <w:r>
        <w:rPr>
          <w:rFonts w:ascii="Aptos Display" w:hAnsi="Aptos Display"/>
        </w:rPr>
        <w:t>Recommended Next Steps</w:t>
      </w:r>
    </w:p>
    <w:p>
      <w:pPr>
        <w:spacing w:after="160" w:line="276" w:lineRule="auto"/>
        <w:jc w:val="left"/>
      </w:pPr>
      <w:r>
        <w:rPr>
          <w:rFonts w:ascii="Aptos" w:hAnsi="Aptos"/>
          <w:color w:val="000000"/>
          <w:sz w:val="24"/>
        </w:rPr>
        <w:t>Restrict Teams creation to Admins. Review inactive Teams and confirm with business owners whether they should be archived. Apply expiration policies to automate future cleanup cycles.</w:t>
      </w:r>
    </w:p>
    <w:p>
      <w:pPr>
        <w:spacing w:after="160" w:line="276" w:lineRule="auto"/>
        <w:jc w:val="left"/>
      </w:pPr>
      <w:r>
        <w:rPr>
          <w:rFonts w:ascii="Aptos" w:hAnsi="Aptos"/>
          <w:i/>
          <w:color w:val="000000"/>
          <w:sz w:val="24"/>
        </w:rPr>
        <w:t>[INSTRUCTIONS: Reference appendix section for Microsoft Teams best practices.]</w:t>
      </w:r>
    </w:p>
    <w:p>
      <w:pPr>
        <w:pStyle w:val="Heading1"/>
        <w:spacing w:line="240" w:lineRule="auto" w:after="240"/>
        <w:jc w:val="left"/>
      </w:pPr>
      <w:r>
        <w:rPr>
          <w:rFonts w:ascii="Aptos Display" w:hAnsi="Aptos Display"/>
        </w:rPr>
        <w:t>SharePoint Online Storage and External Sharing</w:t>
      </w:r>
    </w:p>
    <w:p>
      <w:pPr>
        <w:spacing w:after="240" w:line="276" w:lineRule="auto"/>
        <w:jc w:val="left"/>
      </w:pPr>
      <w:r>
        <w:rPr>
          <w:rFonts w:ascii="Aptos" w:hAnsi="Aptos"/>
          <w:color w:val="000000"/>
          <w:sz w:val="24"/>
        </w:rPr>
        <w:t>The current storage footprint across SharePoint Online, OneDrive for Business, Microsoft Teams, and Office 365 Groups reflects active collaboration and content growth across [CUSTOMER NAME]'s Microsoft 365 environment. [INSTRUCTIONS: Replace placeholders below with actual storage metrics from customer tenant.]</w:t>
      </w:r>
    </w:p>
    <w:tbl>
      <w:tblPr>
        <w:tblW w:type="auto" w:w="0"/>
        <w:tblLook w:firstColumn="1" w:firstRow="1" w:lastColumn="0" w:lastRow="0" w:noHBand="0" w:noVBand="1" w:val="04A0"/>
      </w:tblPr>
      <w:tblGrid>
        <w:gridCol w:w="1606"/>
        <w:gridCol w:w="1606"/>
        <w:gridCol w:w="1606"/>
        <w:gridCol w:w="1606"/>
        <w:gridCol w:w="1606"/>
        <w:gridCol w:w="1606"/>
      </w:tblGrid>
      <w:tr>
        <w:trPr>
          <w:tblHeader/>
        </w:trPr>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Type</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Quantity</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Total Storage (GB)</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Average Storage (GB)</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Over 50 GB</w:t>
            </w:r>
          </w:p>
        </w:tc>
        <w:tc>
          <w:tcPr>
            <w:tcW w:type="dxa" w:w="1606"/>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Largest Size (GB)</w:t>
            </w:r>
          </w:p>
        </w:tc>
      </w:tr>
      <w:tr>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SharePoint</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r>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OneDrive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r>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Teams</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[AVG]</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[COUNT]</w:t>
            </w:r>
          </w:p>
        </w:tc>
        <w:tc>
          <w:tcPr>
            <w:tcW w:type="dxa" w:w="1606"/>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[SIZE]</w:t>
            </w:r>
          </w:p>
        </w:tc>
      </w:tr>
    </w:tbl>
    <w:p>
      <w:pPr>
        <w:pStyle w:val="Heading2"/>
        <w:spacing w:line="240" w:lineRule="auto" w:after="240"/>
        <w:jc w:val="left"/>
      </w:pPr>
      <w:r>
        <w:rPr>
          <w:rFonts w:ascii="Aptos Display" w:hAnsi="Aptos Display"/>
        </w:rPr>
        <w:t>Observations and Recommendations</w:t>
      </w:r>
    </w:p>
    <w:p>
      <w:pPr>
        <w:spacing w:after="240" w:line="276" w:lineRule="auto"/>
        <w:jc w:val="left"/>
      </w:pPr>
      <w:r>
        <w:rPr>
          <w:rFonts w:ascii="Aptos" w:hAnsi="Aptos"/>
          <w:b/>
          <w:color w:val="000000"/>
          <w:sz w:val="24"/>
        </w:rPr>
        <w:t>SharePoint:</w:t>
      </w:r>
      <w:r>
        <w:rPr>
          <w:rFonts w:ascii="Aptos" w:hAnsi="Aptos"/>
          <w:color w:val="000000"/>
          <w:sz w:val="24"/>
        </w:rPr>
        <w:t xml:space="preserve"> Total usage is [SIZE] GB. Consider reviewing sites for archival opportunities. [COUNT] sites are under 1GB - regularly monitor and archive unused or outdated content.</w:t>
      </w:r>
    </w:p>
    <w:p>
      <w:pPr>
        <w:spacing w:after="240" w:line="276" w:lineRule="auto"/>
        <w:jc w:val="left"/>
      </w:pPr>
      <w:r>
        <w:rPr>
          <w:rFonts w:ascii="Aptos" w:hAnsi="Aptos"/>
          <w:b/>
          <w:color w:val="000000"/>
          <w:sz w:val="24"/>
        </w:rPr>
        <w:t>OneDrive:</w:t>
      </w:r>
      <w:r>
        <w:rPr>
          <w:rFonts w:ascii="Aptos" w:hAnsi="Aptos"/>
          <w:color w:val="000000"/>
          <w:sz w:val="24"/>
        </w:rPr>
        <w:t xml:space="preserve"> Average size is [SIZE] GB with [COUNT] of [COUNT] accounts exceeding 50 GB. [INSTRUCTIONS: If OneDrive utilization is low, note that most users are not utilizing OneDrive for file storage and recommend adoption initiatives. If utilization is high, provide top users by active file count with table showing Owner Principal Name, Last Activity Date, File Count, Active File Count, Storage Used in GB.]</w:t>
      </w:r>
    </w:p>
    <w:p>
      <w:pPr>
        <w:spacing w:after="240" w:line="276" w:lineRule="auto"/>
        <w:jc w:val="left"/>
      </w:pPr>
      <w:r>
        <w:rPr>
          <w:rFonts w:ascii="Aptos" w:hAnsi="Aptos"/>
          <w:b/>
          <w:color w:val="000000"/>
          <w:sz w:val="24"/>
        </w:rPr>
        <w:t>External Sharing:</w:t>
      </w:r>
      <w:r>
        <w:rPr>
          <w:rFonts w:ascii="Aptos" w:hAnsi="Aptos"/>
          <w:color w:val="000000"/>
          <w:sz w:val="24"/>
        </w:rPr>
        <w:t xml:space="preserve"> Currently, SharePoint's external sharing settings are configured to [SHARING LEVEL - Anyone/New and existing guests/Existing guests/Only people in your organization]. [INSTRUCTIONS: Evaluate if current setting aligns with security requirements and collaboration needs. Note if any changes are recommended. Reference appendix section for SharePoint Online best practices.]</w:t>
      </w:r>
    </w:p>
    <w:p>
      <w:pPr>
        <w:spacing w:before="0" w:after="0" w:line="192" w:lineRule="auto"/>
      </w:pPr>
      <w:r>
        <w:drawing>
          <wp:anchor xmlns:a="http://schemas.openxmlformats.org/drawingml/2006/main" xmlns:pic="http://schemas.openxmlformats.org/drawingml/2006/picture" distT="91440" distB="91440" distL="114300" distR="114300" simplePos="0" relativeHeight="251658240" behindDoc="0" locked="0" layoutInCell="1" allowOverlap="1">
            <wp:simplePos x="0" y="0"/>
            <wp:positionH relativeFrom="column">
              <wp:align>left</wp:align>
            </wp:positionH>
            <wp:positionV relativeFrom="line">
              <wp:posOffset>457200</wp:posOffset>
            </wp:positionV>
            <wp:extent cx="3977639" cy="2074277"/>
            <wp:effectExtent l="0" t="0" r="0" b="0"/>
            <wp:wrapSquare wrapText="bothSides"/>
            <wp:docPr id="2" name="Picture 2"/>
            <a:graphic>
              <a:graphicData uri="http://schemas.openxmlformats.org/drawingml/2006/picture">
                <pic:pic>
                  <pic:nvPicPr>
                    <pic:cNvPr id="0" name="image.png"/>
                    <pic:cNvPicPr/>
                  </pic:nvPicPr>
                  <pic:blipFill>
                    <a:blip r:embed="rId12"/>
                    <a:stretch>
                      <a:fillRect/>
                    </a:stretch>
                  </pic:blipFill>
                  <pic:spPr>
                    <a:xfrm>
                      <a:off x="0" y="0"/>
                      <a:ext cx="3977639" cy="2074277"/>
                    </a:xfrm>
                    <a:prstGeom prst="rect"/>
                  </pic:spPr>
                </pic:pic>
              </a:graphicData>
            </a:graphic>
          </wp:anchor>
        </w:drawing>
      </w:r>
    </w:p>
    <w:p>
      <w:pPr>
        <w:pStyle w:val="Heading1"/>
        <w:spacing w:line="240" w:lineRule="auto" w:after="240"/>
        <w:jc w:val="left"/>
      </w:pPr>
      <w:r>
        <w:rPr>
          <w:rFonts w:ascii="Aptos Display" w:hAnsi="Aptos Display"/>
        </w:rPr>
        <w:t>Retention Policies and Data Loss Prevention</w:t>
      </w:r>
    </w:p>
    <w:p>
      <w:pPr>
        <w:spacing w:after="240" w:line="276" w:lineRule="auto"/>
        <w:jc w:val="left"/>
      </w:pPr>
      <w:r>
        <w:rPr>
          <w:rFonts w:ascii="Aptos" w:hAnsi="Aptos"/>
          <w:color w:val="000000"/>
          <w:sz w:val="24"/>
        </w:rPr>
        <w:t>[CUSTOMER NAME] [INSTRUCTIONS: Note any specific regulatory requirements like Municipal Retention Act, HIPAA, SOX, GDPR, etc. and required retention periods]. Currently, [CUSTOMER NAME] relies [INSTRUCTIONS: describe current state - exclusively on default MRM Retention Policy, has custom retention policies in place, has no retention policies configured, etc.] without [customized retention or data loss prevention (DLP) policies / with limited DLP coverage / etc.] configured to address unique organizational and regulatory needs. This approach may not sufficiently support compliance with [REGULATORY REQUIREMENT] or other legal obligations, and it leaves gaps in proactively protecting sensitive information from unauthorized access or accidental disclosure.</w:t>
      </w:r>
    </w:p>
    <w:p>
      <w:pPr>
        <w:spacing w:after="160" w:line="276" w:lineRule="auto"/>
        <w:jc w:val="left"/>
      </w:pPr>
      <w:r>
        <w:rPr>
          <w:rFonts w:ascii="Aptos" w:hAnsi="Aptos"/>
          <w:b/>
          <w:color w:val="000000"/>
          <w:sz w:val="24"/>
        </w:rPr>
        <w:t>Recommendations:</w:t>
      </w:r>
    </w:p>
    <w:p>
      <w:pPr>
        <w:spacing w:line="276" w:lineRule="auto" w:after="240"/>
        <w:ind w:left="400" w:hanging="300"/>
      </w:pPr>
      <w:r>
        <w:t xml:space="preserve">• </w:t>
      </w:r>
      <w:r>
        <w:rPr>
          <w:rFonts w:ascii="Aptos" w:hAnsi="Aptos"/>
          <w:color w:val="000000"/>
          <w:sz w:val="24"/>
        </w:rPr>
        <w:t>Develop and enforce unified retention and DLP policies across Exchange Online, SharePoint Online, Teams, and OneDrive ensuring all organizational data is systematically managed, retained, and protected in accordance with applicable regulations.</w:t>
      </w:r>
    </w:p>
    <w:p>
      <w:pPr>
        <w:spacing w:line="276" w:lineRule="auto" w:after="240"/>
        <w:ind w:left="400" w:hanging="300"/>
      </w:pPr>
      <w:r>
        <w:t xml:space="preserve">• </w:t>
      </w:r>
      <w:r>
        <w:rPr>
          <w:rFonts w:ascii="Aptos" w:hAnsi="Aptos"/>
          <w:color w:val="000000"/>
          <w:sz w:val="24"/>
        </w:rPr>
        <w:t>Utilize Microsoft 365 groups or Security Groups to categorize users with specific retention or compliance needs and assign tailored retention and DLP policies as appropriate.</w:t>
      </w:r>
    </w:p>
    <w:p>
      <w:pPr>
        <w:spacing w:line="276" w:lineRule="auto" w:after="240"/>
        <w:ind w:left="400" w:hanging="300"/>
      </w:pPr>
      <w:r>
        <w:t xml:space="preserve">• </w:t>
      </w:r>
      <w:r>
        <w:rPr>
          <w:rFonts w:ascii="Aptos" w:hAnsi="Aptos"/>
          <w:color w:val="000000"/>
          <w:sz w:val="24"/>
        </w:rPr>
        <w:t>Leverage Microsoft 365 compliance solutions to automate retention, deletion, and DLP enforcement reducing manual intervention and minimizing risk of data loss and unauthorized data exposure.</w:t>
      </w:r>
    </w:p>
    <w:p>
      <w:pPr>
        <w:spacing w:line="276" w:lineRule="auto" w:after="240"/>
        <w:ind w:left="400" w:hanging="300"/>
      </w:pPr>
      <w:r>
        <w:t xml:space="preserve">• </w:t>
      </w:r>
      <w:r>
        <w:rPr>
          <w:rFonts w:ascii="Aptos" w:hAnsi="Aptos"/>
          <w:color w:val="000000"/>
          <w:sz w:val="24"/>
        </w:rPr>
        <w:t>Regularly review and update both retention and DLP policies to stay aligned with evolving business requirements and regulatory standards.</w:t>
      </w:r>
    </w:p>
    <w:p>
      <w:pPr>
        <w:spacing w:after="240" w:line="276" w:lineRule="auto"/>
        <w:jc w:val="left"/>
      </w:pPr>
      <w:r>
        <w:rPr>
          <w:rFonts w:ascii="Aptos" w:hAnsi="Aptos"/>
          <w:color w:val="000000"/>
          <w:sz w:val="24"/>
        </w:rPr>
        <w:t>[INSTRUCTIONS: Reference appendix section for Retention Policies and Data Loss Prevention best practices.]</w:t>
      </w:r>
    </w:p>
    <w:p>
      <w:pPr>
        <w:pStyle w:val="Heading1"/>
        <w:spacing w:line="240" w:lineRule="auto" w:after="80"/>
        <w:jc w:val="left"/>
      </w:pPr>
      <w:r>
        <w:rPr>
          <w:rFonts w:ascii="Aptos Display" w:hAnsi="Aptos Display"/>
        </w:rPr>
        <w:t>Domain Configuration and DNS Overview</w:t>
      </w:r>
    </w:p>
    <w:p>
      <w:pPr>
        <w:spacing w:after="240" w:line="276" w:lineRule="auto"/>
        <w:jc w:val="left"/>
      </w:pPr>
      <w:r>
        <w:rPr>
          <w:rFonts w:ascii="Aptos" w:hAnsi="Aptos"/>
          <w:color w:val="000000"/>
          <w:sz w:val="24"/>
        </w:rPr>
        <w:t>[CUSTOMER NAME]'s Microsoft 365 tenant includes [COUNT] verified domain(s). [INSTRUCTIONS: Replace table below with actual domain configuration from customer tenant listing all verified domains with their authentication type and domain type.]</w:t>
      </w:r>
    </w:p>
    <w:tbl>
      <w:tblPr>
        <w:tblW w:type="auto" w:w="0"/>
        <w:tblLook w:firstColumn="1" w:firstRow="1" w:lastColumn="0" w:lastRow="0" w:noHBand="0" w:noVBand="1" w:val="04A0"/>
      </w:tblPr>
      <w:tblGrid>
        <w:gridCol w:w="1928"/>
        <w:gridCol w:w="1928"/>
        <w:gridCol w:w="1928"/>
        <w:gridCol w:w="1928"/>
        <w:gridCol w:w="1928"/>
      </w:tblGrid>
      <w:tr>
        <w:trPr>
          <w:tblHeader/>
        </w:trPr>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Domain</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Verified</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Authentication Type</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Domain Type</w:t>
            </w:r>
          </w:p>
        </w:tc>
        <w:tc>
          <w:tcPr>
            <w:tcW w:type="dxa" w:w="1928"/>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Default</w:t>
            </w:r>
          </w:p>
        </w:tc>
      </w:tr>
      <w:tr>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[DOMAIN.COM]</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TRUE/FALSE</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Managed/Federated</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Authoritative/Internal Relay</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TRUE/FALSE</w:t>
            </w:r>
          </w:p>
        </w:tc>
      </w:tr>
      <w:tr>
        <w:tc>
          <w:tcPr>
            <w:tcW w:type="dxa" w:w="1928"/>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[DOMAIN.COM]</w:t>
            </w:r>
          </w:p>
        </w:tc>
        <w:tc>
          <w:tcPr>
            <w:tcW w:type="dxa" w:w="1928"/>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TRUE/FALSE</w:t>
            </w:r>
          </w:p>
        </w:tc>
        <w:tc>
          <w:tcPr>
            <w:tcW w:type="dxa" w:w="1928"/>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Managed/Federated</w:t>
            </w:r>
          </w:p>
        </w:tc>
        <w:tc>
          <w:tcPr>
            <w:tcW w:type="dxa" w:w="1928"/>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Authoritative/Internal Relay</w:t>
            </w:r>
          </w:p>
        </w:tc>
        <w:tc>
          <w:tcPr>
            <w:tcW w:type="dxa" w:w="1928"/>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TRUE/FALSE</w:t>
            </w:r>
          </w:p>
        </w:tc>
      </w:tr>
      <w:tr>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[DOMAIN.COM]</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TRUE/FALSE</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Managed/Federated</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Authoritative/Internal Relay</w:t>
            </w:r>
          </w:p>
        </w:tc>
        <w:tc>
          <w:tcPr>
            <w:tcW w:type="dxa" w:w="1928"/>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TRUE/FALSE</w:t>
            </w:r>
          </w:p>
        </w:tc>
      </w:tr>
    </w:tbl>
    <w:p>
      <w:pPr>
        <w:pStyle w:val="Heading2"/>
        <w:spacing w:line="240" w:lineRule="auto" w:before="360" w:after="80"/>
        <w:jc w:val="left"/>
      </w:pPr>
      <w:r>
        <w:rPr>
          <w:rFonts w:ascii="Aptos Display" w:hAnsi="Aptos Display"/>
        </w:rPr>
        <w:t>Domain Recommendations</w:t>
      </w:r>
    </w:p>
    <w:p>
      <w:pPr>
        <w:spacing w:after="240" w:line="276" w:lineRule="auto"/>
        <w:jc w:val="left"/>
      </w:pPr>
      <w:r>
        <w:rPr>
          <w:rFonts w:ascii="Aptos" w:hAnsi="Aptos"/>
          <w:color w:val="000000"/>
          <w:sz w:val="24"/>
        </w:rPr>
        <w:t>Maintain Current Domain Structure if all domains are verified and managed with no immediate issues. [INSTRUCTIONS: If issues exist, document specific remediation steps required.]</w:t>
      </w:r>
    </w:p>
    <w:p>
      <w:pPr>
        <w:pStyle w:val="Heading2"/>
        <w:spacing w:line="240" w:lineRule="auto" w:before="360" w:after="80"/>
        <w:jc w:val="left"/>
      </w:pPr>
      <w:r>
        <w:rPr>
          <w:rFonts w:ascii="Aptos Display" w:hAnsi="Aptos Display"/>
        </w:rPr>
        <w:t>DNS Configuration</w:t>
      </w:r>
    </w:p>
    <w:p>
      <w:pPr>
        <w:spacing w:after="240" w:line="276" w:lineRule="auto"/>
        <w:jc w:val="left"/>
      </w:pPr>
      <w:r>
        <w:rPr>
          <w:rFonts w:ascii="Aptos" w:hAnsi="Aptos"/>
          <w:color w:val="000000"/>
          <w:sz w:val="24"/>
        </w:rPr>
        <w:t>DNS records are properly configured for mail flow and domain resolution across all verified domains. [INSTRUCTIONS: Document NS Records and MX Records for primary domain. Note if DKIM is enabled and valid. Document current DMARC policy setting.]</w:t>
      </w:r>
    </w:p>
    <w:p>
      <w:pPr>
        <w:spacing w:after="240" w:line="276" w:lineRule="auto"/>
        <w:jc w:val="left"/>
      </w:pPr>
      <w:r>
        <w:rPr>
          <w:rFonts w:ascii="Aptos" w:hAnsi="Aptos"/>
          <w:color w:val="000000"/>
          <w:sz w:val="24"/>
        </w:rPr>
        <w:t>DKIM is [enabled and valid / not configured / configured with issues]. DMARC policy is set to '[none/quarantine/reject]' [INSTRUCTIONS: Note if there is a 'rua' or 'ruf' address to receive DMARC reports].</w:t>
      </w:r>
    </w:p>
    <w:p>
      <w:pPr>
        <w:pStyle w:val="Heading2"/>
        <w:spacing w:line="240" w:lineRule="auto" w:before="360" w:after="80"/>
        <w:jc w:val="left"/>
      </w:pPr>
      <w:r>
        <w:rPr>
          <w:rFonts w:ascii="Aptos Display" w:hAnsi="Aptos Display"/>
        </w:rPr>
        <w:t>DNS Recommendations</w:t>
      </w:r>
    </w:p>
    <w:p>
      <w:pPr>
        <w:spacing w:after="240" w:line="276" w:lineRule="auto"/>
        <w:jc w:val="left"/>
      </w:pPr>
      <w:r>
        <w:rPr>
          <w:rFonts w:ascii="Aptos" w:hAnsi="Aptos"/>
          <w:color w:val="000000"/>
          <w:sz w:val="24"/>
        </w:rPr>
        <w:t>Add a 'rua' value with a valid email to the DMARC record so admins receive external reports on SPF and DKIM alignment. Set the DMARC policy to 'quarantine' so that spoofed emails are moved to spam or junk folder with appropriate action taken. [INSTRUCTIONS: Progress toward 'reject' policy over time as DMARC reporting confirms legitimate mail flow is properly authenticated. Reference appendix section for DNS-DMARC best practices.]</w:t>
      </w:r>
    </w:p>
    <w:p>
      <w:pPr>
        <w:pStyle w:val="Heading1"/>
        <w:spacing w:line="240" w:lineRule="auto" w:after="240"/>
        <w:jc w:val="left"/>
      </w:pPr>
      <w:r>
        <w:rPr>
          <w:rFonts w:ascii="Aptos Display" w:hAnsi="Aptos Display"/>
        </w:rPr>
        <w:t>Offboarding Recommendation</w:t>
      </w:r>
    </w:p>
    <w:p>
      <w:pPr>
        <w:spacing w:after="240" w:line="276" w:lineRule="auto"/>
        <w:jc w:val="left"/>
      </w:pPr>
      <w:r>
        <w:rPr>
          <w:rFonts w:ascii="Aptos" w:hAnsi="Aptos"/>
          <w:color w:val="000000"/>
          <w:sz w:val="24"/>
        </w:rPr>
        <w:t>To ensure secure and consistent deprovisioning of users and devices, [CUSTOMER NAME] should implement a formal offboarding process aligned with Microsoft 365 best practices. This is especially important given [INSTRUCTIONS: reference specific findings like presence of inactive accounts, unmanaged devices, broad sharing permissions, etc.]</w:t>
      </w:r>
    </w:p>
    <w:p>
      <w:pPr>
        <w:pStyle w:val="Heading2"/>
        <w:spacing w:line="240" w:lineRule="auto" w:after="160"/>
        <w:jc w:val="left"/>
      </w:pPr>
      <w:r>
        <w:rPr>
          <w:rFonts w:ascii="Aptos Display" w:hAnsi="Aptos Display"/>
        </w:rPr>
        <w:t>Key Offboarding Objectives</w:t>
      </w:r>
    </w:p>
    <w:p>
      <w:pPr>
        <w:spacing w:line="276" w:lineRule="auto" w:after="240"/>
        <w:ind w:left="400" w:hanging="300"/>
      </w:pPr>
      <w:r>
        <w:t xml:space="preserve">• </w:t>
      </w:r>
      <w:r>
        <w:rPr>
          <w:rFonts w:ascii="Aptos" w:hAnsi="Aptos"/>
          <w:color w:val="000000"/>
          <w:sz w:val="24"/>
        </w:rPr>
        <w:t>Prevent unauthorized access to corporate data after user departure.</w:t>
      </w:r>
    </w:p>
    <w:p>
      <w:pPr>
        <w:spacing w:line="276" w:lineRule="auto" w:after="240"/>
        <w:ind w:left="400" w:hanging="300"/>
      </w:pPr>
      <w:r>
        <w:t xml:space="preserve">• </w:t>
      </w:r>
      <w:r>
        <w:rPr>
          <w:rFonts w:ascii="Aptos" w:hAnsi="Aptos"/>
          <w:color w:val="000000"/>
          <w:sz w:val="24"/>
        </w:rPr>
        <w:t>Secure and archive user data (mailbox, OneDrive, devices).</w:t>
      </w:r>
    </w:p>
    <w:p>
      <w:pPr>
        <w:spacing w:line="276" w:lineRule="auto" w:after="240"/>
        <w:ind w:left="400" w:hanging="300"/>
      </w:pPr>
      <w:r>
        <w:t xml:space="preserve">• </w:t>
      </w:r>
      <w:r>
        <w:rPr>
          <w:rFonts w:ascii="Aptos" w:hAnsi="Aptos"/>
          <w:color w:val="000000"/>
          <w:sz w:val="24"/>
        </w:rPr>
        <w:t>Reclaim and reassign licenses efficiently.</w:t>
      </w:r>
    </w:p>
    <w:p>
      <w:pPr>
        <w:spacing w:line="276" w:lineRule="auto" w:after="240"/>
        <w:ind w:left="400" w:hanging="300"/>
      </w:pPr>
      <w:r>
        <w:t xml:space="preserve">• </w:t>
      </w:r>
      <w:r>
        <w:rPr>
          <w:rFonts w:ascii="Aptos" w:hAnsi="Aptos"/>
          <w:color w:val="000000"/>
          <w:sz w:val="24"/>
        </w:rPr>
        <w:t>Maintain auditability and compliance.</w:t>
      </w:r>
    </w:p>
    <w:p>
      <w:pPr>
        <w:pStyle w:val="Heading2"/>
        <w:spacing w:line="240" w:lineRule="auto" w:after="160"/>
        <w:jc w:val="left"/>
      </w:pPr>
      <w:r>
        <w:rPr>
          <w:rFonts w:ascii="Aptos Display" w:hAnsi="Aptos Display"/>
        </w:rPr>
        <w:t>Recommended Offboarding Workflow</w:t>
      </w:r>
    </w:p>
    <w:p>
      <w:pPr>
        <w:spacing w:after="240" w:line="276" w:lineRule="auto"/>
        <w:jc w:val="left"/>
      </w:pPr>
      <w:r>
        <w:rPr>
          <w:rFonts w:ascii="Aptos" w:hAnsi="Aptos"/>
          <w:color w:val="000000"/>
          <w:sz w:val="24"/>
        </w:rPr>
        <w:t>[INSTRUCTIONS: The table below provides a standard 9-step offboarding workflow. Customize steps as needed for customer's specific requirements, tools, and processes. Add or remove steps based on whether organization uses Intune for device management, litigation hold requirements, compliance archiving needs, or other factors.]</w:t>
      </w:r>
    </w:p>
    <w:tbl>
      <w:tblPr>
        <w:tblW w:type="auto" w:w="0"/>
        <w:tblLook w:firstColumn="1" w:firstRow="1" w:lastColumn="0" w:lastRow="0" w:noHBand="0" w:noVBand="1" w:val="04A0"/>
      </w:tblPr>
      <w:tblGrid>
        <w:gridCol w:w="2409"/>
        <w:gridCol w:w="2409"/>
        <w:gridCol w:w="2409"/>
        <w:gridCol w:w="2409"/>
      </w:tblGrid>
      <w:tr>
        <w:trPr>
          <w:tblHeader/>
        </w:trPr>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Step</w:t>
            </w:r>
          </w:p>
        </w:tc>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Action</w:t>
            </w:r>
          </w:p>
        </w:tc>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Owner</w:t>
            </w:r>
          </w:p>
        </w:tc>
        <w:tc>
          <w:tcPr>
            <w:tcW w:type="dxa" w:w="2409"/>
            <w:shd w:val="clear" w:color="auto" w:fill="4472C4"/>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b/>
                <w:sz w:val="24"/>
              </w:rPr>
            </w:r>
            <w:r>
              <w:rPr>
                <w:rFonts w:ascii="Aptos" w:hAnsi="Aptos"/>
                <w:b/>
                <w:color w:val="FFFFFF"/>
                <w:sz w:val="24"/>
              </w:rPr>
              <w:t>Notes</w:t>
            </w:r>
          </w:p>
        </w:tc>
      </w:tr>
      <w:tr>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1</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Disable User Account</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IT Admin</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Block sign-in immediately in Entra ID; prevents authentication to all Microsoft 365 services.</w:t>
            </w:r>
          </w:p>
        </w:tc>
      </w:tr>
      <w:tr>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2</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Revoke Sessions &amp; MFA Tokens</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IT Admin</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Terminate all active sessions and revoke MFA tokens to force immediate logout from all devices.</w:t>
            </w:r>
          </w:p>
        </w:tc>
      </w:tr>
      <w:tr>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3</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Convert Mailbox to Shared</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Exchange Admin</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Preserve mailbox for 30-90 days without consuming a license; allows manager access for continuity.</w:t>
            </w:r>
          </w:p>
        </w:tc>
      </w:tr>
      <w:tr>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4</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Transfer OneDrive Ownership</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SharePoint Admin</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Grant manager access to OneDrive; migrate critical files to departmental SharePoint site.</w:t>
            </w:r>
          </w:p>
        </w:tc>
      </w:tr>
      <w:tr>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5</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Remove from Groups &amp; Teams</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IT Admin</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Remove user from all distribution lists, security groups, Teams, and SharePoint permissions.</w:t>
            </w:r>
          </w:p>
        </w:tc>
      </w:tr>
      <w:tr>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6</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Reclaim Licenses</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License Admin</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Remove assigned licenses after data preservation is complete to optimize subscription costs.</w:t>
            </w:r>
          </w:p>
        </w:tc>
      </w:tr>
      <w:tr>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7</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Wipe or Retire Devices</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Endpoint Admin</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If Intune-managed: issue remote wipe for company-owned devices or selective wipe for BYOD.</w:t>
            </w:r>
          </w:p>
        </w:tc>
      </w:tr>
      <w:tr>
        <w:tc>
          <w:tcPr>
            <w:tcW w:type="dxa" w:w="2409"/>
            <w:shd w:val="clear" w:color="auto" w:fill="D9E2F3"/>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8</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Review Guest Access</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Security Admin</w:t>
            </w:r>
          </w:p>
        </w:tc>
        <w:tc>
          <w:tcPr>
            <w:tcW w:type="dxa" w:w="2409"/>
            <w:shd w:val="clear" w:color="auto" w:fill="D9E2F3"/>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If user was invited as guest to other tenants, notify partner organizations to remove access.</w:t>
            </w:r>
          </w:p>
        </w:tc>
      </w:tr>
      <w:tr>
        <w:tc>
          <w:tcPr>
            <w:tcW w:type="dxa" w:w="2409"/>
            <w:shd w:val="clear" w:color="auto" w:fill="FFFFFF"/>
            <w:vAlign w:val="center"/>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center"/>
            </w:pPr>
            <w:r>
              <w:rPr>
                <w:rFonts w:ascii="Aptos" w:hAnsi="Aptos"/>
                <w:sz w:val="24"/>
              </w:rPr>
            </w:r>
            <w:r>
              <w:rPr>
                <w:rFonts w:ascii="Aptos" w:hAnsi="Aptos"/>
                <w:color w:val="000000"/>
                <w:sz w:val="24"/>
              </w:rPr>
              <w:t>9</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Document &amp; Archive</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IT Admin</w:t>
            </w:r>
          </w:p>
        </w:tc>
        <w:tc>
          <w:tcPr>
            <w:tcW w:type="dxa" w:w="2409"/>
            <w:shd w:val="clear" w:color="auto" w:fill="FFFFFF"/>
            <w:vAlign w:val="top"/>
            <w:tcMar>
              <w:top w:w="160" w:type="dxa"/>
              <w:left w:w="160" w:type="dxa"/>
              <w:bottom w:w="160" w:type="dxa"/>
              <w:right w:w="160" w:type="dxa"/>
            </w:tcMar>
            <w:tcBorders>
              <w:top w:val="single" w:sz="8" w:color="D3D3D3"/>
              <w:left w:val="single" w:sz="8" w:color="D3D3D3"/>
              <w:bottom w:val="single" w:sz="8" w:color="D3D3D3"/>
              <w:right w:val="single" w:sz="8" w:color="D3D3D3"/>
            </w:tcBorders>
          </w:tcPr>
          <w:p>
            <w:pPr>
              <w:spacing w:line="240" w:lineRule="auto" w:before="0" w:after="0"/>
              <w:jc w:val="left"/>
            </w:pPr>
            <w:r>
              <w:rPr>
                <w:rFonts w:ascii="Aptos" w:hAnsi="Aptos"/>
                <w:sz w:val="24"/>
              </w:rPr>
            </w:r>
            <w:r>
              <w:rPr>
                <w:rFonts w:ascii="Aptos" w:hAnsi="Aptos"/>
                <w:color w:val="000000"/>
                <w:sz w:val="24"/>
              </w:rPr>
              <w:t>Log offboarding completion with date, data disposition, and responsible approver for audit trail.</w:t>
            </w:r>
          </w:p>
        </w:tc>
      </w:tr>
    </w:tbl>
    <w:p>
      <w:pPr>
        <w:pStyle w:val="Heading2"/>
        <w:spacing w:line="240" w:lineRule="auto" w:before="240" w:after="160"/>
        <w:jc w:val="left"/>
      </w:pPr>
      <w:r>
        <w:rPr>
          <w:rFonts w:ascii="Aptos Display" w:hAnsi="Aptos Display"/>
        </w:rPr>
        <w:t>Supporting Observations from Environment Review</w:t>
      </w:r>
    </w:p>
    <w:p>
      <w:pPr>
        <w:spacing w:line="276" w:lineRule="auto" w:after="240"/>
        <w:ind w:left="400" w:hanging="300"/>
      </w:pPr>
      <w:r>
        <w:t xml:space="preserve">• </w:t>
      </w:r>
      <w:r>
        <w:rPr>
          <w:rFonts w:ascii="Aptos" w:hAnsi="Aptos"/>
          <w:color w:val="000000"/>
          <w:sz w:val="24"/>
        </w:rPr>
        <w:t>[COUNT] inactive member accounts and [COUNT] inactive guest accounts indicate a need for structured offboarding.</w:t>
      </w:r>
    </w:p>
    <w:p>
      <w:pPr>
        <w:spacing w:line="276" w:lineRule="auto" w:after="240"/>
        <w:ind w:left="400" w:hanging="300"/>
      </w:pPr>
      <w:r>
        <w:t xml:space="preserve">• </w:t>
      </w:r>
      <w:r>
        <w:rPr>
          <w:rFonts w:ascii="Aptos" w:hAnsi="Aptos"/>
          <w:color w:val="000000"/>
          <w:sz w:val="24"/>
        </w:rPr>
        <w:t>[PERCENTAGE]% of [PLATFORM] devices are stale or unmanaged, increasing the risk of orphaned device access.</w:t>
      </w:r>
    </w:p>
    <w:p>
      <w:pPr>
        <w:spacing w:line="276" w:lineRule="auto" w:after="240"/>
        <w:ind w:left="400" w:hanging="300"/>
      </w:pPr>
      <w:r>
        <w:t xml:space="preserve">• </w:t>
      </w:r>
      <w:r>
        <w:rPr>
          <w:rFonts w:ascii="Aptos" w:hAnsi="Aptos"/>
          <w:color w:val="000000"/>
          <w:sz w:val="24"/>
        </w:rPr>
        <w:t>[NOTE IF SSPR PROCESS EXISTS OR NOT] which could delay account recovery or create security gaps.</w:t>
      </w:r>
    </w:p>
    <w:p>
      <w:pPr>
        <w:pStyle w:val="Heading1"/>
        <w:spacing w:line="240" w:lineRule="auto" w:after="80"/>
        <w:jc w:val="left"/>
      </w:pPr>
      <w:r>
        <w:rPr>
          <w:rFonts w:ascii="Aptos Display" w:hAnsi="Aptos Display"/>
        </w:rPr>
        <w:t>Appendix: Device Management</w:t>
      </w:r>
    </w:p>
    <w:p>
      <w:pPr>
        <w:spacing w:after="160" w:line="276" w:lineRule="auto"/>
        <w:jc w:val="left"/>
      </w:pPr>
      <w:r>
        <w:rPr>
          <w:rFonts w:ascii="Aptos" w:hAnsi="Aptos"/>
          <w:color w:val="000000"/>
          <w:sz w:val="24"/>
        </w:rPr>
        <w:t>Device management is a critical aspect of maintaining security and compliance within an organization. Leveraging solutions such as Microsoft Intune and Conditional Access policies helps ensure that only devices meeting established standards are permitted access to corporate resources. Through consistent application of compliance requirements, organizations can reduce risk and better protect sensitive data.</w:t>
      </w:r>
    </w:p>
    <w:p>
      <w:pPr>
        <w:spacing w:after="160" w:line="276" w:lineRule="auto"/>
        <w:jc w:val="left"/>
      </w:pPr>
      <w:r>
        <w:rPr>
          <w:rFonts w:ascii="Aptos" w:hAnsi="Aptos"/>
          <w:color w:val="000000"/>
          <w:sz w:val="24"/>
        </w:rPr>
        <w:t>[INSTRUCTIONS: This appendix section provides reference material on device management best practices. Include links to Microsoft Learn documentation for requiring device compliance with Conditional Access, endpoint management services overview, and What is Microsoft Intune fundamentals. Customize this section with any customer-specific device management policies, compliance requirements, or implementation guidance.]</w:t>
      </w:r>
    </w:p>
    <w:p>
      <w:pPr>
        <w:pStyle w:val="Heading1"/>
        <w:spacing w:line="240" w:lineRule="auto" w:after="80"/>
        <w:jc w:val="left"/>
      </w:pPr>
      <w:r>
        <w:rPr>
          <w:rFonts w:ascii="Aptos Display" w:hAnsi="Aptos Display"/>
        </w:rPr>
        <w:t>Appendix: Entra Guest Access Best Practices</w:t>
      </w:r>
    </w:p>
    <w:p>
      <w:pPr>
        <w:spacing w:after="240" w:line="276" w:lineRule="auto"/>
        <w:jc w:val="left"/>
      </w:pPr>
      <w:r>
        <w:rPr>
          <w:rFonts w:ascii="Aptos" w:hAnsi="Aptos"/>
          <w:color w:val="000000"/>
          <w:sz w:val="24"/>
        </w:rPr>
        <w:t>Entra Guest Access allows organizations to securely collaborate with external users by providing them with controlled access to resources while maintaining organizational security and compliance. Administrators can configure policies to ensure that guests only have access to the necessary data and applications, and that their activities are monitored and audited. It is critical to balance ease of collaboration with strong security controls, such as requiring multi-factor authentication (MFA) for guests and regularly reviewing guest access rights.</w:t>
      </w:r>
    </w:p>
    <w:p>
      <w:pPr>
        <w:spacing w:after="240" w:line="276" w:lineRule="auto"/>
        <w:jc w:val="left"/>
      </w:pPr>
      <w:r>
        <w:rPr>
          <w:rFonts w:ascii="Aptos" w:hAnsi="Aptos"/>
          <w:color w:val="000000"/>
          <w:sz w:val="24"/>
        </w:rPr>
        <w:t>[INSTRUCTIONS: This appendix section provides reference material on Entra B2B guest access best practices. Include links to Microsoft Learn documentation for B2B best practices and recommendations, planning external collaboration with channel conversations and file collaboration, and creating a more secure guest sharing environment. Customize with any customer-specific external collaboration requirements or approved guest access workflows.]</w:t>
      </w:r>
    </w:p>
    <w:p>
      <w:pPr>
        <w:pStyle w:val="Heading1"/>
        <w:spacing w:line="240" w:lineRule="auto" w:after="240"/>
        <w:jc w:val="left"/>
      </w:pPr>
      <w:r>
        <w:rPr>
          <w:rFonts w:ascii="Aptos Display" w:hAnsi="Aptos Display"/>
        </w:rPr>
        <w:t>Appendix: Application Consent and Authentication Methods</w:t>
      </w:r>
    </w:p>
    <w:p>
      <w:pPr>
        <w:pStyle w:val="Heading2"/>
        <w:spacing w:line="240" w:lineRule="auto" w:after="200"/>
        <w:jc w:val="left"/>
      </w:pPr>
      <w:r>
        <w:rPr>
          <w:rFonts w:ascii="Aptos Display" w:hAnsi="Aptos Display"/>
        </w:rPr>
        <w:t>Application User Consent Management</w:t>
      </w:r>
    </w:p>
    <w:p>
      <w:pPr>
        <w:spacing w:after="240" w:line="276" w:lineRule="auto"/>
        <w:jc w:val="left"/>
      </w:pPr>
      <w:r>
        <w:rPr>
          <w:rFonts w:ascii="Aptos" w:hAnsi="Aptos"/>
          <w:color w:val="000000"/>
          <w:sz w:val="24"/>
        </w:rPr>
        <w:t>Application user consent refers to the process by which users grant permission for applications to access their data or perform actions on their behalf within Microsoft Entra ID. Administrators should carefully manage consent settings to prevent users from inadvertently granting permissions that could expose sensitive information or introduce security risks.</w:t>
      </w:r>
    </w:p>
    <w:p>
      <w:pPr>
        <w:spacing w:after="240" w:line="276" w:lineRule="auto"/>
        <w:jc w:val="left"/>
      </w:pPr>
      <w:r>
        <w:rPr>
          <w:rFonts w:ascii="Aptos" w:hAnsi="Aptos"/>
          <w:color w:val="000000"/>
          <w:sz w:val="24"/>
        </w:rPr>
        <w:t>It is recommended to restrict user consent to verified and trusted applications, review granted consents regularly, and leverage built-in monitoring tools to track and audit user consent activity.</w:t>
      </w:r>
    </w:p>
    <w:p>
      <w:pPr>
        <w:pStyle w:val="Heading3"/>
        <w:spacing w:line="240" w:lineRule="auto" w:after="160"/>
        <w:jc w:val="left"/>
      </w:pPr>
      <w:r>
        <w:rPr>
          <w:rFonts w:ascii="Aptos Display" w:hAnsi="Aptos Display"/>
        </w:rPr>
        <w:t>Recommended Resources</w:t>
      </w:r>
    </w:p>
    <w:p>
      <w:pPr>
        <w:spacing w:line="276" w:lineRule="auto" w:after="160"/>
        <w:ind w:left="400" w:hanging="300"/>
      </w:pPr>
      <w:r>
        <w:t xml:space="preserve">• </w:t>
      </w:r>
      <w:r>
        <w:rPr>
          <w:rFonts w:ascii="Aptos" w:hAnsi="Aptos"/>
          <w:color w:val="000000"/>
          <w:sz w:val="24"/>
        </w:rPr>
        <w:t>Microsoft Learn documentation for managing app consent policies</w:t>
      </w:r>
    </w:p>
    <w:p>
      <w:pPr>
        <w:spacing w:line="276" w:lineRule="auto" w:after="160"/>
        <w:ind w:left="400" w:hanging="300"/>
      </w:pPr>
      <w:r>
        <w:t xml:space="preserve">• </w:t>
      </w:r>
      <w:r>
        <w:rPr>
          <w:rFonts w:ascii="Aptos" w:hAnsi="Aptos"/>
          <w:color w:val="000000"/>
          <w:sz w:val="24"/>
        </w:rPr>
        <w:t>Microsoft-Apple collaboration guidance for Exchange Online security</w:t>
      </w:r>
    </w:p>
    <w:p>
      <w:pPr>
        <w:spacing w:line="276" w:lineRule="auto" w:after="160"/>
        <w:ind w:left="400" w:hanging="300"/>
      </w:pPr>
      <w:r>
        <w:t xml:space="preserve">• </w:t>
      </w:r>
      <w:r>
        <w:rPr>
          <w:rFonts w:ascii="Aptos" w:hAnsi="Aptos"/>
          <w:color w:val="000000"/>
          <w:sz w:val="24"/>
        </w:rPr>
        <w:t>Apple Internet Accounts Entra App admin consent requirements (for iOS devices with native Mail app)</w:t>
      </w:r>
    </w:p>
    <w:p>
      <w:pPr>
        <w:pStyle w:val="Heading2"/>
        <w:spacing w:line="240" w:lineRule="auto" w:before="360" w:after="200"/>
        <w:jc w:val="left"/>
      </w:pPr>
      <w:r>
        <w:rPr>
          <w:rFonts w:ascii="Aptos Display" w:hAnsi="Aptos Display"/>
        </w:rPr>
        <w:t>Authentication Methods Migration</w:t>
      </w:r>
    </w:p>
    <w:p>
      <w:pPr>
        <w:spacing w:after="240" w:line="276" w:lineRule="auto"/>
        <w:jc w:val="left"/>
      </w:pPr>
      <w:r>
        <w:rPr>
          <w:rFonts w:ascii="Aptos" w:hAnsi="Aptos"/>
          <w:color w:val="000000"/>
          <w:sz w:val="24"/>
        </w:rPr>
        <w:t>Migrating authentication methods involves transitioning from legacy authentication policies to the modern Authentication Methods policy in Microsoft Entra ID. This process ensures that organizations use the most secure, flexible, and manageable authentication features available, such as passwordless options, multi-factor authentication, and improved device registration.</w:t>
      </w:r>
    </w:p>
    <w:p>
      <w:pPr>
        <w:pStyle w:val="Heading3"/>
        <w:spacing w:line="240" w:lineRule="auto" w:after="160"/>
        <w:jc w:val="left"/>
      </w:pPr>
      <w:r>
        <w:rPr>
          <w:rFonts w:ascii="Aptos Display" w:hAnsi="Aptos Display"/>
        </w:rPr>
        <w:t>Key Resources for Authentication Migration</w:t>
      </w:r>
    </w:p>
    <w:p>
      <w:pPr>
        <w:spacing w:line="276" w:lineRule="auto" w:after="160"/>
        <w:ind w:left="400" w:hanging="300"/>
      </w:pPr>
      <w:r>
        <w:t xml:space="preserve">• </w:t>
      </w:r>
      <w:r>
        <w:rPr>
          <w:rFonts w:ascii="Aptos" w:hAnsi="Aptos"/>
          <w:color w:val="000000"/>
          <w:sz w:val="24"/>
        </w:rPr>
        <w:t>Microsoft Learn documentation for authentication methods and features</w:t>
      </w:r>
    </w:p>
    <w:p>
      <w:pPr>
        <w:spacing w:line="276" w:lineRule="auto" w:after="160"/>
        <w:ind w:left="400" w:hanging="300"/>
      </w:pPr>
      <w:r>
        <w:t xml:space="preserve">• </w:t>
      </w:r>
      <w:r>
        <w:rPr>
          <w:rFonts w:ascii="Aptos" w:hAnsi="Aptos"/>
          <w:color w:val="000000"/>
          <w:sz w:val="24"/>
        </w:rPr>
        <w:t>Migration guide: How to migrate to Authentication methods policy</w:t>
      </w:r>
    </w:p>
    <w:p>
      <w:pPr>
        <w:spacing w:line="276" w:lineRule="auto" w:after="160"/>
        <w:ind w:left="400" w:hanging="300"/>
      </w:pPr>
      <w:r>
        <w:t xml:space="preserve">• </w:t>
      </w:r>
      <w:r>
        <w:rPr>
          <w:rFonts w:ascii="Aptos" w:hAnsi="Aptos"/>
          <w:color w:val="000000"/>
          <w:sz w:val="24"/>
        </w:rPr>
        <w:t>Duo Two-Factor Authentication integration for Microsoft Entra ID</w:t>
      </w:r>
    </w:p>
    <w:p>
      <w:pPr>
        <w:spacing w:line="276" w:lineRule="auto" w:after="160"/>
        <w:ind w:left="400" w:hanging="300"/>
      </w:pPr>
      <w:r>
        <w:t xml:space="preserve">• </w:t>
      </w:r>
      <w:r>
        <w:rPr>
          <w:rFonts w:ascii="Aptos" w:hAnsi="Aptos"/>
          <w:color w:val="000000"/>
          <w:sz w:val="24"/>
        </w:rPr>
        <w:t>Configuration guide: Setting up Outlook account on iOS Mail app</w:t>
      </w:r>
    </w:p>
    <w:p>
      <w:pPr>
        <w:pStyle w:val="Heading2"/>
        <w:spacing w:line="240" w:lineRule="auto" w:after="240"/>
        <w:jc w:val="left"/>
      </w:pPr>
      <w:r>
        <w:rPr>
          <w:rFonts w:ascii="Aptos Display" w:hAnsi="Aptos Display"/>
        </w:rPr>
        <w:t>Appendix: Conditional Access and Privileged Identity Management</w:t>
      </w:r>
    </w:p>
    <w:p>
      <w:pPr>
        <w:spacing w:after="240" w:line="276" w:lineRule="auto"/>
        <w:jc w:val="left"/>
      </w:pPr>
      <w:r>
        <w:rPr>
          <w:rFonts w:ascii="Aptos" w:hAnsi="Aptos"/>
          <w:color w:val="000000"/>
          <w:sz w:val="24"/>
        </w:rPr>
        <w:t>When implementing Conditional Access, it is important to follow best practices to maximize security while ensuring user productivity. Begin by applying policies in report-only mode to monitor their impact before enforcing them, which helps prevent accidental lockouts. Regularly review and update Conditional Access policies to respond to evolving threats and organizational changes. Additionally, use named locations and device filters to tailor access requirements based on user roles, geographies, or device risk levels.</w:t>
      </w:r>
    </w:p>
    <w:p>
      <w:pPr>
        <w:spacing w:after="240" w:line="276" w:lineRule="auto"/>
        <w:jc w:val="left"/>
      </w:pPr>
      <w:r>
        <w:rPr>
          <w:rFonts w:ascii="Aptos" w:hAnsi="Aptos"/>
          <w:color w:val="000000"/>
          <w:sz w:val="24"/>
        </w:rPr>
        <w:t>[INSTRUCTIONS: Include links to Microsoft Learn documentation for Conditional Access overview, enforcing device compliance, blocking unsupported platforms, insights and reporting workbook, and troubleshooting with What If tool.]</w:t>
      </w:r>
    </w:p>
    <w:p>
      <w:pPr>
        <w:spacing w:after="240" w:line="276" w:lineRule="auto"/>
        <w:jc w:val="left"/>
      </w:pPr>
      <w:r>
        <w:rPr>
          <w:rFonts w:ascii="Aptos" w:hAnsi="Aptos"/>
          <w:color w:val="000000"/>
          <w:sz w:val="24"/>
        </w:rPr>
        <w:t>Privileged Identity Management (PIM) helps organizations ensure that privileged roles are assigned only when necessary and for the minimum required duration. By implementing just-in-time access, approval workflows, and comprehensive auditing, PIM reduces the risk of excessive, unnecessary, or misused access to critical resources.</w:t>
      </w:r>
    </w:p>
    <w:p>
      <w:pPr>
        <w:spacing w:after="240" w:line="276" w:lineRule="auto"/>
        <w:jc w:val="left"/>
      </w:pPr>
      <w:r>
        <w:rPr>
          <w:rFonts w:ascii="Aptos" w:hAnsi="Aptos"/>
          <w:color w:val="000000"/>
          <w:sz w:val="24"/>
        </w:rPr>
        <w:t>[INSTRUCTIONS: Include link to Microsoft Learn documentation for What is Privileged Identity Management and PIM configuration guidance.]</w:t>
      </w:r>
    </w:p>
    <w:p>
      <w:pPr>
        <w:pStyle w:val="Heading1"/>
        <w:spacing w:line="240" w:lineRule="auto" w:after="240"/>
        <w:jc w:val="left"/>
      </w:pPr>
      <w:r>
        <w:rPr>
          <w:rFonts w:ascii="Aptos Display" w:hAnsi="Aptos Display"/>
        </w:rPr>
        <w:t>Appendix: Exchange Online Archives and SMTP Relay</w:t>
      </w:r>
    </w:p>
    <w:p>
      <w:pPr>
        <w:pStyle w:val="Heading2"/>
        <w:spacing w:line="240" w:lineRule="auto" w:after="200"/>
        <w:jc w:val="left"/>
      </w:pPr>
      <w:r>
        <w:rPr>
          <w:rFonts w:ascii="Aptos Display" w:hAnsi="Aptos Display"/>
        </w:rPr>
        <w:t>Exchange Online Archives and Retention Policies</w:t>
      </w:r>
    </w:p>
    <w:p>
      <w:pPr>
        <w:spacing w:after="240" w:line="276" w:lineRule="auto"/>
        <w:jc w:val="left"/>
      </w:pPr>
      <w:r>
        <w:rPr>
          <w:rFonts w:ascii="Aptos" w:hAnsi="Aptos"/>
          <w:color w:val="000000"/>
          <w:sz w:val="24"/>
        </w:rPr>
        <w:t>Exchange Online Archives and Retention Policies provide features that help organizations manage mailbox data efficiently while ensuring compliance with regulatory and business requirements. Archiving allows users to store older messages in an Online Archive mailbox, freeing up space in their primary mailbox and improving overall performance. Retention policies can be customized to automatically retain or delete emails based on organizational needs, helping to reduce risks associated with storing unnecessary or outdated information.</w:t>
      </w:r>
    </w:p>
    <w:p>
      <w:pPr>
        <w:spacing w:after="160" w:line="276" w:lineRule="auto"/>
        <w:jc w:val="left"/>
      </w:pPr>
      <w:r>
        <w:rPr>
          <w:rFonts w:ascii="Aptos" w:hAnsi="Aptos"/>
          <w:b/>
          <w:color w:val="000000"/>
          <w:sz w:val="24"/>
        </w:rPr>
        <w:t>Key Resources:</w:t>
      </w:r>
    </w:p>
    <w:p>
      <w:pPr>
        <w:spacing w:line="276" w:lineRule="auto" w:after="120"/>
        <w:ind w:left="400" w:hanging="300"/>
      </w:pPr>
      <w:r>
        <w:t xml:space="preserve">• </w:t>
      </w:r>
      <w:r>
        <w:rPr>
          <w:rFonts w:ascii="Aptos" w:hAnsi="Aptos"/>
          <w:color w:val="000000"/>
          <w:sz w:val="24"/>
        </w:rPr>
        <w:t>Managing permissions for recipients</w:t>
      </w:r>
    </w:p>
    <w:p>
      <w:pPr>
        <w:spacing w:line="276" w:lineRule="auto" w:after="120"/>
        <w:ind w:left="400" w:hanging="300"/>
      </w:pPr>
      <w:r>
        <w:t xml:space="preserve">• </w:t>
      </w:r>
      <w:r>
        <w:rPr>
          <w:rFonts w:ascii="Aptos" w:hAnsi="Aptos"/>
          <w:color w:val="000000"/>
          <w:sz w:val="24"/>
        </w:rPr>
        <w:t>Managing email storage with In-Place/Online Archive mailboxes</w:t>
      </w:r>
    </w:p>
    <w:p>
      <w:pPr>
        <w:spacing w:line="276" w:lineRule="auto" w:after="120"/>
        <w:ind w:left="400" w:hanging="300"/>
      </w:pPr>
      <w:r>
        <w:t xml:space="preserve">• </w:t>
      </w:r>
      <w:r>
        <w:rPr>
          <w:rFonts w:ascii="Aptos" w:hAnsi="Aptos"/>
          <w:color w:val="000000"/>
          <w:sz w:val="24"/>
        </w:rPr>
        <w:t>Learning about retention for Exchange</w:t>
      </w:r>
    </w:p>
    <w:p>
      <w:pPr>
        <w:spacing w:line="276" w:lineRule="auto" w:after="120"/>
        <w:ind w:left="400" w:hanging="300"/>
      </w:pPr>
      <w:r>
        <w:t xml:space="preserve">• </w:t>
      </w:r>
      <w:r>
        <w:rPr>
          <w:rFonts w:ascii="Aptos" w:hAnsi="Aptos"/>
          <w:color w:val="000000"/>
          <w:sz w:val="24"/>
        </w:rPr>
        <w:t>Default retention policy</w:t>
      </w:r>
    </w:p>
    <w:p>
      <w:pPr>
        <w:spacing w:line="276" w:lineRule="auto" w:after="120"/>
        <w:ind w:left="400" w:hanging="300"/>
      </w:pPr>
      <w:r>
        <w:t xml:space="preserve">• </w:t>
      </w:r>
      <w:r>
        <w:rPr>
          <w:rFonts w:ascii="Aptos" w:hAnsi="Aptos"/>
          <w:color w:val="000000"/>
          <w:sz w:val="24"/>
        </w:rPr>
        <w:t>Creating a retention policy</w:t>
      </w:r>
    </w:p>
    <w:p>
      <w:pPr>
        <w:spacing w:line="276" w:lineRule="auto" w:after="120"/>
        <w:ind w:left="400" w:hanging="300"/>
      </w:pPr>
      <w:r>
        <w:t xml:space="preserve">• </w:t>
      </w:r>
      <w:r>
        <w:rPr>
          <w:rFonts w:ascii="Aptos" w:hAnsi="Aptos"/>
          <w:color w:val="000000"/>
          <w:sz w:val="24"/>
        </w:rPr>
        <w:t>Applying retention policy to mailboxes</w:t>
      </w:r>
    </w:p>
    <w:p>
      <w:pPr>
        <w:spacing w:line="276" w:lineRule="auto" w:after="120"/>
        <w:ind w:left="400" w:hanging="300"/>
      </w:pPr>
      <w:r>
        <w:t xml:space="preserve">• </w:t>
      </w:r>
      <w:r>
        <w:rPr>
          <w:rFonts w:ascii="Aptos" w:hAnsi="Aptos"/>
          <w:color w:val="000000"/>
          <w:sz w:val="24"/>
        </w:rPr>
        <w:t>Auto-archiving configuration</w:t>
      </w:r>
    </w:p>
    <w:p>
      <w:pPr>
        <w:spacing w:after="360" w:line="276" w:lineRule="auto"/>
        <w:jc w:val="left"/>
      </w:pPr>
      <w:r>
        <w:rPr>
          <w:rFonts w:ascii="Aptos" w:hAnsi="Aptos"/>
          <w:color w:val="000000"/>
          <w:sz w:val="24"/>
        </w:rPr>
        <w:t>For detailed implementation guidance, refer to Microsoft Learn documentation covering these topics.</w:t>
      </w:r>
    </w:p>
    <w:p>
      <w:pPr>
        <w:pStyle w:val="Heading2"/>
        <w:spacing w:line="240" w:lineRule="auto" w:after="200"/>
        <w:jc w:val="left"/>
      </w:pPr>
      <w:r>
        <w:rPr>
          <w:rFonts w:ascii="Aptos Display" w:hAnsi="Aptos Display"/>
        </w:rPr>
        <w:t>Third-Party SMTP Relay Configuration</w:t>
      </w:r>
    </w:p>
    <w:p>
      <w:pPr>
        <w:spacing w:after="240" w:line="276" w:lineRule="auto"/>
        <w:jc w:val="left"/>
      </w:pPr>
      <w:r>
        <w:rPr>
          <w:rFonts w:ascii="Aptos" w:hAnsi="Aptos"/>
          <w:color w:val="000000"/>
          <w:sz w:val="24"/>
        </w:rPr>
        <w:t>When configuring third-party sending with Office 365, organizations often need to accommodate applications, devices, or services that must send email on behalf of users or systems. Common scenarios include networked printers, alerting platforms, or business applications that generate automated messages. It is essential to choose the appropriate configuration method—such as authenticated SMTP relay, direct send, or Office 365 SMTP relay—based on security requirements and the volume of messages.</w:t>
      </w:r>
    </w:p>
    <w:p>
      <w:pPr>
        <w:spacing w:after="160" w:line="276" w:lineRule="auto"/>
        <w:jc w:val="left"/>
      </w:pPr>
      <w:r>
        <w:rPr>
          <w:rFonts w:ascii="Aptos" w:hAnsi="Aptos"/>
          <w:b/>
          <w:color w:val="000000"/>
          <w:sz w:val="24"/>
        </w:rPr>
        <w:t>Configuration Scenarios:</w:t>
      </w:r>
    </w:p>
    <w:p>
      <w:pPr>
        <w:spacing w:line="276" w:lineRule="auto" w:after="120"/>
        <w:ind w:left="400" w:hanging="300"/>
      </w:pPr>
      <w:r>
        <w:t xml:space="preserve">• </w:t>
      </w:r>
      <w:r>
        <w:rPr>
          <w:rFonts w:ascii="Aptos" w:hAnsi="Aptos"/>
          <w:color w:val="000000"/>
          <w:sz w:val="24"/>
        </w:rPr>
        <w:t>Authenticated SMTP Relay: Requires authentication with a mailbox account, provides full delivery tracking</w:t>
      </w:r>
    </w:p>
    <w:p>
      <w:pPr>
        <w:spacing w:line="276" w:lineRule="auto" w:after="120"/>
        <w:ind w:left="400" w:hanging="300"/>
      </w:pPr>
      <w:r>
        <w:t xml:space="preserve">• </w:t>
      </w:r>
      <w:r>
        <w:rPr>
          <w:rFonts w:ascii="Aptos" w:hAnsi="Aptos"/>
          <w:color w:val="000000"/>
          <w:sz w:val="24"/>
        </w:rPr>
        <w:t>Direct Send: Limited to internal recipients, no authentication required, useful for internal notification systems</w:t>
      </w:r>
    </w:p>
    <w:p>
      <w:pPr>
        <w:spacing w:line="276" w:lineRule="auto" w:after="120"/>
        <w:ind w:left="400" w:hanging="300"/>
      </w:pPr>
      <w:r>
        <w:t xml:space="preserve">• </w:t>
      </w:r>
      <w:r>
        <w:rPr>
          <w:rFonts w:ascii="Aptos" w:hAnsi="Aptos"/>
          <w:color w:val="000000"/>
          <w:sz w:val="24"/>
        </w:rPr>
        <w:t>Office 365 SMTP Relay: Allows sending to external recipients without authentication when properly configured with connector</w:t>
      </w:r>
    </w:p>
    <w:p>
      <w:pPr>
        <w:spacing w:after="160" w:line="276" w:lineRule="auto"/>
        <w:jc w:val="left"/>
      </w:pPr>
      <w:r>
        <w:rPr>
          <w:rFonts w:ascii="Aptos" w:hAnsi="Aptos"/>
          <w:b/>
          <w:color w:val="000000"/>
          <w:sz w:val="24"/>
        </w:rPr>
        <w:t>Additional Resources:</w:t>
      </w:r>
    </w:p>
    <w:p>
      <w:pPr>
        <w:spacing w:line="276" w:lineRule="auto" w:after="120"/>
        <w:ind w:left="400" w:hanging="300"/>
      </w:pPr>
      <w:r>
        <w:t xml:space="preserve">• </w:t>
      </w:r>
      <w:r>
        <w:rPr>
          <w:rFonts w:ascii="Aptos" w:hAnsi="Aptos"/>
          <w:color w:val="000000"/>
          <w:sz w:val="24"/>
        </w:rPr>
        <w:t>How to set up multifunction device or application to send email using Microsoft 365</w:t>
      </w:r>
    </w:p>
    <w:p>
      <w:pPr>
        <w:spacing w:line="276" w:lineRule="auto" w:after="120"/>
        <w:ind w:left="400" w:hanging="300"/>
      </w:pPr>
      <w:r>
        <w:t xml:space="preserve">• </w:t>
      </w:r>
      <w:r>
        <w:rPr>
          <w:rFonts w:ascii="Aptos" w:hAnsi="Aptos"/>
          <w:color w:val="000000"/>
          <w:sz w:val="24"/>
        </w:rPr>
        <w:t>Managing high volume emails for Microsoft 365 in Exchange Online</w:t>
      </w:r>
    </w:p>
    <w:p>
      <w:pPr>
        <w:spacing w:line="276" w:lineRule="auto" w:after="120"/>
        <w:ind w:left="400" w:hanging="300"/>
      </w:pPr>
      <w:r>
        <w:t xml:space="preserve">• </w:t>
      </w:r>
      <w:r>
        <w:rPr>
          <w:rFonts w:ascii="Aptos" w:hAnsi="Aptos"/>
          <w:color w:val="000000"/>
          <w:sz w:val="24"/>
        </w:rPr>
        <w:t>Configuring connectors for SMTP relay</w:t>
      </w:r>
    </w:p>
    <w:p>
      <w:pPr>
        <w:spacing w:line="276" w:lineRule="auto" w:after="120"/>
        <w:ind w:left="400" w:hanging="300"/>
      </w:pPr>
      <w:r>
        <w:t xml:space="preserve">• </w:t>
      </w:r>
      <w:r>
        <w:rPr>
          <w:rFonts w:ascii="Aptos" w:hAnsi="Aptos"/>
          <w:color w:val="000000"/>
          <w:sz w:val="24"/>
        </w:rPr>
        <w:t>Troubleshooting email delivery issues</w:t>
      </w:r>
    </w:p>
    <w:p>
      <w:pPr>
        <w:spacing w:after="240" w:line="276" w:lineRule="auto"/>
        <w:jc w:val="left"/>
      </w:pPr>
      <w:r>
        <w:rPr>
          <w:rFonts w:ascii="Aptos" w:hAnsi="Aptos"/>
          <w:color w:val="000000"/>
          <w:sz w:val="24"/>
        </w:rPr>
        <w:t>Consult Microsoft Learn documentation for step-by-step configuration instructions and best practices for each scenario.</w:t>
      </w:r>
    </w:p>
    <w:p>
      <w:pPr>
        <w:pStyle w:val="Heading1"/>
        <w:spacing w:line="240" w:lineRule="auto" w:after="240"/>
        <w:jc w:val="left"/>
      </w:pPr>
      <w:r>
        <w:rPr>
          <w:rFonts w:ascii="Aptos Display" w:hAnsi="Aptos Display"/>
        </w:rPr>
        <w:t>Appendix: Microsoft Teams and SharePoint Online</w:t>
      </w:r>
    </w:p>
    <w:p>
      <w:pPr>
        <w:pStyle w:val="Heading2"/>
        <w:spacing w:line="240" w:lineRule="auto" w:after="160"/>
        <w:jc w:val="left"/>
      </w:pPr>
      <w:r>
        <w:rPr>
          <w:rFonts w:ascii="Aptos Display" w:hAnsi="Aptos Display"/>
        </w:rPr>
        <w:t>Microsoft Teams Governance</w:t>
      </w:r>
    </w:p>
    <w:p>
      <w:pPr>
        <w:spacing w:after="240" w:line="276" w:lineRule="auto"/>
        <w:jc w:val="left"/>
      </w:pPr>
      <w:r>
        <w:rPr>
          <w:rFonts w:ascii="Aptos" w:hAnsi="Aptos"/>
          <w:color w:val="000000"/>
          <w:sz w:val="24"/>
        </w:rPr>
        <w:t>Managing who can create Microsoft 365 Groups helps keep the number of Teams in your organization under control, making access management and data retention easier. In a Microsoft 365 tenant, Public Teams are open for anyone to see and join, whereas Private Teams need users to receive an invitation or approval first. To maintain a well-organized environment, it is advisable to establish clear naming conventions and guidelines for group creation. Administrators can limit group creation rights to specific users or departments, ensuring only necessary Teams are established. Regularly reviewing and archiving inactive Teams also supports effective data management and security within the organization.</w:t>
      </w:r>
    </w:p>
    <w:p>
      <w:pPr>
        <w:spacing w:after="160" w:line="276" w:lineRule="auto"/>
        <w:jc w:val="left"/>
      </w:pPr>
      <w:r>
        <w:rPr>
          <w:rFonts w:ascii="Aptos" w:hAnsi="Aptos"/>
          <w:b/>
          <w:color w:val="000000"/>
          <w:sz w:val="24"/>
        </w:rPr>
        <w:t>Related Microsoft Learn documentation:</w:t>
      </w:r>
    </w:p>
    <w:p>
      <w:pPr>
        <w:spacing w:line="276" w:lineRule="auto" w:after="240"/>
        <w:ind w:left="400" w:hanging="300"/>
      </w:pPr>
      <w:r>
        <w:t xml:space="preserve">• </w:t>
      </w:r>
      <w:r>
        <w:rPr>
          <w:rFonts w:ascii="Aptos" w:hAnsi="Aptos"/>
          <w:color w:val="000000"/>
          <w:sz w:val="24"/>
        </w:rPr>
        <w:t>Managing who can create Microsoft 365 Groups</w:t>
      </w:r>
    </w:p>
    <w:p>
      <w:pPr>
        <w:spacing w:line="276" w:lineRule="auto" w:after="240"/>
        <w:ind w:left="400" w:hanging="300"/>
      </w:pPr>
      <w:r>
        <w:t xml:space="preserve">• </w:t>
      </w:r>
      <w:r>
        <w:rPr>
          <w:rFonts w:ascii="Aptos" w:hAnsi="Aptos"/>
          <w:color w:val="000000"/>
          <w:sz w:val="24"/>
        </w:rPr>
        <w:t>Configuring Teams with three tiers of file sharing security</w:t>
      </w:r>
    </w:p>
    <w:p>
      <w:pPr>
        <w:spacing w:line="276" w:lineRule="auto" w:after="240"/>
        <w:ind w:left="400" w:hanging="300"/>
      </w:pPr>
      <w:r>
        <w:t xml:space="preserve">• </w:t>
      </w:r>
      <w:r>
        <w:rPr>
          <w:rFonts w:ascii="Aptos" w:hAnsi="Aptos"/>
          <w:color w:val="000000"/>
          <w:sz w:val="24"/>
        </w:rPr>
        <w:t>Setting up secure file and document sharing with Teams</w:t>
      </w:r>
    </w:p>
    <w:p>
      <w:pPr>
        <w:spacing w:line="276" w:lineRule="auto" w:after="240"/>
        <w:ind w:left="400" w:hanging="300"/>
      </w:pPr>
      <w:r>
        <w:t xml:space="preserve">• </w:t>
      </w:r>
      <w:r>
        <w:rPr>
          <w:rFonts w:ascii="Aptos" w:hAnsi="Aptos"/>
          <w:color w:val="000000"/>
          <w:sz w:val="24"/>
        </w:rPr>
        <w:t>Microsoft 365 group expiration policy</w:t>
      </w:r>
    </w:p>
    <w:p>
      <w:pPr>
        <w:pStyle w:val="Heading2"/>
        <w:spacing w:line="240" w:lineRule="auto" w:after="160"/>
        <w:jc w:val="left"/>
      </w:pPr>
      <w:r>
        <w:rPr>
          <w:rFonts w:ascii="Aptos Display" w:hAnsi="Aptos Display"/>
        </w:rPr>
        <w:t>SharePoint Online Collaboration</w:t>
      </w:r>
    </w:p>
    <w:p>
      <w:pPr>
        <w:spacing w:after="240" w:line="276" w:lineRule="auto"/>
        <w:jc w:val="left"/>
      </w:pPr>
      <w:r>
        <w:rPr>
          <w:rFonts w:ascii="Aptos" w:hAnsi="Aptos"/>
          <w:color w:val="000000"/>
          <w:sz w:val="24"/>
        </w:rPr>
        <w:t>SharePoint Online is a cloud-based collaboration platform that enables organizations to securely store, organize, and share documents and information. It provides robust tools for team sites, document libraries, and workflow automation, allowing users to work together efficiently from anywhere. With built-in integration to Microsoft 365 apps, SharePoint Online supports seamless collaboration and enhances productivity across departments.</w:t>
      </w:r>
    </w:p>
    <w:p>
      <w:pPr>
        <w:spacing w:after="160" w:line="276" w:lineRule="auto"/>
        <w:jc w:val="left"/>
      </w:pPr>
      <w:r>
        <w:rPr>
          <w:rFonts w:ascii="Aptos" w:hAnsi="Aptos"/>
          <w:b/>
          <w:color w:val="000000"/>
          <w:sz w:val="24"/>
        </w:rPr>
        <w:t>Related Microsoft Learn documentation:</w:t>
      </w:r>
    </w:p>
    <w:p>
      <w:pPr>
        <w:spacing w:line="276" w:lineRule="auto" w:after="240"/>
        <w:ind w:left="400" w:hanging="300"/>
      </w:pPr>
      <w:r>
        <w:t xml:space="preserve">• </w:t>
      </w:r>
      <w:r>
        <w:rPr>
          <w:rFonts w:ascii="Aptos" w:hAnsi="Aptos"/>
          <w:color w:val="000000"/>
          <w:sz w:val="24"/>
        </w:rPr>
        <w:t>Planning and deploying a file collaboration environment</w:t>
      </w:r>
    </w:p>
    <w:p>
      <w:pPr>
        <w:spacing w:line="276" w:lineRule="auto" w:after="240"/>
        <w:ind w:left="400" w:hanging="300"/>
      </w:pPr>
      <w:r>
        <w:t xml:space="preserve">• </w:t>
      </w:r>
      <w:r>
        <w:rPr>
          <w:rFonts w:ascii="Aptos" w:hAnsi="Aptos"/>
          <w:color w:val="000000"/>
          <w:sz w:val="24"/>
        </w:rPr>
        <w:t>Collaborating with guests in a site</w:t>
      </w:r>
    </w:p>
    <w:p>
      <w:pPr>
        <w:spacing w:line="276" w:lineRule="auto" w:after="240"/>
        <w:ind w:left="400" w:hanging="300"/>
      </w:pPr>
      <w:r>
        <w:t xml:space="preserve">• </w:t>
      </w:r>
      <w:r>
        <w:rPr>
          <w:rFonts w:ascii="Aptos" w:hAnsi="Aptos"/>
          <w:color w:val="000000"/>
          <w:sz w:val="24"/>
        </w:rPr>
        <w:t>Creating guidelines for site usage</w:t>
      </w:r>
    </w:p>
    <w:p>
      <w:pPr>
        <w:pStyle w:val="Heading1"/>
        <w:spacing w:line="240" w:lineRule="auto" w:after="240"/>
        <w:jc w:val="left"/>
      </w:pPr>
      <w:r>
        <w:rPr>
          <w:rFonts w:ascii="Aptos Display" w:hAnsi="Aptos Display"/>
        </w:rPr>
        <w:t>Appendix: DNS DMARC and OneDrive</w:t>
      </w:r>
    </w:p>
    <w:p>
      <w:pPr>
        <w:pStyle w:val="Heading2"/>
        <w:spacing w:line="240" w:lineRule="auto" w:after="200"/>
        <w:jc w:val="left"/>
      </w:pPr>
      <w:r>
        <w:rPr>
          <w:rFonts w:ascii="Aptos Display" w:hAnsi="Aptos Display"/>
        </w:rPr>
        <w:t>DMARC Records</w:t>
      </w:r>
    </w:p>
    <w:p>
      <w:pPr>
        <w:spacing w:after="240" w:line="276" w:lineRule="auto"/>
        <w:jc w:val="left"/>
      </w:pPr>
      <w:r>
        <w:rPr>
          <w:rFonts w:ascii="Aptos" w:hAnsi="Aptos"/>
          <w:color w:val="000000"/>
          <w:sz w:val="24"/>
        </w:rPr>
        <w:t>A DMARC record is a text-based entry in the DNS specifying your email domain's policy for evaluating SPF and/or DKIM authentication results. A DMARC record also instructs mail servers that process your email en route to its final destination to generate and send XML reports to the reporting address specified within the DMARC record.</w:t>
      </w:r>
    </w:p>
    <w:p>
      <w:pPr>
        <w:spacing w:after="240" w:line="276" w:lineRule="auto"/>
        <w:jc w:val="left"/>
      </w:pPr>
      <w:r>
        <w:rPr>
          <w:rFonts w:ascii="Aptos" w:hAnsi="Aptos"/>
          <w:b/>
          <w:color w:val="000000"/>
          <w:sz w:val="24"/>
        </w:rPr>
        <w:t>Key Resources:</w:t>
      </w:r>
      <w:r>
        <w:rPr>
          <w:rFonts w:ascii="Aptos" w:hAnsi="Aptos"/>
          <w:color w:val="000000"/>
          <w:sz w:val="24"/>
        </w:rPr>
        <w:t xml:space="preserve"> Microsoft Learn documentation includes comprehensive guides for using DMARC to validate email, dmarcian resources for understanding DMARC records, the difference between DMARC report types (RUA vs RUF), best practices for advancing DMARC policy, and guidance on DMARC policy modes (quarantine vs reject).</w:t>
      </w:r>
    </w:p>
    <w:p>
      <w:pPr>
        <w:pStyle w:val="Heading2"/>
        <w:spacing w:line="240" w:lineRule="auto" w:after="200"/>
        <w:jc w:val="left"/>
      </w:pPr>
      <w:r>
        <w:rPr>
          <w:rFonts w:ascii="Aptos Display" w:hAnsi="Aptos Display"/>
        </w:rPr>
        <w:t>OneDrive</w:t>
      </w:r>
    </w:p>
    <w:p>
      <w:pPr>
        <w:spacing w:after="240" w:line="276" w:lineRule="auto"/>
        <w:jc w:val="left"/>
      </w:pPr>
      <w:r>
        <w:rPr>
          <w:rFonts w:ascii="Aptos" w:hAnsi="Aptos"/>
          <w:color w:val="000000"/>
          <w:sz w:val="24"/>
        </w:rPr>
        <w:t>OneDrive is an integral part of Microsoft 365, providing users with personal cloud storage to securely save, access, and share files from any device. It supports real-time collaboration on documents and seamless integration with other Microsoft 365 apps, enhancing productivity and enabling efficient file management for both individuals and teams.</w:t>
      </w:r>
    </w:p>
    <w:p>
      <w:pPr>
        <w:spacing w:after="240" w:line="276" w:lineRule="auto"/>
        <w:jc w:val="left"/>
      </w:pPr>
      <w:r>
        <w:rPr>
          <w:rFonts w:ascii="Aptos" w:hAnsi="Aptos"/>
          <w:color w:val="000000"/>
          <w:sz w:val="24"/>
        </w:rPr>
        <w:t>OneDrive also includes powerful synchronization features, ensuring that users always have the latest version of their files available, whether they are working online or offline.</w:t>
      </w:r>
    </w:p>
    <w:p>
      <w:pPr>
        <w:spacing w:after="240" w:line="276" w:lineRule="auto"/>
        <w:jc w:val="left"/>
      </w:pPr>
      <w:r>
        <w:rPr>
          <w:rFonts w:ascii="Aptos" w:hAnsi="Aptos"/>
          <w:b/>
          <w:color w:val="000000"/>
          <w:sz w:val="24"/>
        </w:rPr>
        <w:t>Key Resources:</w:t>
      </w:r>
      <w:r>
        <w:rPr>
          <w:rFonts w:ascii="Aptos" w:hAnsi="Aptos"/>
          <w:color w:val="000000"/>
          <w:sz w:val="24"/>
        </w:rPr>
        <w:t xml:space="preserve"> Microsoft Learn documentation provides detailed OneDrive recommendations and guidance on changing the external sharing setting for a user's OneDrive.</w:t>
      </w:r>
    </w:p>
    <w:p>
      <w:pPr>
        <w:pStyle w:val="Heading1"/>
        <w:spacing w:line="240" w:lineRule="auto" w:after="240"/>
        <w:jc w:val="left"/>
      </w:pPr>
      <w:r>
        <w:rPr>
          <w:rFonts w:ascii="Aptos Display" w:hAnsi="Aptos Display"/>
        </w:rPr>
        <w:t>Appendix: Retention Policies and Data Loss Prevention</w:t>
      </w:r>
    </w:p>
    <w:p>
      <w:pPr>
        <w:spacing w:after="240" w:line="276" w:lineRule="auto"/>
        <w:jc w:val="left"/>
      </w:pPr>
      <w:r>
        <w:rPr>
          <w:rFonts w:ascii="Aptos" w:hAnsi="Aptos"/>
          <w:color w:val="000000"/>
          <w:sz w:val="24"/>
        </w:rPr>
        <w:t>Implementing Data Loss Prevention (DLP) and comprehensive retention policies in Microsoft 365 is a critical strategy for organizations seeking to prevent the accidental sharing or exposure of sensitive information. Through DLP policies, organizations can automatically detect, monitor, and protect data such as credit card numbers, social security details, and confidential business documents across platforms like email, SharePoint, OneDrive, and Teams. Administrators are empowered to customize these policies according to compliance requirements, ensuring a strong balance between security and collaboration while maintaining adherence to both local and federal regulations.</w:t>
      </w:r>
    </w:p>
    <w:p>
      <w:pPr>
        <w:spacing w:after="240" w:line="276" w:lineRule="auto"/>
        <w:jc w:val="left"/>
      </w:pPr>
      <w:r>
        <w:rPr>
          <w:rFonts w:ascii="Aptos" w:hAnsi="Aptos"/>
          <w:color w:val="000000"/>
          <w:sz w:val="24"/>
        </w:rPr>
        <w:t>Clear retention guidelines, combined with effective DLP controls, enable organizations to safeguard sensitive data, support eDiscovery needs, and demonstrate compliance during audits. DLP solutions identify, monitor, and automatically prevent inappropriate sharing of confidential information, minimizing the risk of unauthorized data exposure or loss. To ensure continued protection and compliance, it is recommended to regularly review and update both retention and DLP policies to keep pace with evolving business requirements and regulatory standards.</w:t>
      </w:r>
    </w:p>
    <w:p>
      <w:pPr>
        <w:pStyle w:val="Heading2"/>
        <w:spacing w:line="240" w:lineRule="auto" w:after="160"/>
        <w:jc w:val="left"/>
      </w:pPr>
      <w:r>
        <w:rPr>
          <w:rFonts w:ascii="Aptos Display" w:hAnsi="Aptos Display"/>
        </w:rPr>
        <w:t>Additional Resources</w:t>
      </w:r>
    </w:p>
    <w:p>
      <w:pPr>
        <w:spacing w:after="160" w:line="276" w:lineRule="auto"/>
        <w:jc w:val="left"/>
      </w:pPr>
      <w:r>
        <w:rPr>
          <w:rFonts w:ascii="Aptos" w:hAnsi="Aptos"/>
          <w:color w:val="000000"/>
          <w:sz w:val="24"/>
        </w:rPr>
        <w:t>For detailed guidance on implementing retention policies and data loss prevention in Microsoft 365, refer to the following Microsoft Learn documentation:</w:t>
      </w:r>
    </w:p>
    <w:p>
      <w:pPr>
        <w:spacing w:line="240" w:lineRule="auto" w:after="120"/>
        <w:ind w:left="400" w:hanging="300"/>
      </w:pPr>
      <w:r>
        <w:t xml:space="preserve">• </w:t>
      </w:r>
      <w:r>
        <w:rPr>
          <w:rFonts w:ascii="Aptos" w:hAnsi="Aptos"/>
          <w:sz w:val="24"/>
        </w:rPr>
        <w:t>Retention policies for Exchange Online</w:t>
      </w:r>
    </w:p>
    <w:p>
      <w:pPr>
        <w:spacing w:line="240" w:lineRule="auto" w:after="120"/>
        <w:ind w:left="400" w:hanging="300"/>
      </w:pPr>
      <w:r>
        <w:t xml:space="preserve">• </w:t>
      </w:r>
      <w:r>
        <w:rPr>
          <w:rFonts w:ascii="Aptos" w:hAnsi="Aptos"/>
          <w:sz w:val="24"/>
        </w:rPr>
        <w:t>Retention policies for SharePoint and OneDrive</w:t>
      </w:r>
    </w:p>
    <w:p>
      <w:pPr>
        <w:spacing w:line="240" w:lineRule="auto" w:after="120"/>
        <w:ind w:left="400" w:hanging="300"/>
      </w:pPr>
      <w:r>
        <w:t xml:space="preserve">• </w:t>
      </w:r>
      <w:r>
        <w:rPr>
          <w:rFonts w:ascii="Aptos" w:hAnsi="Aptos"/>
          <w:sz w:val="24"/>
        </w:rPr>
        <w:t>Retention policies for Microsoft Teams</w:t>
      </w:r>
    </w:p>
    <w:p>
      <w:pPr>
        <w:spacing w:line="240" w:lineRule="auto" w:after="120"/>
        <w:ind w:left="400" w:hanging="300"/>
      </w:pPr>
      <w:r>
        <w:t xml:space="preserve">• </w:t>
      </w:r>
      <w:r>
        <w:rPr>
          <w:rFonts w:ascii="Aptos" w:hAnsi="Aptos"/>
          <w:sz w:val="24"/>
        </w:rPr>
        <w:t>Getting started with data lifecycle management</w:t>
      </w:r>
    </w:p>
    <w:p>
      <w:pPr>
        <w:spacing w:line="240" w:lineRule="auto" w:after="120"/>
        <w:ind w:left="400" w:hanging="300"/>
      </w:pPr>
      <w:r>
        <w:t xml:space="preserve">• </w:t>
      </w:r>
      <w:r>
        <w:rPr>
          <w:rFonts w:ascii="Aptos" w:hAnsi="Aptos"/>
          <w:sz w:val="24"/>
        </w:rPr>
        <w:t>Automatically retaining or deleting content using retention policies</w:t>
      </w:r>
    </w:p>
    <w:p>
      <w:pPr>
        <w:spacing w:line="240" w:lineRule="auto" w:after="120"/>
        <w:ind w:left="400" w:hanging="300"/>
      </w:pPr>
      <w:r>
        <w:t xml:space="preserve">• </w:t>
      </w:r>
      <w:r>
        <w:rPr>
          <w:rFonts w:ascii="Aptos" w:hAnsi="Aptos"/>
          <w:sz w:val="24"/>
        </w:rPr>
        <w:t>Learning about data loss prevention</w:t>
      </w:r>
    </w:p>
    <w:p>
      <w:pPr>
        <w:spacing w:line="240" w:lineRule="auto" w:after="120"/>
        <w:ind w:left="400" w:hanging="300"/>
      </w:pPr>
      <w:r>
        <w:t xml:space="preserve">• </w:t>
      </w:r>
      <w:r>
        <w:rPr>
          <w:rFonts w:ascii="Aptos" w:hAnsi="Aptos"/>
          <w:sz w:val="24"/>
        </w:rPr>
        <w:t>Getting started with endpoint data loss prevention</w:t>
      </w:r>
    </w:p>
    <w:p>
      <w:pPr>
        <w:spacing w:line="240" w:lineRule="auto" w:after="120"/>
        <w:ind w:left="400" w:hanging="300"/>
      </w:pPr>
      <w:r>
        <w:t xml:space="preserve">• </w:t>
      </w:r>
      <w:r>
        <w:rPr>
          <w:rFonts w:ascii="Aptos" w:hAnsi="Aptos"/>
          <w:sz w:val="24"/>
        </w:rPr>
        <w:t>Creating and deploying a DLP policy</w:t>
      </w:r>
    </w:p>
    <w:p>
      <w:pPr>
        <w:spacing w:line="240" w:lineRule="auto" w:after="120"/>
        <w:ind w:left="400" w:hanging="300"/>
      </w:pPr>
      <w:r>
        <w:t xml:space="preserve">• </w:t>
      </w:r>
      <w:r>
        <w:rPr>
          <w:rFonts w:ascii="Aptos" w:hAnsi="Aptos"/>
          <w:sz w:val="24"/>
        </w:rPr>
        <w:t>DLP policy tips reference</w:t>
      </w:r>
    </w:p>
    <w:p>
      <w:pPr>
        <w:pStyle w:val="Heading1"/>
        <w:spacing w:line="240" w:lineRule="auto" w:after="240"/>
        <w:jc w:val="left"/>
      </w:pPr>
      <w:r>
        <w:rPr>
          <w:rFonts w:ascii="Aptos Display" w:hAnsi="Aptos Display"/>
        </w:rPr>
        <w:t>Appendix: Pass-Through Authentication and Password Writeback</w:t>
      </w:r>
    </w:p>
    <w:p>
      <w:pPr>
        <w:pStyle w:val="Heading2"/>
        <w:spacing w:line="240" w:lineRule="auto" w:after="200"/>
        <w:jc w:val="left"/>
      </w:pPr>
      <w:r>
        <w:rPr>
          <w:rFonts w:ascii="Aptos Display" w:hAnsi="Aptos Display"/>
        </w:rPr>
        <w:t>Pass-Through Authentication (PTA)</w:t>
      </w:r>
    </w:p>
    <w:p>
      <w:pPr>
        <w:spacing w:after="240" w:line="276" w:lineRule="auto"/>
        <w:jc w:val="left"/>
      </w:pPr>
      <w:r>
        <w:rPr>
          <w:rFonts w:ascii="Aptos" w:hAnsi="Aptos"/>
          <w:color w:val="000000"/>
          <w:sz w:val="24"/>
        </w:rPr>
        <w:t>Pass-Through Authentication (PTA) with AD Sync enables users to sign in to both on-premises and cloud resources using the same credentials, without the need for complex federation setups. With PTA, authentication requests are securely validated against the on-premises Active Directory, providing a seamless user experience while maintaining strong security and compliance controls. Administrators should ensure high availability by deploying multiple authentication agents and regularly monitoring authentication logs to detect any anomalies or issues.</w:t>
      </w:r>
    </w:p>
    <w:p>
      <w:pPr>
        <w:spacing w:after="240" w:line="276" w:lineRule="auto"/>
        <w:jc w:val="left"/>
      </w:pPr>
      <w:r>
        <w:rPr>
          <w:rFonts w:ascii="Aptos" w:hAnsi="Aptos"/>
          <w:color w:val="000000"/>
          <w:sz w:val="24"/>
        </w:rPr>
        <w:t>[INSTRUCTIONS: Include links to Microsoft Learn documentation for Microsoft Entra Connect Pass-through Authentication overview and quickstart guide.]</w:t>
      </w:r>
    </w:p>
    <w:p>
      <w:pPr>
        <w:pStyle w:val="Heading2"/>
        <w:spacing w:line="240" w:lineRule="auto" w:after="200"/>
        <w:jc w:val="left"/>
      </w:pPr>
      <w:r>
        <w:rPr>
          <w:rFonts w:ascii="Aptos Display" w:hAnsi="Aptos Display"/>
        </w:rPr>
        <w:t>Password Writeback with AD Sync</w:t>
      </w:r>
    </w:p>
    <w:p>
      <w:pPr>
        <w:spacing w:after="240" w:line="276" w:lineRule="auto"/>
        <w:jc w:val="left"/>
      </w:pPr>
      <w:r>
        <w:rPr>
          <w:rFonts w:ascii="Aptos" w:hAnsi="Aptos"/>
          <w:color w:val="000000"/>
          <w:sz w:val="24"/>
        </w:rPr>
        <w:t>Password Writeback with AD Sync allows users to reset or change their passwords in the cloud and have those changes automatically synchronized back to the on-premises Active Directory. This functionality helps organizations maintain consistent credential management across hybrid environments, reducing helpdesk calls and improving user productivity. Self-Service Password Reset (SSPR) empowers users to securely reset their own passwords without administrator intervention, using multi-factor authentication and customizable verification methods to ensure security and compliance.</w:t>
      </w:r>
    </w:p>
    <w:p>
      <w:pPr>
        <w:spacing w:after="240" w:line="276" w:lineRule="auto"/>
        <w:jc w:val="left"/>
      </w:pPr>
      <w:r>
        <w:rPr>
          <w:rFonts w:ascii="Aptos" w:hAnsi="Aptos"/>
          <w:color w:val="000000"/>
          <w:sz w:val="24"/>
        </w:rPr>
        <w:t>[INSTRUCTIONS: Include links to Microsoft Learn documentation for self-service password reset deep dive, on-premises password writeback with SSPR, enabling Microsoft Entra password writeback, and enabling Microsoft Entra self-service password reset.]</w:t>
      </w:r>
    </w:p>
    <w:p>
      <w:pPr>
        <w:pStyle w:val="Heading2"/>
        <w:keepNext/>
        <w:spacing w:line="240" w:lineRule="auto" w:before="360" w:after="240"/>
        <w:jc w:val="left"/>
      </w:pPr>
      <w:r>
        <w:rPr>
          <w:rFonts w:ascii="Aptos Display" w:hAnsi="Aptos Display"/>
        </w:rPr>
        <w:t>References</w:t>
      </w:r>
    </w:p>
    <w:p>
      <w:pPr>
        <w:spacing w:after="120" w:line="312" w:lineRule="auto"/>
        <w:ind w:left="567" w:hanging="567"/>
        <w:jc w:val="left"/>
      </w:pPr>
      <w:r>
        <w:rPr>
          <w:rFonts w:ascii="Aptos" w:hAnsi="Aptos"/>
          <w:color w:val="333333"/>
          <w:sz w:val="24"/>
        </w:rPr>
        <w:t xml:space="preserve">[1] </w:t>
      </w:r>
      <w:hyperlink r:id="rId13">
        <w:r>
          <w:rPr>
            <w:color w:val="333333"/>
            <w:u w:val="single"/>
            <w:sz w:val="24"/>
            <w:szCs w:val="24"/>
            <w:rFonts w:ascii="Aptos" w:hAnsi="Aptos"/>
          </w:rPr>
          <w:t xml:space="preserve">2576 - ChesterWater Microsoft 365 Tenant Best Practices – Assessment.docx</w:t>
        </w:r>
      </w:hyperlink>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Page </w:t>
    </w:r>
    <w:r>
      <w:rPr>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sz w:val="18"/>
      </w:rPr>
      <w:t>Microsoft 365 Tenant Best Practices Assessment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Aptos" w:hAnsi="Aptos" w:eastAsia="Aptos" w:cs="Aptos"/>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Aptos Display" w:hAnsi="Aptos Display" w:eastAsia="Aptos Display" w:cs="Aptos Display"/>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Aptos Display" w:hAnsi="Aptos Display" w:eastAsia="Aptos Display" w:cs="Aptos Display"/>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Aptos Display" w:hAnsi="Aptos Display" w:eastAsia="Aptos Display" w:cs="Aptos Display"/>
      <w:b w:val="0"/>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rFonts w:asciiTheme="majorHAnsi" w:eastAsiaTheme="majorEastAsia" w:hAnsiTheme="majorHAnsi" w:cstheme="majorBidi" w:ascii="Aptos Display" w:hAnsi="Aptos Display" w:eastAsia="Aptos Display" w:cs="Aptos Display"/>
      <w:b w:val="0"/>
      <w:bCs/>
      <w:i/>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rFonts w:asciiTheme="majorHAnsi" w:eastAsiaTheme="majorEastAsia" w:hAnsiTheme="majorHAnsi" w:cstheme="majorBidi" w:ascii="Aptos Display" w:hAnsi="Aptos Display" w:eastAsia="Aptos Display" w:cs="Aptos Display"/>
      <w:b w:val="0"/>
      <w:color w:val="2F5496"/>
      <w:sz w:val="20"/>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rFonts w:asciiTheme="majorHAnsi" w:eastAsiaTheme="majorEastAsia" w:hAnsiTheme="majorHAnsi" w:cstheme="majorBidi" w:ascii="Aptos Display" w:hAnsi="Aptos Display" w:eastAsia="Aptos Display" w:cs="Aptos Display"/>
      <w:b w:val="0"/>
      <w:i/>
      <w:iCs/>
      <w:color w:val="2F5496"/>
      <w:sz w:val="20"/>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pPr>
      <w:spacing w:line="240" w:lineRule="auto"/>
    </w:p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s="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pPr>
    <w:rPr>
      <w:rFonts w:asciiTheme="majorHAnsi" w:eastAsiaTheme="majorEastAsia" w:hAnsiTheme="majorHAnsi" w:cstheme="majorBidi" w:ascii="Aptos" w:hAnsi="Aptos" w:eastAsia="Aptos" w:cs="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40" w:lineRule="auto"/>
      <w:ind w:left="720"/>
      <w:contextualSpacing/>
    </w:pPr>
  </w:style>
  <w:style w:type="paragraph" w:styleId="BodyText">
    <w:name w:val="Body Text"/>
    <w:basedOn w:val="Normal"/>
    <w:link w:val="BodyTextChar"/>
    <w:uiPriority w:val="99"/>
    <w:unhideWhenUsed/>
    <w:rsid w:val="00AA1D8D"/>
    <w:pPr>
      <w:spacing w:after="12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40" w:lineRule="auto"/>
      <w:ind w:left="360" w:hanging="360"/>
      <w:contextualSpacing/>
    </w:pPr>
  </w:style>
  <w:style w:type="paragraph" w:styleId="List2">
    <w:name w:val="List 2"/>
    <w:basedOn w:val="Normal"/>
    <w:uiPriority w:val="99"/>
    <w:unhideWhenUsed/>
    <w:rsid w:val="00326F90"/>
    <w:pPr>
      <w:spacing w:line="240" w:lineRule="auto"/>
      <w:ind w:left="720" w:hanging="360"/>
      <w:contextualSpacing/>
    </w:pPr>
  </w:style>
  <w:style w:type="paragraph" w:styleId="List3">
    <w:name w:val="List 3"/>
    <w:basedOn w:val="Normal"/>
    <w:uiPriority w:val="99"/>
    <w:unhideWhenUsed/>
    <w:rsid w:val="00326F90"/>
    <w:pPr>
      <w:spacing w:line="240" w:lineRule="auto"/>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style>
  <w:style w:type="paragraph" w:styleId="ListBullet2">
    <w:name w:val="List Bullet 2"/>
    <w:basedOn w:val="Normal"/>
    <w:uiPriority w:val="99"/>
    <w:unhideWhenUsed/>
    <w:rsid w:val="00326F90"/>
    <w:pPr>
      <w:numPr>
        <w:numId w:val="2"/>
      </w:numPr>
      <w:spacing w:line="240" w:lineRule="auto"/>
      <w:contextualSpacing/>
    </w:pPr>
  </w:style>
  <w:style w:type="paragraph" w:styleId="ListBullet3">
    <w:name w:val="List Bullet 3"/>
    <w:basedOn w:val="Normal"/>
    <w:uiPriority w:val="99"/>
    <w:unhideWhenUsed/>
    <w:rsid w:val="00326F90"/>
    <w:pPr>
      <w:numPr>
        <w:numId w:val="3"/>
      </w:numPr>
      <w:spacing w:line="240" w:lineRule="auto"/>
      <w:contextualSpacing/>
    </w:pPr>
  </w:style>
  <w:style w:type="paragraph" w:styleId="ListNumber">
    <w:name w:val="List Number"/>
    <w:basedOn w:val="Normal"/>
    <w:uiPriority w:val="99"/>
    <w:unhideWhenUsed/>
    <w:rsid w:val="00326F90"/>
    <w:pPr>
      <w:numPr>
        <w:numId w:val="5"/>
      </w:numPr>
      <w:spacing w:line="240" w:lineRule="auto"/>
      <w:contextualSpacing/>
    </w:pPr>
  </w:style>
  <w:style w:type="paragraph" w:styleId="ListNumber2">
    <w:name w:val="List Number 2"/>
    <w:basedOn w:val="Normal"/>
    <w:uiPriority w:val="99"/>
    <w:unhideWhenUsed/>
    <w:rsid w:val="0029639D"/>
    <w:pPr>
      <w:numPr>
        <w:numId w:val="6"/>
      </w:numPr>
      <w:spacing w:line="240" w:lineRule="auto"/>
      <w:contextualSpacing/>
    </w:pPr>
  </w:style>
  <w:style w:type="paragraph" w:styleId="ListNumber3">
    <w:name w:val="List Number 3"/>
    <w:basedOn w:val="Normal"/>
    <w:uiPriority w:val="99"/>
    <w:unhideWhenUsed/>
    <w:rsid w:val="0029639D"/>
    <w:pPr>
      <w:numPr>
        <w:numId w:val="7"/>
      </w:numPr>
      <w:spacing w:line="240" w:lineRule="auto"/>
      <w:contextualSpacing/>
    </w:pPr>
  </w:style>
  <w:style w:type="paragraph" w:styleId="ListContinue">
    <w:name w:val="List Continue"/>
    <w:basedOn w:val="Normal"/>
    <w:uiPriority w:val="99"/>
    <w:unhideWhenUsed/>
    <w:rsid w:val="0029639D"/>
    <w:pPr>
      <w:spacing w:after="120" w:line="240" w:lineRule="auto"/>
      <w:ind w:left="360"/>
      <w:contextualSpacing/>
    </w:pPr>
  </w:style>
  <w:style w:type="paragraph" w:styleId="ListContinue2">
    <w:name w:val="List Continue 2"/>
    <w:basedOn w:val="Normal"/>
    <w:uiPriority w:val="99"/>
    <w:unhideWhenUsed/>
    <w:rsid w:val="0029639D"/>
    <w:pPr>
      <w:spacing w:after="120" w:line="240" w:lineRule="auto"/>
      <w:ind w:left="720"/>
      <w:contextualSpacing/>
    </w:pPr>
  </w:style>
  <w:style w:type="paragraph" w:styleId="ListContinue3">
    <w:name w:val="List Continue 3"/>
    <w:basedOn w:val="Normal"/>
    <w:uiPriority w:val="99"/>
    <w:unhideWhenUsed/>
    <w:rsid w:val="0029639D"/>
    <w:pPr>
      <w:spacing w:after="12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raya.sharepoint.com/sites/ChesterWaterAuthority/Shared Documents/PRJ002576 - M365 Tenant Best Practices Analysis FF/Technical Documentation/Deliverables/2576 - ChesterWater Microsoft 365 Tenant Best Practices &#8211; Assessme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aa20129-da64-4ee2-b4ec-9fbb216afd96}" enabled="1" method="Standard" siteId="{d425f6d3-b106-4ed0-b23f-fea013abd0b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