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Dimensionamiento del backhaul mayorista de una OLT GPON</w:t>
      </w:r>
    </w:p>
    <w:p>
      <w:r>
        <w:t>Procedimiento técnico y caso de estudio: 8 puertos GPON, 64 abonados efectivos por puerto (512 abonados en servicio).</w:t>
      </w:r>
    </w:p>
    <w:p>
      <w:r>
        <w:t>Objeto. Estimar la conectividad que debe contratar un operador FTTH a un proveedor mayorista, diferenciando capacidad comercial, tráfico simultáneo, overbooking, capacidad de cada árbol GPON y capacidad de los uplinks Ethernet.</w:t>
      </w:r>
    </w:p>
    <w:p>
      <w:pPr>
        <w:pStyle w:val="Heading1"/>
      </w:pPr>
      <w:r>
        <w:t>1. Alcance y arquitectura</w:t>
      </w:r>
    </w:p>
    <w:p>
      <w:r>
        <w:t>Cadena funcional: proveedor mayorista / Internet → router de borde o BNG → agregación y uplink Ethernet → OLT → 8 puertos GPON → ODN con divisores ópticos → 64 ONT por puerto. El enlace mayorista puede compartir infraestructura con otros nodos; en tal caso se dimensiona el tráfico agregado de todos ellos.</w:t>
      </w:r>
    </w:p>
    <w:p>
      <w:r>
        <w:t>La velocidad nominal de cada puerto GPON es 2,488 Gbit/s descendentes y 1,244 Gbit/s ascendentes; la capacidad útil es inferior por la sobrecarga de protocolos. El uplink de la OLT y el enlace mayorista son recursos distintos y deben verificarse por separado.</w:t>
      </w:r>
    </w:p>
    <w:p>
      <w:pPr>
        <w:pStyle w:val="Heading1"/>
      </w:pPr>
      <w:r>
        <w:t>2. Definiciones de simultaneidad y overbooking</w:t>
      </w:r>
    </w:p>
    <w:p>
      <w:r>
        <w:t>Factor de simultaneidad (Fs): cociente entre la demanda agregada en hora pico y la suma de las velocidades comerciales contratadas, medidos en el mismo sentido del tráfico. Debe distinguirse Fs de descarga (Fs,d) y de subida (Fs,u).</w:t>
      </w:r>
    </w:p>
    <w:p>
      <w:pPr>
        <w:jc w:val="center"/>
      </w:pPr>
      <w:r>
        <w:rPr>
          <w:b/>
        </w:rPr>
        <w:t>Fs = C_hora_pico / C_comercial</w:t>
      </w:r>
    </w:p>
    <w:p>
      <w:r>
        <w:t>Overbooking (OB): relación entre la suma de velocidades comerciales y la capacidad asignada para transportar ese tráfico. Bajo la misma definición de capacidad y sin márgenes adicionales, OB = 1/Fs. Ejemplo: Fs = 0,10 equivale a un overbooking 10:1. Un overbooking 20:1 equivale a Fs = 0,05.</w:t>
      </w:r>
    </w:p>
    <w:p>
      <w:r>
        <w:t>El overbooking comercial de la conectividad mayorista NO es la relación de división óptica 1:64. La primera es una relación de capacidades; la segunda expresa cuántas ONT comparten un puerto GPON. Tampoco equivale al porcentaje de usuarios conectados simultáneamente: usuarios activos pueden consumir caudales muy distintos.</w:t>
      </w:r>
    </w:p>
    <w:p>
      <w:r>
        <w:t>No se dispone de un valor público verificable y uniforme de Fs/overbooking aplicado por Claro, Movistar o Personal en Argentina. Los factores de este documento son hipótesis de diseño, no parámetros atribuidos a esos operadores.</w:t>
      </w:r>
    </w:p>
    <w:p>
      <w:pPr>
        <w:pStyle w:val="Heading1"/>
      </w:pPr>
      <w:r>
        <w:t>3. Datos de partida del caso de estudio</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Parámetro</w:t>
            </w:r>
          </w:p>
        </w:tc>
        <w:tc>
          <w:tcPr>
            <w:tcW w:type="dxa" w:w="4320"/>
          </w:tcPr>
          <w:p>
            <w:r>
              <w:t>Valor</w:t>
            </w:r>
          </w:p>
        </w:tc>
      </w:tr>
      <w:tr>
        <w:tc>
          <w:tcPr>
            <w:tcW w:type="dxa" w:w="4320"/>
          </w:tcPr>
          <w:p>
            <w:r>
              <w:t>Puertos GPON activos</w:t>
            </w:r>
          </w:p>
        </w:tc>
        <w:tc>
          <w:tcPr>
            <w:tcW w:type="dxa" w:w="4320"/>
          </w:tcPr>
          <w:p>
            <w:r>
              <w:t>8</w:t>
            </w:r>
          </w:p>
        </w:tc>
      </w:tr>
      <w:tr>
        <w:tc>
          <w:tcPr>
            <w:tcW w:type="dxa" w:w="4320"/>
          </w:tcPr>
          <w:p>
            <w:r>
              <w:t>Abonados efectivos por puerto</w:t>
            </w:r>
          </w:p>
        </w:tc>
        <w:tc>
          <w:tcPr>
            <w:tcW w:type="dxa" w:w="4320"/>
          </w:tcPr>
          <w:p>
            <w:r>
              <w:t>64</w:t>
            </w:r>
          </w:p>
        </w:tc>
      </w:tr>
      <w:tr>
        <w:tc>
          <w:tcPr>
            <w:tcW w:type="dxa" w:w="4320"/>
          </w:tcPr>
          <w:p>
            <w:r>
              <w:t>Total de abonados N</w:t>
            </w:r>
          </w:p>
        </w:tc>
        <w:tc>
          <w:tcPr>
            <w:tcW w:type="dxa" w:w="4320"/>
          </w:tcPr>
          <w:p>
            <w:r>
              <w:t>512</w:t>
            </w:r>
          </w:p>
        </w:tc>
      </w:tr>
      <w:tr>
        <w:tc>
          <w:tcPr>
            <w:tcW w:type="dxa" w:w="4320"/>
          </w:tcPr>
          <w:p>
            <w:r>
              <w:t>Plan comercial de ejemplo</w:t>
            </w:r>
          </w:p>
        </w:tc>
        <w:tc>
          <w:tcPr>
            <w:tcW w:type="dxa" w:w="4320"/>
          </w:tcPr>
          <w:p>
            <w:r>
              <w:t>300 Mbps descarga / 100 Mbps subida</w:t>
            </w:r>
          </w:p>
        </w:tc>
      </w:tr>
      <w:tr>
        <w:tc>
          <w:tcPr>
            <w:tcW w:type="dxa" w:w="4320"/>
          </w:tcPr>
          <w:p>
            <w:r>
              <w:t>Margen operativo de ejemplo</w:t>
            </w:r>
          </w:p>
        </w:tc>
        <w:tc>
          <w:tcPr>
            <w:tcW w:type="dxa" w:w="4320"/>
          </w:tcPr>
          <w:p>
            <w:r>
              <w:t>25 % sobre la demanda estimada</w:t>
            </w:r>
          </w:p>
        </w:tc>
      </w:tr>
      <w:tr>
        <w:tc>
          <w:tcPr>
            <w:tcW w:type="dxa" w:w="4320"/>
          </w:tcPr>
          <w:p>
            <w:r>
              <w:t>Factores de simultaneidad evaluados</w:t>
            </w:r>
          </w:p>
        </w:tc>
        <w:tc>
          <w:tcPr>
            <w:tcW w:type="dxa" w:w="4320"/>
          </w:tcPr>
          <w:p>
            <w:r>
              <w:t>3 %, 5 %, 7 %, 10 % y 15 %</w:t>
            </w:r>
          </w:p>
        </w:tc>
      </w:tr>
    </w:tbl>
    <w:p/>
    <w:p>
      <w:r>
        <w:t>Se supone que los 512 abonados ya están conectados y en servicio. No corresponde agregar un segundo margen por penetración futura salvo que se proyecte expresamente ampliar la cantidad de abonados o modificar el perfil de consumo.</w:t>
      </w:r>
    </w:p>
    <w:p>
      <w:pPr>
        <w:pStyle w:val="Heading1"/>
      </w:pPr>
      <w:r>
        <w:t>4. Procedimiento de dimensionamiento</w:t>
      </w:r>
    </w:p>
    <w:p>
      <w:pPr>
        <w:pStyle w:val="Heading2"/>
      </w:pPr>
      <w:r>
        <w:t>Paso 1. Cantidad de abonados</w:t>
      </w:r>
    </w:p>
    <w:p>
      <w:pPr>
        <w:jc w:val="center"/>
      </w:pPr>
      <w:r>
        <w:rPr>
          <w:b/>
        </w:rPr>
        <w:t>N = 8 × 64 = 512 abonados</w:t>
      </w:r>
    </w:p>
    <w:p>
      <w:pPr>
        <w:pStyle w:val="Heading2"/>
      </w:pPr>
      <w:r>
        <w:t>Paso 2. Suma de velocidades comerciales</w:t>
      </w:r>
    </w:p>
    <w:p>
      <w:pPr>
        <w:jc w:val="center"/>
      </w:pPr>
      <w:r>
        <w:rPr>
          <w:b/>
        </w:rPr>
        <w:t>C_com,d = 512 × 300 Mbps = 153,6 Gbps</w:t>
      </w:r>
    </w:p>
    <w:p>
      <w:pPr>
        <w:jc w:val="center"/>
      </w:pPr>
      <w:r>
        <w:rPr>
          <w:b/>
        </w:rPr>
        <w:t>C_com,u = 512 × 100 Mbps = 51,2 Gbps</w:t>
      </w:r>
    </w:p>
    <w:p>
      <w:r>
        <w:t>Estos valores no representan tráfico efectivo: son la suma teórica de los máximos comerciales.</w:t>
      </w:r>
    </w:p>
    <w:p>
      <w:pPr>
        <w:pStyle w:val="Heading2"/>
      </w:pPr>
      <w:r>
        <w:t>Paso 3. Seleccionar escenarios de simultaneidad y overbooking</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Fs</w:t>
            </w:r>
          </w:p>
        </w:tc>
        <w:tc>
          <w:tcPr>
            <w:tcW w:type="dxa" w:w="2160"/>
          </w:tcPr>
          <w:p>
            <w:r>
              <w:t>Overbooking equivalente</w:t>
            </w:r>
          </w:p>
        </w:tc>
        <w:tc>
          <w:tcPr>
            <w:tcW w:type="dxa" w:w="2160"/>
          </w:tcPr>
          <w:p>
            <w:r>
              <w:t>Demanda descarga (Gbps)</w:t>
            </w:r>
          </w:p>
        </w:tc>
        <w:tc>
          <w:tcPr>
            <w:tcW w:type="dxa" w:w="2160"/>
          </w:tcPr>
          <w:p>
            <w:r>
              <w:t>Con margen 25 % (Gbps)</w:t>
            </w:r>
          </w:p>
        </w:tc>
      </w:tr>
      <w:tr>
        <w:tc>
          <w:tcPr>
            <w:tcW w:type="dxa" w:w="2160"/>
          </w:tcPr>
          <w:p>
            <w:r>
              <w:t>3 %</w:t>
            </w:r>
          </w:p>
        </w:tc>
        <w:tc>
          <w:tcPr>
            <w:tcW w:type="dxa" w:w="2160"/>
          </w:tcPr>
          <w:p>
            <w:r>
              <w:t>33,3:1</w:t>
            </w:r>
          </w:p>
        </w:tc>
        <w:tc>
          <w:tcPr>
            <w:tcW w:type="dxa" w:w="2160"/>
          </w:tcPr>
          <w:p>
            <w:r>
              <w:t>4,608</w:t>
            </w:r>
          </w:p>
        </w:tc>
        <w:tc>
          <w:tcPr>
            <w:tcW w:type="dxa" w:w="2160"/>
          </w:tcPr>
          <w:p>
            <w:r>
              <w:t>5,76</w:t>
            </w:r>
          </w:p>
        </w:tc>
      </w:tr>
      <w:tr>
        <w:tc>
          <w:tcPr>
            <w:tcW w:type="dxa" w:w="2160"/>
          </w:tcPr>
          <w:p>
            <w:r>
              <w:t>5 %</w:t>
            </w:r>
          </w:p>
        </w:tc>
        <w:tc>
          <w:tcPr>
            <w:tcW w:type="dxa" w:w="2160"/>
          </w:tcPr>
          <w:p>
            <w:r>
              <w:t>20:1</w:t>
            </w:r>
          </w:p>
        </w:tc>
        <w:tc>
          <w:tcPr>
            <w:tcW w:type="dxa" w:w="2160"/>
          </w:tcPr>
          <w:p>
            <w:r>
              <w:t>7,68</w:t>
            </w:r>
          </w:p>
        </w:tc>
        <w:tc>
          <w:tcPr>
            <w:tcW w:type="dxa" w:w="2160"/>
          </w:tcPr>
          <w:p>
            <w:r>
              <w:t>9,60</w:t>
            </w:r>
          </w:p>
        </w:tc>
      </w:tr>
      <w:tr>
        <w:tc>
          <w:tcPr>
            <w:tcW w:type="dxa" w:w="2160"/>
          </w:tcPr>
          <w:p>
            <w:r>
              <w:t>7 %</w:t>
            </w:r>
          </w:p>
        </w:tc>
        <w:tc>
          <w:tcPr>
            <w:tcW w:type="dxa" w:w="2160"/>
          </w:tcPr>
          <w:p>
            <w:r>
              <w:t>14,3:1</w:t>
            </w:r>
          </w:p>
        </w:tc>
        <w:tc>
          <w:tcPr>
            <w:tcW w:type="dxa" w:w="2160"/>
          </w:tcPr>
          <w:p>
            <w:r>
              <w:t>10,752</w:t>
            </w:r>
          </w:p>
        </w:tc>
        <w:tc>
          <w:tcPr>
            <w:tcW w:type="dxa" w:w="2160"/>
          </w:tcPr>
          <w:p>
            <w:r>
              <w:t>13,44</w:t>
            </w:r>
          </w:p>
        </w:tc>
      </w:tr>
      <w:tr>
        <w:tc>
          <w:tcPr>
            <w:tcW w:type="dxa" w:w="2160"/>
          </w:tcPr>
          <w:p>
            <w:r>
              <w:t>10 %</w:t>
            </w:r>
          </w:p>
        </w:tc>
        <w:tc>
          <w:tcPr>
            <w:tcW w:type="dxa" w:w="2160"/>
          </w:tcPr>
          <w:p>
            <w:r>
              <w:t>10:1</w:t>
            </w:r>
          </w:p>
        </w:tc>
        <w:tc>
          <w:tcPr>
            <w:tcW w:type="dxa" w:w="2160"/>
          </w:tcPr>
          <w:p>
            <w:r>
              <w:t>15,36</w:t>
            </w:r>
          </w:p>
        </w:tc>
        <w:tc>
          <w:tcPr>
            <w:tcW w:type="dxa" w:w="2160"/>
          </w:tcPr>
          <w:p>
            <w:r>
              <w:t>19,20</w:t>
            </w:r>
          </w:p>
        </w:tc>
      </w:tr>
      <w:tr>
        <w:tc>
          <w:tcPr>
            <w:tcW w:type="dxa" w:w="2160"/>
          </w:tcPr>
          <w:p>
            <w:r>
              <w:t>15 %</w:t>
            </w:r>
          </w:p>
        </w:tc>
        <w:tc>
          <w:tcPr>
            <w:tcW w:type="dxa" w:w="2160"/>
          </w:tcPr>
          <w:p>
            <w:r>
              <w:t>6,7:1</w:t>
            </w:r>
          </w:p>
        </w:tc>
        <w:tc>
          <w:tcPr>
            <w:tcW w:type="dxa" w:w="2160"/>
          </w:tcPr>
          <w:p>
            <w:r>
              <w:t>23,04</w:t>
            </w:r>
          </w:p>
        </w:tc>
        <w:tc>
          <w:tcPr>
            <w:tcW w:type="dxa" w:w="2160"/>
          </w:tcPr>
          <w:p>
            <w:r>
              <w:t>28,80</w:t>
            </w:r>
          </w:p>
        </w:tc>
      </w:tr>
    </w:tbl>
    <w:p/>
    <w:p>
      <w:r>
        <w:t>Fórmulas: C_pico,d = C_com,d × Fs,d; C_pico,u = C_com,u × Fs,u. Con margen M: C_objetivo = C_pico × (1 + M). El margen es reserva de dimensionamiento, no tráfico que necesariamente se cursa.</w:t>
      </w:r>
    </w:p>
    <w:p>
      <w:pPr>
        <w:pStyle w:val="Heading2"/>
      </w:pPr>
      <w:r>
        <w:t>Paso 4. Calcular también el sentido ascendente</w:t>
      </w:r>
    </w:p>
    <w:p>
      <w:r>
        <w:t>Con Fs,u = 5 %: 51,2 × 0,05 = 2,56 Gbps; con margen del 25 %: 3,20 Gbps. Con Fs,u = 10 %: 5,12 Gbps; con margen: 6,40 Gbps. Los Fs de subida y descarga deben justificarse por separado; aquí se muestran iguales solo para facilitar la comparación.</w:t>
      </w:r>
    </w:p>
    <w:p>
      <w:pPr>
        <w:pStyle w:val="Heading2"/>
      </w:pPr>
      <w:r>
        <w:t>Paso 5. Contrastar con un método alternativo: Mbps por abonado en hora pico</w:t>
      </w:r>
    </w:p>
    <w:p>
      <w:r>
        <w:t>Cuando no existen mediciones de la red, puede modelarse la demanda a partir del tráfico medio coincidente por abonado en hora pico (T_HP), en vez de derivarlo de la velocidad comercial. No deben sumarse ambos métodos: se comparan como escenarios alternativos.</w:t>
      </w:r>
    </w:p>
    <w:p>
      <w:pPr>
        <w:jc w:val="center"/>
      </w:pPr>
      <w:r>
        <w:rPr>
          <w:b/>
        </w:rPr>
        <w:t>C_pico,d = N × T_HP</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Tráfico por abonado en hora pico</w:t>
            </w:r>
          </w:p>
        </w:tc>
        <w:tc>
          <w:tcPr>
            <w:tcW w:type="dxa" w:w="2880"/>
          </w:tcPr>
          <w:p>
            <w:r>
              <w:t>Demanda agregada</w:t>
            </w:r>
          </w:p>
        </w:tc>
        <w:tc>
          <w:tcPr>
            <w:tcW w:type="dxa" w:w="2880"/>
          </w:tcPr>
          <w:p>
            <w:r>
              <w:t>Con 25 % de margen</w:t>
            </w:r>
          </w:p>
        </w:tc>
      </w:tr>
      <w:tr>
        <w:tc>
          <w:tcPr>
            <w:tcW w:type="dxa" w:w="2880"/>
          </w:tcPr>
          <w:p>
            <w:r>
              <w:t>5 Mbps</w:t>
            </w:r>
          </w:p>
        </w:tc>
        <w:tc>
          <w:tcPr>
            <w:tcW w:type="dxa" w:w="2880"/>
          </w:tcPr>
          <w:p>
            <w:r>
              <w:t>2,56 Gbps</w:t>
            </w:r>
          </w:p>
        </w:tc>
        <w:tc>
          <w:tcPr>
            <w:tcW w:type="dxa" w:w="2880"/>
          </w:tcPr>
          <w:p>
            <w:r>
              <w:t>3,20 Gbps</w:t>
            </w:r>
          </w:p>
        </w:tc>
      </w:tr>
      <w:tr>
        <w:tc>
          <w:tcPr>
            <w:tcW w:type="dxa" w:w="2880"/>
          </w:tcPr>
          <w:p>
            <w:r>
              <w:t>10 Mbps</w:t>
            </w:r>
          </w:p>
        </w:tc>
        <w:tc>
          <w:tcPr>
            <w:tcW w:type="dxa" w:w="2880"/>
          </w:tcPr>
          <w:p>
            <w:r>
              <w:t>5,12 Gbps</w:t>
            </w:r>
          </w:p>
        </w:tc>
        <w:tc>
          <w:tcPr>
            <w:tcW w:type="dxa" w:w="2880"/>
          </w:tcPr>
          <w:p>
            <w:r>
              <w:t>6,40 Gbps</w:t>
            </w:r>
          </w:p>
        </w:tc>
      </w:tr>
      <w:tr>
        <w:tc>
          <w:tcPr>
            <w:tcW w:type="dxa" w:w="2880"/>
          </w:tcPr>
          <w:p>
            <w:r>
              <w:t>15 Mbps</w:t>
            </w:r>
          </w:p>
        </w:tc>
        <w:tc>
          <w:tcPr>
            <w:tcW w:type="dxa" w:w="2880"/>
          </w:tcPr>
          <w:p>
            <w:r>
              <w:t>7,68 Gbps</w:t>
            </w:r>
          </w:p>
        </w:tc>
        <w:tc>
          <w:tcPr>
            <w:tcW w:type="dxa" w:w="2880"/>
          </w:tcPr>
          <w:p>
            <w:r>
              <w:t>9,60 Gbps</w:t>
            </w:r>
          </w:p>
        </w:tc>
      </w:tr>
      <w:tr>
        <w:tc>
          <w:tcPr>
            <w:tcW w:type="dxa" w:w="2880"/>
          </w:tcPr>
          <w:p>
            <w:r>
              <w:t>20 Mbps</w:t>
            </w:r>
          </w:p>
        </w:tc>
        <w:tc>
          <w:tcPr>
            <w:tcW w:type="dxa" w:w="2880"/>
          </w:tcPr>
          <w:p>
            <w:r>
              <w:t>10,24 Gbps</w:t>
            </w:r>
          </w:p>
        </w:tc>
        <w:tc>
          <w:tcPr>
            <w:tcW w:type="dxa" w:w="2880"/>
          </w:tcPr>
          <w:p>
            <w:r>
              <w:t>12,80 Gbps</w:t>
            </w:r>
          </w:p>
        </w:tc>
      </w:tr>
      <w:tr>
        <w:tc>
          <w:tcPr>
            <w:tcW w:type="dxa" w:w="2880"/>
          </w:tcPr>
          <w:p>
            <w:r>
              <w:t>25 Mbps</w:t>
            </w:r>
          </w:p>
        </w:tc>
        <w:tc>
          <w:tcPr>
            <w:tcW w:type="dxa" w:w="2880"/>
          </w:tcPr>
          <w:p>
            <w:r>
              <w:t>12,80 Gbps</w:t>
            </w:r>
          </w:p>
        </w:tc>
        <w:tc>
          <w:tcPr>
            <w:tcW w:type="dxa" w:w="2880"/>
          </w:tcPr>
          <w:p>
            <w:r>
              <w:t>16,00 Gbps</w:t>
            </w:r>
          </w:p>
        </w:tc>
      </w:tr>
    </w:tbl>
    <w:p/>
    <w:p>
      <w:r>
        <w:t>Estos valores son supuestos de sensibilidad, no mediciones de consumo de clientes argentinos. El tráfico por abonado debe representar la coincidencia estadística durante la hora cargada, no la velocidad instantánea de un abonado activo.</w:t>
      </w:r>
    </w:p>
    <w:p>
      <w:pPr>
        <w:pStyle w:val="Heading1"/>
      </w:pPr>
      <w:r>
        <w:t>5. Verificación de los puertos GPON</w:t>
      </w:r>
    </w:p>
    <w:p>
      <w:r>
        <w:t>La demanda agregada no debe ocultar congestiones por puerto. Con 64 abonados de 300/100 Mbps, Fs = 5 % implica 0,96 Gbps descendentes y 0,32 Gbps ascendentes por puerto; Fs = 10 % implica 1,92 Gbps y 0,64 Gbps respectivamente, antes del margen. Los 1,92 Gbps descendentes se aproximan a la capacidad útil GPON y requieren especial atención a ráfagas, overhead y calidad de servicio.</w:t>
      </w:r>
    </w:p>
    <w:p>
      <w:r>
        <w:t>No debe aplicarse el margen del 25 % como si fuera demanda instantánea de cada puerto; se utiliza para reservar capacidad y comprobar holgura. Para cada puerto se deben revisar perfiles reales, distribución de planes, DBA en subida y utilización en intervalos cortos.</w:t>
      </w:r>
    </w:p>
    <w:p>
      <w:pPr>
        <w:pStyle w:val="Heading1"/>
      </w:pPr>
      <w:r>
        <w:t>6. Verificación de uplinks y contratación mayorista</w:t>
      </w:r>
    </w:p>
    <w:p>
      <w:r>
        <w:t>Una estimación de 9,6 Gbps de descarga con margen deja escasa holgura en un único puerto 10GbE nominal. Una estimación de 19,2 Gbps no debería resolverse suponiendo que dos puertos 10GbE agregados entregan 20 Gbps útiles garantizados: intervienen overhead, balanceo de flujos y políticas de operación. Evaluar 25GbE, 40GbE o enlaces agregados con reserva suficiente, según equipamiento y disponibilidad del mayorista.</w:t>
      </w:r>
    </w:p>
    <w:p>
      <w:r>
        <w:t>La capacidad contratada simétrica se fija por el mayor de los requerimientos de descarga y subida, pero también se deben considerar el tráfico no destinado a Internet, la redundancia, las interfaces físicas, el router de borde y los criterios de saturación admisible.</w:t>
      </w:r>
    </w:p>
    <w:p>
      <w:pPr>
        <w:pStyle w:val="Heading1"/>
      </w:pPr>
      <w:r>
        <w:t>7. Recomendación para una red nueva</w:t>
      </w:r>
    </w:p>
    <w:p>
      <w:r>
        <w:t>Sin historial de tráfico, utilizar un escenario inicial de Fs,d = 5 % (overbooking 20:1) y uno conservador de Fs,d = 10 % (overbooking 10:1). En este ejemplo arrojan 9,6 y 19,2 Gbps descendentes respectivamente, incluyendo 25 % de margen. No deben interpretarse como consumos observados ni como capacidades contratadas obligatorias.</w:t>
      </w:r>
    </w:p>
    <w:p>
      <w:r>
        <w:t>Se recomienda instrumentar mediciones por interfaz uplink, por puerto GPON y en el borde mayorista; registrar percentiles (por ejemplo P95), máximos de 5 minutos, utilización de hora pico, pérdidas y latencia. Revisar periódicamente el dimensionamiento y contratar capacidad escalable en etapas si las condiciones comerciales lo permiten.</w:t>
      </w:r>
    </w:p>
    <w:p>
      <w:pPr>
        <w:pStyle w:val="Heading1"/>
      </w:pPr>
      <w:r>
        <w:t>8. Secuencia de cálculo resumida</w:t>
      </w:r>
    </w:p>
    <w:p>
      <w:r>
        <w:t>1) Definir abonados y planes. 2) Sumar velocidades comerciales por sentido. 3) Estimar Fs u obtener tráfico por abonado en hora pico. 4) Calcular demanda agregada. 5) Añadir margen justificado. 6) Verificar cada árbol GPON. 7) Verificar uplinks y equipos de agregación. 8) Seleccionar conectividad mayorista y política de ampliación. 9) Medir, contrastar y corregir las hipótesis.</w:t>
      </w:r>
    </w:p>
    <w:p>
      <w:pPr>
        <w:pStyle w:val="Heading1"/>
      </w:pPr>
      <w:r>
        <w:t>Nota técnica</w:t>
      </w:r>
    </w:p>
    <w:p>
      <w:r>
        <w:t>En el caso estudiado, los 512 abonados representan la ocupación efectiva de los ocho puertos. Si la red ofrece planes superiores o se incorporan servicios empresariales, streaming propio, CDN/caché o IPTV, deben separarse los flujos que efectivamente cruzan el mayorista. La suma de velocidades comerciales es una referencia contractual y no garantiza que GPON pueda sostener simultáneamente todas ellas.</w:t>
      </w:r>
    </w:p>
    <w:sectPr w:rsidR="00FC693F" w:rsidRPr="0006063C" w:rsidSect="00034616">
      <w:footerReference w:type="default" r:id="rId9"/>
      <w:pgSz w:w="12240" w:h="15840"/>
      <w:pgMar w:top="1152"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Dimensionamiento de backhaul FTTH GPON • Ejemplo académico de ingeniería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1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16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416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