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color w:val="0F4C81"/>
          <w:sz w:val="40"/>
        </w:rPr>
        <w:t>COMPTE-RENDU — TP 2</w:t>
      </w:r>
    </w:p>
    <w:p>
      <w:pPr>
        <w:spacing w:before="0" w:after="280"/>
        <w:jc w:val="center"/>
      </w:pPr>
      <w:r>
        <w:rPr>
          <w:rFonts w:ascii="Calibri" w:hAnsi="Calibri"/>
          <w:i/>
          <w:color w:val="646E78"/>
          <w:sz w:val="22"/>
        </w:rPr>
        <w:t>À remplir et à rendre (avec le lien du dépôt)</w:t>
      </w:r>
    </w:p>
    <w:p>
      <w:pPr>
        <w:spacing w:before="120" w:after="80"/>
      </w:pPr>
      <w:r>
        <w:rPr>
          <w:rFonts w:ascii="Calibri" w:hAnsi="Calibri"/>
          <w:b/>
          <w:color w:val="0F4C81"/>
          <w:sz w:val="26"/>
        </w:rPr>
        <w:t>Identité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968"/>
        <w:gridCol w:w="4968"/>
      </w:tblGrid>
      <w:tr>
        <w:tc>
          <w:tcPr>
            <w:tcW w:type="dxa" w:w="48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283246"/>
                <w:sz w:val="19"/>
              </w:rPr>
              <w:t>Binôme ou individuel :</w:t>
              <w:br/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283246"/>
                <w:sz w:val="19"/>
              </w:rPr>
              <w:t>Lien du dépôt Git :</w:t>
              <w:br/>
            </w:r>
          </w:p>
        </w:tc>
      </w:tr>
      <w:tr>
        <w:tc>
          <w:tcPr>
            <w:tcW w:type="dxa" w:w="48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283246"/>
                <w:sz w:val="19"/>
              </w:rPr>
              <w:t xml:space="preserve">Filière / Groupe : </w:t>
              <w:br/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283246"/>
                <w:sz w:val="19"/>
              </w:rPr>
              <w:t xml:space="preserve">Date de rendu : </w:t>
              <w:br/>
            </w:r>
          </w:p>
        </w:tc>
      </w:tr>
      <w:tr>
        <w:tc>
          <w:tcPr>
            <w:tcW w:type="dxa" w:w="48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283246"/>
                <w:sz w:val="19"/>
              </w:rPr>
              <w:t xml:space="preserve">PLM fine-tunés : </w:t>
              <w:br/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283246"/>
                <w:sz w:val="19"/>
              </w:rPr>
              <w:t xml:space="preserve">Prétraitement PLM utilisé : </w:t>
              <w:br/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rFonts w:ascii="Calibri" w:hAnsi="Calibri"/>
          <w:b/>
          <w:color w:val="283246"/>
          <w:sz w:val="22"/>
        </w:rPr>
        <w:t>Courbe F1 = f(seuil) sur le test (F1) — coller la figure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left w:val="single" w:sz="6" w:space="0" w:color="94A3B8"/>
          <w:right w:val="single" w:sz="6" w:space="0" w:color="94A3B8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FAFAFA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spacing w:before="720" w:after="720"/>
              <w:jc w:val="center"/>
            </w:pPr>
            <w:r>
              <w:rPr>
                <w:rFonts w:ascii="Calibri" w:hAnsi="Calibri"/>
                <w:i/>
                <w:color w:val="8C96A0"/>
                <w:sz w:val="20"/>
              </w:rPr>
              <w:t>[Coller ici la figure : Courbe F1 en fonction du seuil de décision sur le test]</w:t>
              <w:br/>
              <w:t>(Cliquez ici ou faites glisser/coller l'image)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color w:val="283246"/>
          <w:sz w:val="22"/>
        </w:rPr>
        <w:t>Attention sur 5 tweets sarcastiques (D2) — coller la figure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left w:val="single" w:sz="6" w:space="0" w:color="94A3B8"/>
          <w:right w:val="single" w:sz="6" w:space="0" w:color="94A3B8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FAFAFA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spacing w:before="720" w:after="720"/>
              <w:jc w:val="center"/>
            </w:pPr>
            <w:r>
              <w:rPr>
                <w:rFonts w:ascii="Calibri" w:hAnsi="Calibri"/>
                <w:i/>
                <w:color w:val="8C96A0"/>
                <w:sz w:val="20"/>
              </w:rPr>
              <w:t>[Coller ici la figure : Visualisation des poids d'attention sur 5 tweets sarcastiques]</w:t>
              <w:br/>
              <w:t>(Cliquez ici ou faites glisser/coller l'image)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0F4C81"/>
          <w:sz w:val="26"/>
        </w:rPr>
        <w:t>Réponses aux questions</w:t>
      </w:r>
    </w:p>
    <w:p>
      <w:pPr>
        <w:spacing w:before="160" w:after="60"/>
      </w:pPr>
      <w:r>
        <w:rPr>
          <w:rFonts w:ascii="Calibri" w:hAnsi="Calibri"/>
          <w:b/>
          <w:color w:val="283246"/>
          <w:sz w:val="21"/>
        </w:rPr>
        <w:t>Q1. Taux de sarcasme dans train, val et test, globalement et par dialecte. Accuracy et F1 du classifieur « jamais sarcastique ». Quelle métrique retenez-vous, et pourquoi 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CBD5E1"/>
          <w:bottom w:val="single" w:sz="5" w:space="0" w:color="CBD5E1"/>
          <w:left w:val="single" w:sz="5" w:space="0" w:color="CBD5E1"/>
          <w:right w:val="single" w:sz="5" w:space="0" w:color="CBD5E1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Calibri" w:hAnsi="Calibri"/>
          <w:b/>
          <w:color w:val="283246"/>
          <w:sz w:val="21"/>
        </w:rPr>
        <w:t>Q2. Raccourcis : quels indices superficiels (artefact de format, URL, mentions) sont corrélés au label ? Que vaut un classifieur à une seule règle ? Qu'en concluez-vous sur la validité de vos scores 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CBD5E1"/>
          <w:bottom w:val="single" w:sz="5" w:space="0" w:color="CBD5E1"/>
          <w:left w:val="single" w:sz="5" w:space="0" w:color="CBD5E1"/>
          <w:right w:val="single" w:sz="5" w:space="0" w:color="CBD5E1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</w:tc>
      </w:tr>
    </w:tbl>
    <w:p>
      <w:pPr>
        <w:spacing w:after="80"/>
      </w:pPr>
    </w:p>
    <w:p>
      <w:r>
        <w:br w:type="page"/>
      </w:r>
    </w:p>
    <w:p>
      <w:pPr>
        <w:spacing w:before="160" w:after="60"/>
      </w:pPr>
      <w:r>
        <w:rPr>
          <w:rFonts w:ascii="Calibri" w:hAnsi="Calibri"/>
          <w:b/>
          <w:color w:val="283246"/>
          <w:sz w:val="21"/>
        </w:rPr>
        <w:t>Q3. Quels choix de prétraitement avez-vous faits par famille de modèles ? Lesquels détruisent des indices du sarcasme (ablation 4.3, chiffres à l'appui) 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CBD5E1"/>
          <w:bottom w:val="single" w:sz="5" w:space="0" w:color="CBD5E1"/>
          <w:left w:val="single" w:sz="5" w:space="0" w:color="CBD5E1"/>
          <w:right w:val="single" w:sz="5" w:space="0" w:color="CBD5E1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Calibri" w:hAnsi="Calibri"/>
          <w:b/>
          <w:color w:val="283246"/>
          <w:sz w:val="21"/>
        </w:rPr>
        <w:t>Q4. Zero-shot (B1) : score obtenu et sensibilité à la formulation de l'hypothèse (arabe / français / anglais). Pourquoi un modèle NLI peut-il classer sans exemple d'entraînement ? Quel rôle joue l'attention entre prémisse et hypothèse 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CBD5E1"/>
          <w:bottom w:val="single" w:sz="5" w:space="0" w:color="CBD5E1"/>
          <w:left w:val="single" w:sz="5" w:space="0" w:color="CBD5E1"/>
          <w:right w:val="single" w:sz="5" w:space="0" w:color="CBD5E1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Calibri" w:hAnsi="Calibri"/>
          <w:b/>
          <w:color w:val="283246"/>
          <w:sz w:val="21"/>
        </w:rPr>
        <w:t>Q5. Heuristique « négatif ⇒ sarcastique » (B2) : précision, rappel, F1. Que révèle-t-elle de la relation entre sarcasme et sentiment dans ce corpus ? Son score est-il exempt de contamination 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CBD5E1"/>
          <w:bottom w:val="single" w:sz="5" w:space="0" w:color="CBD5E1"/>
          <w:left w:val="single" w:sz="5" w:space="0" w:color="CBD5E1"/>
          <w:right w:val="single" w:sz="5" w:space="0" w:color="CBD5E1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Calibri" w:hAnsi="Calibri"/>
          <w:b/>
          <w:color w:val="283246"/>
          <w:sz w:val="21"/>
        </w:rPr>
        <w:t>Q6. Déséquilibre : comparez pondération de la perte, sur-échantillonnage et optimisation du seuil (tableau). Pourquoi le sur-échantillonnage doit-il être fait après la séparation train / val 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83246"/>
                <w:sz w:val="18"/>
              </w:rPr>
              <w:t>Méthode de gestion</w:t>
            </w:r>
          </w:p>
        </w:tc>
        <w:tc>
          <w:tcPr>
            <w:tcW w:type="dxa" w:w="1987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83246"/>
                <w:sz w:val="18"/>
              </w:rPr>
              <w:t>Précision (Val)</w:t>
            </w:r>
          </w:p>
        </w:tc>
        <w:tc>
          <w:tcPr>
            <w:tcW w:type="dxa" w:w="1987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83246"/>
                <w:sz w:val="18"/>
              </w:rPr>
              <w:t>Rappel (Val)</w:t>
            </w:r>
          </w:p>
        </w:tc>
        <w:tc>
          <w:tcPr>
            <w:tcW w:type="dxa" w:w="1987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83246"/>
                <w:sz w:val="18"/>
              </w:rPr>
              <w:t>F1-Sarcasme (Val)</w:t>
            </w:r>
          </w:p>
        </w:tc>
        <w:tc>
          <w:tcPr>
            <w:tcW w:type="dxa" w:w="1987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83246"/>
                <w:sz w:val="18"/>
              </w:rPr>
              <w:t>PR-AUC (Val)</w:t>
            </w:r>
          </w:p>
        </w:tc>
      </w:tr>
      <w:tr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(a) Perte pondérée (weighted loss)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</w:tc>
      </w:tr>
      <w:tr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(b) Sur-échantillonnage (train only)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</w:tc>
      </w:tr>
      <w:tr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(c) Perte standard + Seuil optimal val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</w:tc>
      </w:tr>
      <w:tr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(Optionnel) Focal Loss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</w:tc>
        <w:tc>
          <w:tcPr>
            <w:tcW w:type="dxa" w:w="1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</w:tc>
      </w:tr>
    </w:tbl>
    <w:p>
      <w:pPr>
        <w:spacing w:before="160" w:after="60"/>
      </w:pPr>
      <w:r>
        <w:rPr>
          <w:rFonts w:ascii="Calibri" w:hAnsi="Calibri"/>
          <w:b/>
          <w:color w:val="283246"/>
          <w:sz w:val="21"/>
        </w:rPr>
        <w:t>Justification Q6 : Pourquoi le sur-échantillonnage doit-il être fait après la séparation train / val 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CBD5E1"/>
          <w:bottom w:val="single" w:sz="5" w:space="0" w:color="CBD5E1"/>
          <w:left w:val="single" w:sz="5" w:space="0" w:color="CBD5E1"/>
          <w:right w:val="single" w:sz="5" w:space="0" w:color="CBD5E1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Calibri" w:hAnsi="Calibri"/>
          <w:b/>
          <w:color w:val="283246"/>
          <w:sz w:val="21"/>
        </w:rPr>
        <w:t>Q7. C1 vs C2 vs C3 (et C4) : résultats. Les poids d'attention se concentrent-ils sur les marqueurs attendus (emojis, rires, allongements, ponctuation) ? Effet de l'encodage positionnel 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CBD5E1"/>
          <w:bottom w:val="single" w:sz="5" w:space="0" w:color="CBD5E1"/>
          <w:left w:val="single" w:sz="5" w:space="0" w:color="CBD5E1"/>
          <w:right w:val="single" w:sz="5" w:space="0" w:color="CBD5E1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Calibri" w:hAnsi="Calibri"/>
          <w:b/>
          <w:color w:val="283246"/>
          <w:sz w:val="21"/>
        </w:rPr>
        <w:t>Q8. PLM gelé (D) vs fine-tuné (E1) : gain et coût (temps, paramètres entraînés). AraBERT-twitter vs MARBERT : lequel, et pourquoi 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CBD5E1"/>
          <w:bottom w:val="single" w:sz="5" w:space="0" w:color="CBD5E1"/>
          <w:left w:val="single" w:sz="5" w:space="0" w:color="CBD5E1"/>
          <w:right w:val="single" w:sz="5" w:space="0" w:color="CBD5E1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</w:tc>
      </w:tr>
    </w:tbl>
    <w:p>
      <w:pPr>
        <w:spacing w:after="80"/>
      </w:pPr>
    </w:p>
    <w:p>
      <w:r>
        <w:br w:type="page"/>
      </w:r>
    </w:p>
    <w:p>
      <w:pPr>
        <w:spacing w:before="160" w:after="60"/>
      </w:pPr>
      <w:r>
        <w:rPr>
          <w:rFonts w:ascii="Calibri" w:hAnsi="Calibri"/>
          <w:b/>
          <w:color w:val="283246"/>
          <w:sz w:val="21"/>
        </w:rPr>
        <w:t>Q9. Multi-tâche (E2) : l'ajout du sentiment améliore-t-il la détection du sarcasme ? Effet de λ. Pourquoi une tâche auxiliaire peut-elle aider… ou nuire 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CBD5E1"/>
          <w:bottom w:val="single" w:sz="5" w:space="0" w:color="CBD5E1"/>
          <w:left w:val="single" w:sz="5" w:space="0" w:color="CBD5E1"/>
          <w:right w:val="single" w:sz="5" w:space="0" w:color="CBD5E1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Calibri" w:hAnsi="Calibri"/>
          <w:b/>
          <w:color w:val="283246"/>
          <w:sz w:val="21"/>
        </w:rPr>
        <w:t>Q10. Décalage de prior (F1) : écart entre le seuil choisi sur val et le seuil optimal a posteriori sur le test. Que mettriez-vous en place en production (recalibration, monitoring) 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CBD5E1"/>
          <w:bottom w:val="single" w:sz="5" w:space="0" w:color="CBD5E1"/>
          <w:left w:val="single" w:sz="5" w:space="0" w:color="CBD5E1"/>
          <w:right w:val="single" w:sz="5" w:space="0" w:color="CBD5E1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Calibri" w:hAnsi="Calibri"/>
          <w:b/>
          <w:color w:val="283246"/>
          <w:sz w:val="21"/>
        </w:rPr>
        <w:t>Q11. Dialecte non vu (F2) : chute mesurée. Combien de tweets maghrébins (magreb) dans train et dans test ? Comment évalueriez-vous honnêtement ce modèle avant un déploiement sur des tweets marocains 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CBD5E1"/>
          <w:bottom w:val="single" w:sz="5" w:space="0" w:color="CBD5E1"/>
          <w:left w:val="single" w:sz="5" w:space="0" w:color="CBD5E1"/>
          <w:right w:val="single" w:sz="5" w:space="0" w:color="CBD5E1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Calibri" w:hAnsi="Calibri"/>
          <w:b/>
          <w:color w:val="283246"/>
          <w:sz w:val="21"/>
        </w:rPr>
        <w:t>Q12. Analyse d'erreurs (F6) : catégories dominantes, part du bruit d'annotation. Quel modèle mettriez-vous en production, et pourquoi (qualité, robustesse, coût, latence — chiffres à l'appui) 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CBD5E1"/>
          <w:bottom w:val="single" w:sz="5" w:space="0" w:color="CBD5E1"/>
          <w:left w:val="single" w:sz="5" w:space="0" w:color="CBD5E1"/>
          <w:right w:val="single" w:sz="5" w:space="0" w:color="CBD5E1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0F4C81"/>
          <w:sz w:val="26"/>
        </w:rPr>
        <w:t>Décision &amp; justification</w:t>
      </w:r>
    </w:p>
    <w:p>
      <w:pPr>
        <w:spacing w:before="160" w:after="60"/>
      </w:pPr>
      <w:r>
        <w:rPr>
          <w:rFonts w:ascii="Calibri" w:hAnsi="Calibri"/>
          <w:b/>
          <w:color w:val="283246"/>
          <w:sz w:val="21"/>
        </w:rPr>
        <w:t>Modèle retenu pour la production, seuil de décision et pourquoi (qualité / robustesse / coût / latence, chiffres à l'appui) 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CBD5E1"/>
          <w:bottom w:val="single" w:sz="5" w:space="0" w:color="CBD5E1"/>
          <w:left w:val="single" w:sz="5" w:space="0" w:color="CBD5E1"/>
          <w:right w:val="single" w:sz="5" w:space="0" w:color="CBD5E1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0F4C81"/>
          <w:sz w:val="26"/>
        </w:rPr>
        <w:t>Limites &amp; pistes d'amélioration</w:t>
      </w:r>
    </w:p>
    <w:p>
      <w:pPr>
        <w:spacing w:before="160" w:after="60"/>
      </w:pPr>
      <w:r>
        <w:rPr>
          <w:rFonts w:ascii="Calibri" w:hAnsi="Calibri"/>
          <w:b/>
          <w:color w:val="283246"/>
          <w:sz w:val="21"/>
        </w:rPr>
        <w:t>Discussion des limites rencontrées et des pistes d'amélioration (données, dialectes, architectures, approches LLM) 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CBD5E1"/>
          <w:bottom w:val="single" w:sz="5" w:space="0" w:color="CBD5E1"/>
          <w:left w:val="single" w:sz="5" w:space="0" w:color="CBD5E1"/>
          <w:right w:val="single" w:sz="5" w:space="0" w:color="CBD5E1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0F4C81"/>
          <w:sz w:val="26"/>
        </w:rPr>
        <w:t>Annexe : Tableau comparatif global des modèles (Partie G)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83246"/>
                <w:sz w:val="17"/>
              </w:rPr>
              <w:t>Modèle / Approche</w:t>
            </w:r>
          </w:p>
        </w:tc>
        <w:tc>
          <w:tcPr>
            <w:tcW w:type="dxa" w:w="1419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83246"/>
                <w:sz w:val="17"/>
              </w:rPr>
              <w:t>Params Entraînés</w:t>
            </w:r>
          </w:p>
        </w:tc>
        <w:tc>
          <w:tcPr>
            <w:tcW w:type="dxa" w:w="1419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83246"/>
                <w:sz w:val="17"/>
              </w:rPr>
              <w:t>Temps Train</w:t>
            </w:r>
          </w:p>
        </w:tc>
        <w:tc>
          <w:tcPr>
            <w:tcW w:type="dxa" w:w="1419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83246"/>
                <w:sz w:val="17"/>
              </w:rPr>
              <w:t>Latence CPU</w:t>
            </w:r>
          </w:p>
        </w:tc>
        <w:tc>
          <w:tcPr>
            <w:tcW w:type="dxa" w:w="1419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83246"/>
                <w:sz w:val="17"/>
              </w:rPr>
              <w:t>F1 Val</w:t>
            </w:r>
          </w:p>
        </w:tc>
        <w:tc>
          <w:tcPr>
            <w:tcW w:type="dxa" w:w="1419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83246"/>
                <w:sz w:val="17"/>
              </w:rPr>
              <w:t>F1 Test</w:t>
            </w:r>
          </w:p>
        </w:tc>
        <w:tc>
          <w:tcPr>
            <w:tcW w:type="dxa" w:w="1419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83246"/>
                <w:sz w:val="17"/>
              </w:rPr>
              <w:t>PR-AUC</w:t>
            </w:r>
          </w:p>
        </w:tc>
      </w:tr>
      <w:tr>
        <w:tc>
          <w:tcPr>
            <w:tcW w:type="dxa" w:w="1419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Baseline TF-IDF + Logistic Regression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</w:tr>
      <w:tr>
        <w:tc>
          <w:tcPr>
            <w:tcW w:type="dxa" w:w="1419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Zero-Shot NLI (mDeBERTa-v3)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</w:tr>
      <w:tr>
        <w:tc>
          <w:tcPr>
            <w:tcW w:type="dxa" w:w="1419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BiLSTM + AraVec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</w:tr>
      <w:tr>
        <w:tc>
          <w:tcPr>
            <w:tcW w:type="dxa" w:w="1419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BiLSTM + Attention (C2)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</w:tr>
      <w:tr>
        <w:tc>
          <w:tcPr>
            <w:tcW w:type="dxa" w:w="1419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Mini-Transformer (C3)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</w:tr>
      <w:tr>
        <w:tc>
          <w:tcPr>
            <w:tcW w:type="dxa" w:w="1419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PLM Gelé (AraBERT) + Head (D)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</w:tr>
      <w:tr>
        <w:tc>
          <w:tcPr>
            <w:tcW w:type="dxa" w:w="1419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PLM Fine-tuné Mono-tâche (E1)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</w:tr>
      <w:tr>
        <w:tc>
          <w:tcPr>
            <w:tcW w:type="dxa" w:w="1419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PLM Fine-tuné Multi-tâche (E2)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</w:p>
        </w:tc>
      </w:tr>
    </w:tbl>
    <w:p>
      <w:pPr>
        <w:spacing w:before="160" w:after="80"/>
      </w:pPr>
      <w:r>
        <w:rPr>
          <w:rFonts w:ascii="Calibri" w:hAnsi="Calibri"/>
          <w:b/>
          <w:color w:val="283246"/>
          <w:sz w:val="22"/>
        </w:rPr>
        <w:t>Matrice de confusion du modèle retenu (au seuil retenu)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left w:val="single" w:sz="6" w:space="0" w:color="94A3B8"/>
          <w:right w:val="single" w:sz="6" w:space="0" w:color="94A3B8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FAFAFA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spacing w:before="720" w:after="720"/>
              <w:jc w:val="center"/>
            </w:pPr>
            <w:r>
              <w:rPr>
                <w:rFonts w:ascii="Calibri" w:hAnsi="Calibri"/>
                <w:i/>
                <w:color w:val="8C96A0"/>
                <w:sz w:val="20"/>
              </w:rPr>
              <w:t>[Coller ici la figure : Matrice de confusion sur le test officiel]</w:t>
              <w:br/>
              <w:t>(Cliquez ici ou faites glisser/coller l'image)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787878"/>
        <w:sz w:val="17"/>
      </w:rPr>
      <w:t>TP 2 — Sarcasme en arabe (ArSarcasm-v2) · Compte-rendu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Prof. Yassir MATRANE · Transformers &amp; LLMs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