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66A94" w:rsidRPr="00966A94" w:rsidRDefault="00966A94" w:rsidP="00966A94">
      <w:pPr>
        <w:spacing w:before="100" w:beforeAutospacing="1" w:after="100" w:afterAutospacing="1" w:line="240" w:lineRule="auto"/>
        <w:jc w:val="center"/>
        <w:outlineLvl w:val="1"/>
        <w:rPr>
          <w:rFonts w:ascii="Times New Roman" w:eastAsia="Times New Roman" w:hAnsi="Times New Roman" w:cs="Times New Roman"/>
          <w:b/>
          <w:bCs/>
          <w:sz w:val="36"/>
          <w:szCs w:val="36"/>
          <w:lang w:val="en-US" w:eastAsia="el-GR"/>
        </w:rPr>
      </w:pPr>
      <w:r w:rsidRPr="00966A94">
        <w:rPr>
          <w:rFonts w:ascii="Times New Roman" w:eastAsia="Times New Roman" w:hAnsi="Times New Roman" w:cs="Times New Roman"/>
          <w:b/>
          <w:bCs/>
          <w:sz w:val="36"/>
          <w:szCs w:val="36"/>
          <w:lang w:val="en-US" w:eastAsia="el-GR"/>
        </w:rPr>
        <w:t>Methodology</w:t>
      </w:r>
    </w:p>
    <w:p w:rsidR="00966A94" w:rsidRPr="00966A94" w:rsidRDefault="00966A94" w:rsidP="00966A94">
      <w:pPr>
        <w:spacing w:before="100" w:beforeAutospacing="1" w:after="100" w:afterAutospacing="1" w:line="240" w:lineRule="auto"/>
        <w:jc w:val="both"/>
        <w:outlineLvl w:val="2"/>
        <w:rPr>
          <w:rFonts w:ascii="Times New Roman" w:eastAsia="Times New Roman" w:hAnsi="Times New Roman" w:cs="Times New Roman"/>
          <w:b/>
          <w:bCs/>
          <w:sz w:val="27"/>
          <w:szCs w:val="27"/>
          <w:lang w:val="en-US" w:eastAsia="el-GR"/>
        </w:rPr>
      </w:pPr>
      <w:r w:rsidRPr="00966A94">
        <w:rPr>
          <w:rFonts w:ascii="Times New Roman" w:eastAsia="Times New Roman" w:hAnsi="Times New Roman" w:cs="Times New Roman"/>
          <w:b/>
          <w:bCs/>
          <w:sz w:val="27"/>
          <w:szCs w:val="27"/>
          <w:lang w:val="en-US" w:eastAsia="el-GR"/>
        </w:rPr>
        <w:t>Data Source and Structure</w:t>
      </w:r>
    </w:p>
    <w:p w:rsidR="00966A94" w:rsidRPr="00966A94" w:rsidRDefault="00966A94" w:rsidP="00966A94">
      <w:pPr>
        <w:spacing w:before="100" w:beforeAutospacing="1" w:after="100" w:afterAutospacing="1" w:line="240" w:lineRule="auto"/>
        <w:jc w:val="both"/>
        <w:rPr>
          <w:rFonts w:ascii="Times New Roman" w:eastAsia="Times New Roman" w:hAnsi="Times New Roman" w:cs="Times New Roman"/>
          <w:sz w:val="24"/>
          <w:szCs w:val="24"/>
          <w:lang w:val="en-US" w:eastAsia="el-GR"/>
        </w:rPr>
      </w:pPr>
      <w:r w:rsidRPr="00966A94">
        <w:rPr>
          <w:rFonts w:ascii="Times New Roman" w:eastAsia="Times New Roman" w:hAnsi="Times New Roman" w:cs="Times New Roman"/>
          <w:sz w:val="24"/>
          <w:szCs w:val="24"/>
          <w:lang w:val="en-US" w:eastAsia="el-GR"/>
        </w:rPr>
        <w:t>The analysis uses the Online Retail II dataset, obtained from the UCI Machine Learning Repository and provided in Microsoft Excel (.xlsx) format. The dataset consists of two worksheets covering the periods 2009–2010 and 2010–2011. Each record represents a line item from a customer invoice and includes transaction date, customer identifier, product information, quantity, and unit price. The two worksheets were merged to form a single transactional dataset, providing a continuous time horizon for customer behavior analysis.</w:t>
      </w:r>
    </w:p>
    <w:p w:rsidR="00966A94" w:rsidRPr="00966A94" w:rsidRDefault="00966A94" w:rsidP="00966A94">
      <w:pPr>
        <w:spacing w:before="100" w:beforeAutospacing="1" w:after="100" w:afterAutospacing="1" w:line="240" w:lineRule="auto"/>
        <w:jc w:val="both"/>
        <w:outlineLvl w:val="2"/>
        <w:rPr>
          <w:rFonts w:ascii="Times New Roman" w:eastAsia="Times New Roman" w:hAnsi="Times New Roman" w:cs="Times New Roman"/>
          <w:b/>
          <w:bCs/>
          <w:sz w:val="27"/>
          <w:szCs w:val="27"/>
          <w:lang w:eastAsia="el-GR"/>
        </w:rPr>
      </w:pPr>
      <w:proofErr w:type="spellStart"/>
      <w:r w:rsidRPr="00966A94">
        <w:rPr>
          <w:rFonts w:ascii="Times New Roman" w:eastAsia="Times New Roman" w:hAnsi="Times New Roman" w:cs="Times New Roman"/>
          <w:b/>
          <w:bCs/>
          <w:sz w:val="27"/>
          <w:szCs w:val="27"/>
          <w:lang w:eastAsia="el-GR"/>
        </w:rPr>
        <w:t>Data</w:t>
      </w:r>
      <w:proofErr w:type="spellEnd"/>
      <w:r w:rsidRPr="00966A94">
        <w:rPr>
          <w:rFonts w:ascii="Times New Roman" w:eastAsia="Times New Roman" w:hAnsi="Times New Roman" w:cs="Times New Roman"/>
          <w:b/>
          <w:bCs/>
          <w:sz w:val="27"/>
          <w:szCs w:val="27"/>
          <w:lang w:eastAsia="el-GR"/>
        </w:rPr>
        <w:t xml:space="preserve"> </w:t>
      </w:r>
      <w:proofErr w:type="spellStart"/>
      <w:r w:rsidRPr="00966A94">
        <w:rPr>
          <w:rFonts w:ascii="Times New Roman" w:eastAsia="Times New Roman" w:hAnsi="Times New Roman" w:cs="Times New Roman"/>
          <w:b/>
          <w:bCs/>
          <w:sz w:val="27"/>
          <w:szCs w:val="27"/>
          <w:lang w:eastAsia="el-GR"/>
        </w:rPr>
        <w:t>Cleaning</w:t>
      </w:r>
      <w:proofErr w:type="spellEnd"/>
      <w:r w:rsidRPr="00966A94">
        <w:rPr>
          <w:rFonts w:ascii="Times New Roman" w:eastAsia="Times New Roman" w:hAnsi="Times New Roman" w:cs="Times New Roman"/>
          <w:b/>
          <w:bCs/>
          <w:sz w:val="27"/>
          <w:szCs w:val="27"/>
          <w:lang w:eastAsia="el-GR"/>
        </w:rPr>
        <w:t xml:space="preserve"> </w:t>
      </w:r>
      <w:proofErr w:type="spellStart"/>
      <w:r w:rsidRPr="00966A94">
        <w:rPr>
          <w:rFonts w:ascii="Times New Roman" w:eastAsia="Times New Roman" w:hAnsi="Times New Roman" w:cs="Times New Roman"/>
          <w:b/>
          <w:bCs/>
          <w:sz w:val="27"/>
          <w:szCs w:val="27"/>
          <w:lang w:eastAsia="el-GR"/>
        </w:rPr>
        <w:t>and</w:t>
      </w:r>
      <w:proofErr w:type="spellEnd"/>
      <w:r w:rsidRPr="00966A94">
        <w:rPr>
          <w:rFonts w:ascii="Times New Roman" w:eastAsia="Times New Roman" w:hAnsi="Times New Roman" w:cs="Times New Roman"/>
          <w:b/>
          <w:bCs/>
          <w:sz w:val="27"/>
          <w:szCs w:val="27"/>
          <w:lang w:eastAsia="el-GR"/>
        </w:rPr>
        <w:t xml:space="preserve"> </w:t>
      </w:r>
      <w:proofErr w:type="spellStart"/>
      <w:r w:rsidRPr="00966A94">
        <w:rPr>
          <w:rFonts w:ascii="Times New Roman" w:eastAsia="Times New Roman" w:hAnsi="Times New Roman" w:cs="Times New Roman"/>
          <w:b/>
          <w:bCs/>
          <w:sz w:val="27"/>
          <w:szCs w:val="27"/>
          <w:lang w:eastAsia="el-GR"/>
        </w:rPr>
        <w:t>Preparation</w:t>
      </w:r>
      <w:proofErr w:type="spellEnd"/>
    </w:p>
    <w:p w:rsidR="00966A94" w:rsidRPr="00966A94" w:rsidRDefault="00966A94" w:rsidP="00966A94">
      <w:pPr>
        <w:spacing w:before="100" w:beforeAutospacing="1" w:after="100" w:afterAutospacing="1" w:line="240" w:lineRule="auto"/>
        <w:jc w:val="both"/>
        <w:rPr>
          <w:rFonts w:ascii="Times New Roman" w:eastAsia="Times New Roman" w:hAnsi="Times New Roman" w:cs="Times New Roman"/>
          <w:sz w:val="24"/>
          <w:szCs w:val="24"/>
          <w:lang w:val="en-US" w:eastAsia="el-GR"/>
        </w:rPr>
      </w:pPr>
      <w:r w:rsidRPr="00966A94">
        <w:rPr>
          <w:rFonts w:ascii="Times New Roman" w:eastAsia="Times New Roman" w:hAnsi="Times New Roman" w:cs="Times New Roman"/>
          <w:sz w:val="24"/>
          <w:szCs w:val="24"/>
          <w:lang w:val="en-US" w:eastAsia="el-GR"/>
        </w:rPr>
        <w:t xml:space="preserve">Data preparation focused on ensuring consistency and removing invalid records prior to analysis. Transactions with missing customer identifiers were excluded, as customer-level aggregation is required for behavioral analysis. Records with non-positive quantities or non-positive unit prices were removed to eliminate returns, cancellations, and data entry errors that could distort revenue calculations. Transaction dates were converted to </w:t>
      </w:r>
      <w:proofErr w:type="spellStart"/>
      <w:r w:rsidRPr="00966A94">
        <w:rPr>
          <w:rFonts w:ascii="Times New Roman" w:eastAsia="Times New Roman" w:hAnsi="Times New Roman" w:cs="Times New Roman"/>
          <w:sz w:val="24"/>
          <w:szCs w:val="24"/>
          <w:lang w:val="en-US" w:eastAsia="el-GR"/>
        </w:rPr>
        <w:t>datetime</w:t>
      </w:r>
      <w:proofErr w:type="spellEnd"/>
      <w:r w:rsidRPr="00966A94">
        <w:rPr>
          <w:rFonts w:ascii="Times New Roman" w:eastAsia="Times New Roman" w:hAnsi="Times New Roman" w:cs="Times New Roman"/>
          <w:sz w:val="24"/>
          <w:szCs w:val="24"/>
          <w:lang w:val="en-US" w:eastAsia="el-GR"/>
        </w:rPr>
        <w:t xml:space="preserve"> format, and revenue per transaction line was calculated as the product of quantity and unit price.</w:t>
      </w:r>
      <w:r w:rsidRPr="00966A94">
        <w:rPr>
          <w:rFonts w:ascii="Times New Roman" w:eastAsia="Times New Roman" w:hAnsi="Times New Roman" w:cs="Times New Roman"/>
          <w:sz w:val="24"/>
          <w:szCs w:val="24"/>
          <w:lang w:val="en-US" w:eastAsia="el-GR"/>
        </w:rPr>
        <w:br/>
        <w:t>To avoid duplicate invoice identifiers across the two source worksheets, a unique invoice key was created by combining the worksheet identifier with the original invoice number. This ensured accurate counting of purchase occasions for each customer.</w:t>
      </w:r>
    </w:p>
    <w:p w:rsidR="00966A94" w:rsidRPr="00966A94" w:rsidRDefault="00966A94" w:rsidP="00966A94">
      <w:pPr>
        <w:spacing w:before="100" w:beforeAutospacing="1" w:after="100" w:afterAutospacing="1" w:line="240" w:lineRule="auto"/>
        <w:jc w:val="both"/>
        <w:outlineLvl w:val="2"/>
        <w:rPr>
          <w:rFonts w:ascii="Times New Roman" w:eastAsia="Times New Roman" w:hAnsi="Times New Roman" w:cs="Times New Roman"/>
          <w:b/>
          <w:bCs/>
          <w:sz w:val="27"/>
          <w:szCs w:val="27"/>
          <w:lang w:val="en-US" w:eastAsia="el-GR"/>
        </w:rPr>
      </w:pPr>
      <w:r w:rsidRPr="00966A94">
        <w:rPr>
          <w:rFonts w:ascii="Times New Roman" w:eastAsia="Times New Roman" w:hAnsi="Times New Roman" w:cs="Times New Roman"/>
          <w:b/>
          <w:bCs/>
          <w:sz w:val="27"/>
          <w:szCs w:val="27"/>
          <w:lang w:val="en-US" w:eastAsia="el-GR"/>
        </w:rPr>
        <w:t>RFM Feature Engineering</w:t>
      </w:r>
    </w:p>
    <w:p w:rsidR="00966A94" w:rsidRPr="00966A94" w:rsidRDefault="00966A94" w:rsidP="00966A94">
      <w:pPr>
        <w:spacing w:before="100" w:beforeAutospacing="1" w:after="100" w:afterAutospacing="1" w:line="240" w:lineRule="auto"/>
        <w:jc w:val="both"/>
        <w:rPr>
          <w:rFonts w:ascii="Times New Roman" w:eastAsia="Times New Roman" w:hAnsi="Times New Roman" w:cs="Times New Roman"/>
          <w:sz w:val="24"/>
          <w:szCs w:val="24"/>
          <w:lang w:val="en-US" w:eastAsia="el-GR"/>
        </w:rPr>
      </w:pPr>
      <w:r w:rsidRPr="00966A94">
        <w:rPr>
          <w:rFonts w:ascii="Times New Roman" w:eastAsia="Times New Roman" w:hAnsi="Times New Roman" w:cs="Times New Roman"/>
          <w:sz w:val="24"/>
          <w:szCs w:val="24"/>
          <w:lang w:val="en-US" w:eastAsia="el-GR"/>
        </w:rPr>
        <w:t xml:space="preserve">Customer purchasing behavior was summarized using </w:t>
      </w:r>
      <w:proofErr w:type="spellStart"/>
      <w:r w:rsidRPr="00966A94">
        <w:rPr>
          <w:rFonts w:ascii="Times New Roman" w:eastAsia="Times New Roman" w:hAnsi="Times New Roman" w:cs="Times New Roman"/>
          <w:sz w:val="24"/>
          <w:szCs w:val="24"/>
          <w:lang w:val="en-US" w:eastAsia="el-GR"/>
        </w:rPr>
        <w:t>Recency</w:t>
      </w:r>
      <w:proofErr w:type="spellEnd"/>
      <w:r w:rsidRPr="00966A94">
        <w:rPr>
          <w:rFonts w:ascii="Times New Roman" w:eastAsia="Times New Roman" w:hAnsi="Times New Roman" w:cs="Times New Roman"/>
          <w:sz w:val="24"/>
          <w:szCs w:val="24"/>
          <w:lang w:val="en-US" w:eastAsia="el-GR"/>
        </w:rPr>
        <w:t xml:space="preserve">–Frequency–Monetary (RFM) analysis. A snapshot date was defined as one day after the last observed transaction and used as a reference point for </w:t>
      </w:r>
      <w:proofErr w:type="spellStart"/>
      <w:r w:rsidRPr="00966A94">
        <w:rPr>
          <w:rFonts w:ascii="Times New Roman" w:eastAsia="Times New Roman" w:hAnsi="Times New Roman" w:cs="Times New Roman"/>
          <w:sz w:val="24"/>
          <w:szCs w:val="24"/>
          <w:lang w:val="en-US" w:eastAsia="el-GR"/>
        </w:rPr>
        <w:t>recency</w:t>
      </w:r>
      <w:proofErr w:type="spellEnd"/>
      <w:r w:rsidRPr="00966A94">
        <w:rPr>
          <w:rFonts w:ascii="Times New Roman" w:eastAsia="Times New Roman" w:hAnsi="Times New Roman" w:cs="Times New Roman"/>
          <w:sz w:val="24"/>
          <w:szCs w:val="24"/>
          <w:lang w:val="en-US" w:eastAsia="el-GR"/>
        </w:rPr>
        <w:t xml:space="preserve"> calculations. </w:t>
      </w:r>
      <w:proofErr w:type="spellStart"/>
      <w:r w:rsidRPr="00966A94">
        <w:rPr>
          <w:rFonts w:ascii="Times New Roman" w:eastAsia="Times New Roman" w:hAnsi="Times New Roman" w:cs="Times New Roman"/>
          <w:sz w:val="24"/>
          <w:szCs w:val="24"/>
          <w:lang w:val="en-US" w:eastAsia="el-GR"/>
        </w:rPr>
        <w:t>Recency</w:t>
      </w:r>
      <w:proofErr w:type="spellEnd"/>
      <w:r w:rsidRPr="00966A94">
        <w:rPr>
          <w:rFonts w:ascii="Times New Roman" w:eastAsia="Times New Roman" w:hAnsi="Times New Roman" w:cs="Times New Roman"/>
          <w:sz w:val="24"/>
          <w:szCs w:val="24"/>
          <w:lang w:val="en-US" w:eastAsia="el-GR"/>
        </w:rPr>
        <w:t xml:space="preserve"> was computed as the number of days since a customer’s most recent purchase, Frequency as the number of distinct purchase occasions, and </w:t>
      </w:r>
      <w:proofErr w:type="gramStart"/>
      <w:r w:rsidRPr="00966A94">
        <w:rPr>
          <w:rFonts w:ascii="Times New Roman" w:eastAsia="Times New Roman" w:hAnsi="Times New Roman" w:cs="Times New Roman"/>
          <w:sz w:val="24"/>
          <w:szCs w:val="24"/>
          <w:lang w:val="en-US" w:eastAsia="el-GR"/>
        </w:rPr>
        <w:t>Monetary</w:t>
      </w:r>
      <w:proofErr w:type="gramEnd"/>
      <w:r w:rsidRPr="00966A94">
        <w:rPr>
          <w:rFonts w:ascii="Times New Roman" w:eastAsia="Times New Roman" w:hAnsi="Times New Roman" w:cs="Times New Roman"/>
          <w:sz w:val="24"/>
          <w:szCs w:val="24"/>
          <w:lang w:val="en-US" w:eastAsia="el-GR"/>
        </w:rPr>
        <w:t xml:space="preserve"> value as the total revenue generated by the customer during the observation period. RFM analysis was selected because it provides an intuitive and widely used framework for describing customer engagement and value based solely on transactional data.</w:t>
      </w:r>
    </w:p>
    <w:p w:rsidR="00966A94" w:rsidRPr="00966A94" w:rsidRDefault="00966A94" w:rsidP="00966A94">
      <w:pPr>
        <w:spacing w:before="100" w:beforeAutospacing="1" w:after="100" w:afterAutospacing="1" w:line="240" w:lineRule="auto"/>
        <w:jc w:val="both"/>
        <w:outlineLvl w:val="2"/>
        <w:rPr>
          <w:rFonts w:ascii="Times New Roman" w:eastAsia="Times New Roman" w:hAnsi="Times New Roman" w:cs="Times New Roman"/>
          <w:b/>
          <w:bCs/>
          <w:sz w:val="27"/>
          <w:szCs w:val="27"/>
          <w:lang w:val="en-US" w:eastAsia="el-GR"/>
        </w:rPr>
      </w:pPr>
      <w:r w:rsidRPr="00966A94">
        <w:rPr>
          <w:rFonts w:ascii="Times New Roman" w:eastAsia="Times New Roman" w:hAnsi="Times New Roman" w:cs="Times New Roman"/>
          <w:b/>
          <w:bCs/>
          <w:sz w:val="27"/>
          <w:szCs w:val="27"/>
          <w:lang w:val="en-US" w:eastAsia="el-GR"/>
        </w:rPr>
        <w:t>Customer Segmentation Using K-Means Clustering</w:t>
      </w:r>
    </w:p>
    <w:p w:rsidR="00966A94" w:rsidRPr="00966A94" w:rsidRDefault="00966A94" w:rsidP="00966A94">
      <w:pPr>
        <w:spacing w:before="100" w:beforeAutospacing="1" w:after="100" w:afterAutospacing="1" w:line="240" w:lineRule="auto"/>
        <w:jc w:val="both"/>
        <w:rPr>
          <w:rFonts w:ascii="Times New Roman" w:eastAsia="Times New Roman" w:hAnsi="Times New Roman" w:cs="Times New Roman"/>
          <w:sz w:val="24"/>
          <w:szCs w:val="24"/>
          <w:lang w:val="en-US" w:eastAsia="el-GR"/>
        </w:rPr>
      </w:pPr>
      <w:r w:rsidRPr="00966A94">
        <w:rPr>
          <w:rFonts w:ascii="Times New Roman" w:eastAsia="Times New Roman" w:hAnsi="Times New Roman" w:cs="Times New Roman"/>
          <w:sz w:val="24"/>
          <w:szCs w:val="24"/>
          <w:lang w:val="en-US" w:eastAsia="el-GR"/>
        </w:rPr>
        <w:t>Customer segmentation was performed using K-Means clustering applied to the RFM features. Due to the skewed distributions commonly observed in transactional data, frequency and monetary variables were log-transformed, and all clustering variables were standardized prior to model fitting. Several clustering solutions were evaluated using the silhouette coefficient, and the number of clusters with the best overall separation was selected.</w:t>
      </w:r>
      <w:r w:rsidRPr="00966A94">
        <w:rPr>
          <w:rFonts w:ascii="Times New Roman" w:eastAsia="Times New Roman" w:hAnsi="Times New Roman" w:cs="Times New Roman"/>
          <w:sz w:val="24"/>
          <w:szCs w:val="24"/>
          <w:lang w:val="en-US" w:eastAsia="el-GR"/>
        </w:rPr>
        <w:br/>
        <w:t xml:space="preserve">After clustering, customer segments were interpreted by comparing average RFM values across clusters. Business-oriented segment labels such as “Champions,” “Loyal Customers,” “At Risk,” and “Low Value” were assigned using rule-based logic derived from the relative ranking of </w:t>
      </w:r>
      <w:proofErr w:type="spellStart"/>
      <w:r w:rsidRPr="00966A94">
        <w:rPr>
          <w:rFonts w:ascii="Times New Roman" w:eastAsia="Times New Roman" w:hAnsi="Times New Roman" w:cs="Times New Roman"/>
          <w:sz w:val="24"/>
          <w:szCs w:val="24"/>
          <w:lang w:val="en-US" w:eastAsia="el-GR"/>
        </w:rPr>
        <w:t>recency</w:t>
      </w:r>
      <w:proofErr w:type="spellEnd"/>
      <w:r w:rsidRPr="00966A94">
        <w:rPr>
          <w:rFonts w:ascii="Times New Roman" w:eastAsia="Times New Roman" w:hAnsi="Times New Roman" w:cs="Times New Roman"/>
          <w:sz w:val="24"/>
          <w:szCs w:val="24"/>
          <w:lang w:val="en-US" w:eastAsia="el-GR"/>
        </w:rPr>
        <w:t xml:space="preserve">, frequency, and monetary contribution. </w:t>
      </w:r>
      <w:r w:rsidRPr="00966A94">
        <w:rPr>
          <w:rFonts w:ascii="Times New Roman" w:eastAsia="Times New Roman" w:hAnsi="Times New Roman" w:cs="Times New Roman"/>
          <w:sz w:val="24"/>
          <w:szCs w:val="24"/>
          <w:lang w:val="en-US" w:eastAsia="el-GR"/>
        </w:rPr>
        <w:lastRenderedPageBreak/>
        <w:t>This approach preserves the data-driven nature of the clustering while ensuring interpretability for non-technical stakeholders.</w:t>
      </w:r>
    </w:p>
    <w:p w:rsidR="00966A94" w:rsidRPr="00966A94" w:rsidRDefault="00966A94" w:rsidP="00966A94">
      <w:pPr>
        <w:spacing w:before="100" w:beforeAutospacing="1" w:after="100" w:afterAutospacing="1" w:line="240" w:lineRule="auto"/>
        <w:jc w:val="both"/>
        <w:outlineLvl w:val="2"/>
        <w:rPr>
          <w:rFonts w:ascii="Times New Roman" w:eastAsia="Times New Roman" w:hAnsi="Times New Roman" w:cs="Times New Roman"/>
          <w:b/>
          <w:bCs/>
          <w:sz w:val="27"/>
          <w:szCs w:val="27"/>
          <w:lang w:val="en-US" w:eastAsia="el-GR"/>
        </w:rPr>
      </w:pPr>
      <w:r w:rsidRPr="00966A94">
        <w:rPr>
          <w:rFonts w:ascii="Times New Roman" w:eastAsia="Times New Roman" w:hAnsi="Times New Roman" w:cs="Times New Roman"/>
          <w:b/>
          <w:bCs/>
          <w:sz w:val="27"/>
          <w:szCs w:val="27"/>
          <w:lang w:val="en-US" w:eastAsia="el-GR"/>
        </w:rPr>
        <w:t>Output Preparation for Business Intelligence</w:t>
      </w:r>
    </w:p>
    <w:p w:rsidR="00966A94" w:rsidRPr="00966A94" w:rsidRDefault="00966A94" w:rsidP="00966A94">
      <w:pPr>
        <w:spacing w:before="100" w:beforeAutospacing="1" w:after="100" w:afterAutospacing="1" w:line="240" w:lineRule="auto"/>
        <w:jc w:val="both"/>
        <w:rPr>
          <w:rFonts w:ascii="Times New Roman" w:eastAsia="Times New Roman" w:hAnsi="Times New Roman" w:cs="Times New Roman"/>
          <w:sz w:val="24"/>
          <w:szCs w:val="24"/>
          <w:lang w:val="en-US" w:eastAsia="el-GR"/>
        </w:rPr>
      </w:pPr>
      <w:r w:rsidRPr="00966A94">
        <w:rPr>
          <w:rFonts w:ascii="Times New Roman" w:eastAsia="Times New Roman" w:hAnsi="Times New Roman" w:cs="Times New Roman"/>
          <w:sz w:val="24"/>
          <w:szCs w:val="24"/>
          <w:lang w:val="en-US" w:eastAsia="el-GR"/>
        </w:rPr>
        <w:t>The final outputs of the analysis included a cleaned transactional dataset, a customer-level RFM table with segment assignments, and a segment-level summary table. These outputs were exported as CSV files and imported into Power BI for visualization and dashboard development. Separating analytical processing in Python from visualization in a business intelligence tool ensures reproducibility, clarity, and alignment with common industry analytics workflows.</w:t>
      </w:r>
    </w:p>
    <w:p w:rsidR="00B45384" w:rsidRPr="00966A94" w:rsidRDefault="00B45384" w:rsidP="00966A94">
      <w:pPr>
        <w:jc w:val="both"/>
        <w:rPr>
          <w:lang w:val="en-US"/>
        </w:rPr>
      </w:pPr>
    </w:p>
    <w:sectPr w:rsidR="00B45384" w:rsidRPr="00966A94" w:rsidSect="00B45384">
      <w:pgSz w:w="11906" w:h="16838"/>
      <w:pgMar w:top="1440" w:right="1800" w:bottom="1440" w:left="180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A1"/>
    <w:family w:val="swiss"/>
    <w:pitch w:val="variable"/>
    <w:sig w:usb0="E4002EFF" w:usb1="C2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20"/>
  <w:characterSpacingControl w:val="doNotCompress"/>
  <w:compat/>
  <w:rsids>
    <w:rsidRoot w:val="00B4200E"/>
    <w:rsid w:val="00850359"/>
    <w:rsid w:val="00966A94"/>
    <w:rsid w:val="00B4200E"/>
    <w:rsid w:val="00B45384"/>
  </w:rsids>
  <m:mathPr>
    <m:mathFont m:val="Cambria Math"/>
    <m:brkBin m:val="before"/>
    <m:brkBinSub m:val="--"/>
    <m:smallFrac m:val="off"/>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45384"/>
  </w:style>
  <w:style w:type="paragraph" w:styleId="2">
    <w:name w:val="heading 2"/>
    <w:basedOn w:val="a"/>
    <w:link w:val="2Char"/>
    <w:uiPriority w:val="9"/>
    <w:qFormat/>
    <w:rsid w:val="00B4200E"/>
    <w:pPr>
      <w:spacing w:before="100" w:beforeAutospacing="1" w:after="100" w:afterAutospacing="1" w:line="240" w:lineRule="auto"/>
      <w:outlineLvl w:val="1"/>
    </w:pPr>
    <w:rPr>
      <w:rFonts w:ascii="Times New Roman" w:eastAsia="Times New Roman" w:hAnsi="Times New Roman" w:cs="Times New Roman"/>
      <w:b/>
      <w:bCs/>
      <w:sz w:val="36"/>
      <w:szCs w:val="36"/>
      <w:lang w:eastAsia="el-GR"/>
    </w:rPr>
  </w:style>
  <w:style w:type="paragraph" w:styleId="3">
    <w:name w:val="heading 3"/>
    <w:basedOn w:val="a"/>
    <w:link w:val="3Char"/>
    <w:uiPriority w:val="9"/>
    <w:qFormat/>
    <w:rsid w:val="00B4200E"/>
    <w:pPr>
      <w:spacing w:before="100" w:beforeAutospacing="1" w:after="100" w:afterAutospacing="1" w:line="240" w:lineRule="auto"/>
      <w:outlineLvl w:val="2"/>
    </w:pPr>
    <w:rPr>
      <w:rFonts w:ascii="Times New Roman" w:eastAsia="Times New Roman" w:hAnsi="Times New Roman" w:cs="Times New Roman"/>
      <w:b/>
      <w:bCs/>
      <w:sz w:val="27"/>
      <w:szCs w:val="27"/>
      <w:lang w:eastAsia="el-GR"/>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Επικεφαλίδα 2 Char"/>
    <w:basedOn w:val="a0"/>
    <w:link w:val="2"/>
    <w:uiPriority w:val="9"/>
    <w:rsid w:val="00B4200E"/>
    <w:rPr>
      <w:rFonts w:ascii="Times New Roman" w:eastAsia="Times New Roman" w:hAnsi="Times New Roman" w:cs="Times New Roman"/>
      <w:b/>
      <w:bCs/>
      <w:sz w:val="36"/>
      <w:szCs w:val="36"/>
      <w:lang w:eastAsia="el-GR"/>
    </w:rPr>
  </w:style>
  <w:style w:type="character" w:customStyle="1" w:styleId="3Char">
    <w:name w:val="Επικεφαλίδα 3 Char"/>
    <w:basedOn w:val="a0"/>
    <w:link w:val="3"/>
    <w:uiPriority w:val="9"/>
    <w:rsid w:val="00B4200E"/>
    <w:rPr>
      <w:rFonts w:ascii="Times New Roman" w:eastAsia="Times New Roman" w:hAnsi="Times New Roman" w:cs="Times New Roman"/>
      <w:b/>
      <w:bCs/>
      <w:sz w:val="27"/>
      <w:szCs w:val="27"/>
      <w:lang w:eastAsia="el-GR"/>
    </w:rPr>
  </w:style>
  <w:style w:type="paragraph" w:styleId="Web">
    <w:name w:val="Normal (Web)"/>
    <w:basedOn w:val="a"/>
    <w:uiPriority w:val="99"/>
    <w:semiHidden/>
    <w:unhideWhenUsed/>
    <w:rsid w:val="00B4200E"/>
    <w:pPr>
      <w:spacing w:before="100" w:beforeAutospacing="1" w:after="100" w:afterAutospacing="1" w:line="240" w:lineRule="auto"/>
    </w:pPr>
    <w:rPr>
      <w:rFonts w:ascii="Times New Roman" w:eastAsia="Times New Roman" w:hAnsi="Times New Roman" w:cs="Times New Roman"/>
      <w:sz w:val="24"/>
      <w:szCs w:val="24"/>
      <w:lang w:eastAsia="el-GR"/>
    </w:rPr>
  </w:style>
</w:styles>
</file>

<file path=word/webSettings.xml><?xml version="1.0" encoding="utf-8"?>
<w:webSettings xmlns:r="http://schemas.openxmlformats.org/officeDocument/2006/relationships" xmlns:w="http://schemas.openxmlformats.org/wordprocessingml/2006/main">
  <w:divs>
    <w:div w:id="166404919">
      <w:bodyDiv w:val="1"/>
      <w:marLeft w:val="0"/>
      <w:marRight w:val="0"/>
      <w:marTop w:val="0"/>
      <w:marBottom w:val="0"/>
      <w:divBdr>
        <w:top w:val="none" w:sz="0" w:space="0" w:color="auto"/>
        <w:left w:val="none" w:sz="0" w:space="0" w:color="auto"/>
        <w:bottom w:val="none" w:sz="0" w:space="0" w:color="auto"/>
        <w:right w:val="none" w:sz="0" w:space="0" w:color="auto"/>
      </w:divBdr>
    </w:div>
    <w:div w:id="1094321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545</Words>
  <Characters>2947</Characters>
  <Application>Microsoft Office Word</Application>
  <DocSecurity>0</DocSecurity>
  <Lines>24</Lines>
  <Paragraphs>6</Paragraphs>
  <ScaleCrop>false</ScaleCrop>
  <Company/>
  <LinksUpToDate>false</LinksUpToDate>
  <CharactersWithSpaces>3486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Ryzen</dc:creator>
  <cp:keywords/>
  <dc:description/>
  <cp:lastModifiedBy>Ryzen</cp:lastModifiedBy>
  <cp:revision>3</cp:revision>
  <dcterms:created xsi:type="dcterms:W3CDTF">2026-01-17T12:03:00Z</dcterms:created>
  <dcterms:modified xsi:type="dcterms:W3CDTF">2026-01-17T12:32:00Z</dcterms:modified>
</cp:coreProperties>
</file>