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0E8C2AF5">
                <wp:simplePos x="0" y="0"/>
                <wp:positionH relativeFrom="page">
                  <wp:posOffset>154940</wp:posOffset>
                </wp:positionH>
                <wp:positionV relativeFrom="page">
                  <wp:posOffset>200660</wp:posOffset>
                </wp:positionV>
                <wp:extent cx="5487670" cy="9829800"/>
                <wp:effectExtent l="0" t="0" r="8890" b="2540"/>
                <wp:wrapNone/>
                <wp:docPr id="1" name="Rectangle 16"/>
                <a:graphic xmlns:a="http://schemas.openxmlformats.org/drawingml/2006/main">
                  <a:graphicData uri="http://schemas.microsoft.com/office/word/2010/wordprocessingShape">
                    <wps:wsp>
                      <wps:cNvSpPr/>
                      <wps:spPr>
                        <a:xfrm>
                          <a:off x="0" y="0"/>
                          <a:ext cx="5487120" cy="9829080"/>
                        </a:xfrm>
                        <a:prstGeom prst="rect">
                          <a:avLst/>
                        </a:prstGeom>
                        <a:solidFill>
                          <a:schemeClr val="accent1"/>
                        </a:solidFill>
                        <a:ln>
                          <a:noFill/>
                        </a:ln>
                      </wps:spPr>
                      <wps:style>
                        <a:lnRef idx="0"/>
                        <a:fillRef idx="0"/>
                        <a:effectRef idx="0"/>
                        <a:fontRef idx="minor"/>
                      </wps:style>
                      <wps:txbx>
                        <w:txbxContent>
                          <w:p>
                            <w:pPr>
                              <w:pStyle w:val="Title"/>
                              <w:jc w:val="right"/>
                              <w:rPr>
                                <w:caps/>
                                <w:color w:val="FFFFFF" w:themeColor="background1"/>
                                <w:sz w:val="80"/>
                                <w:szCs w:val="80"/>
                              </w:rPr>
                            </w:pPr>
                            <w:sdt>
                              <w:sdtPr>
                                <w:alias w:val="Titre"/>
                              </w:sdtPr>
                              <w:sdtContent>
                                <w:r>
                                  <w:rPr>
                                    <w:caps/>
                                    <w:color w:val="FFFFFF" w:themeColor="background1"/>
                                    <w:sz w:val="80"/>
                                    <w:szCs w:val="80"/>
                                  </w:rPr>
                                  <w:t>Dossier d'architecture technique</w:t>
                                </w:r>
                              </w:sdtContent>
                            </w:sdt>
                          </w:p>
                          <w:p>
                            <w:pPr>
                              <w:pStyle w:val="FrameContents"/>
                              <w:spacing w:before="240" w:after="160"/>
                              <w:ind w:left="720" w:hanging="0"/>
                              <w:jc w:val="right"/>
                              <w:rPr>
                                <w:color w:val="FFFFFF" w:themeColor="background1"/>
                              </w:rPr>
                            </w:pPr>
                            <w:r>
                              <w:rPr>
                                <w:color w:val="FFFFFF" w:themeColor="background1"/>
                              </w:rPr>
                              <w:t>WhatS</w:t>
                            </w:r>
                            <w:r>
                              <w:rPr>
                                <w:color w:val="FFFFFF" w:themeColor="background1"/>
                              </w:rPr>
                              <w:t>up au service de la performance</w:t>
                            </w:r>
                          </w:p>
                          <w:sdt>
                            <w:sdtPr>
                              <w:text/>
                              <w:id w:val="524913151"/>
                              <w:dataBinding w:prefixMappings="xmlns:ns0='http://schemas.microsoft.com/office/2006/coverPageProps'" w:xpath="/ns0:CoverPageProperties[1]/ns0:Abstract[1]" w:storeItemID="{55AF091B-3C7A-41E3-B477-F2FDAA23CFDA}"/>
                              <w:alias w:val="Résumé"/>
                            </w:sdtPr>
                            <w:sdtContent>
                              <w:p>
                                <w:pPr>
                                  <w:pStyle w:val="FrameContents"/>
                                  <w:spacing w:before="240" w:after="160"/>
                                  <w:ind w:left="1008" w:hanging="0"/>
                                  <w:jc w:val="right"/>
                                  <w:rPr/>
                                </w:pPr>
                                <w:r>
                                  <w:rPr>
                                    <w:color w:val="FFFFFF" w:themeColor="background1"/>
                                    <w:sz w:val="21"/>
                                    <w:szCs w:val="21"/>
                                  </w:rPr>
                                  <w:t xml:space="preserve">     </w:t>
                                </w:r>
                              </w:p>
                            </w:sdtContent>
                          </w:sdt>
                        </w:txbxContent>
                      </wps:txbx>
                      <wps:bodyPr lIns="274320" rIns="274320" tIns="914400" anchor="ctr">
                        <a:noAutofit/>
                      </wps:bodyPr>
                    </wps:wsp>
                  </a:graphicData>
                </a:graphic>
                <wp14:sizeRelH relativeFrom="page">
                  <wp14:pctWidth>69000</wp14:pctWidth>
                </wp14:sizeRelH>
                <wp14:sizeRelV relativeFrom="page">
                  <wp14:pctHeight>96000</wp14:pctHeight>
                </wp14:sizeRelV>
              </wp:anchor>
            </w:drawing>
          </mc:Choice>
          <mc:Fallback>
            <w:pict>
              <v:rect id="shape_0" ID="Rectangle 16" fillcolor="#5b9bd5" stroked="f" style="position:absolute;margin-left:12.2pt;margin-top:15.8pt;width:432pt;height:773.9pt;mso-position-horizontal-relative:page;mso-position-vertical-relative:page" wp14:anchorId="0E8C2AF5">
                <w10:wrap type="square"/>
                <v:fill o:detectmouseclick="t" type="solid" color2="#a4642a"/>
                <v:stroke color="#3465a4" joinstyle="round" endcap="flat"/>
                <v:textbox>
                  <w:txbxContent>
                    <w:p>
                      <w:pPr>
                        <w:pStyle w:val="Title"/>
                        <w:jc w:val="right"/>
                        <w:rPr>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re"/>
                        </w:sdtPr>
                        <w:sdtContent>
                          <w:r>
                            <w:rPr>
                              <w:caps/>
                              <w:color w:val="FFFFFF" w:themeColor="background1"/>
                              <w:sz w:val="80"/>
                              <w:szCs w:val="80"/>
                            </w:rPr>
                            <w:t>Dossier d'architecture technique</w:t>
                          </w:r>
                        </w:sdtContent>
                      </w:sdt>
                    </w:p>
                    <w:p>
                      <w:pPr>
                        <w:pStyle w:val="FrameContents"/>
                        <w:spacing w:before="240" w:after="160"/>
                        <w:ind w:left="720" w:hanging="0"/>
                        <w:jc w:val="right"/>
                        <w:rPr>
                          <w:color w:val="FFFFFF" w:themeColor="background1"/>
                        </w:rPr>
                      </w:pPr>
                      <w:r>
                        <w:rPr>
                          <w:color w:val="FFFFFF" w:themeColor="background1"/>
                        </w:rPr>
                        <w:t>WhatS</w:t>
                      </w:r>
                      <w:r>
                        <w:rPr>
                          <w:color w:val="FFFFFF" w:themeColor="background1"/>
                        </w:rPr>
                        <w:t>up au service de la performance</w:t>
                      </w:r>
                    </w:p>
                    <w:sdt>
                      <w:sdtPr>
                        <w:text/>
                        <w:id w:val="1692657017"/>
                        <w:dataBinding w:prefixMappings="xmlns:ns0='http://schemas.microsoft.com/office/2006/coverPageProps'" w:xpath="/ns0:CoverPageProperties[1]/ns0:Abstract[1]" w:storeItemID="{55AF091B-3C7A-41E3-B477-F2FDAA23CFDA}"/>
                        <w:alias w:val="Résumé"/>
                      </w:sdtPr>
                      <w:sdtContent>
                        <w:p>
                          <w:pPr>
                            <w:pStyle w:val="FrameContents"/>
                            <w:spacing w:before="240" w:after="160"/>
                            <w:ind w:left="1008" w:hanging="0"/>
                            <w:jc w:val="right"/>
                            <w:rPr/>
                          </w:pPr>
                          <w:r>
                            <w:rPr>
                              <w:color w:val="FFFFFF" w:themeColor="background1"/>
                              <w:sz w:val="21"/>
                              <w:szCs w:val="21"/>
                            </w:rPr>
                            <w:t xml:space="preserve">     </w:t>
                          </w:r>
                        </w:p>
                      </w:sdtContent>
                    </w:sdt>
                  </w:txbxContent>
                </v:textbox>
              </v:rect>
            </w:pict>
          </mc:Fallback>
        </mc:AlternateContent>
        <mc:AlternateContent>
          <mc:Choice Requires="wps">
            <w:drawing>
              <wp:anchor behindDoc="0" distT="0" distB="0" distL="114300" distR="114300" simplePos="0" locked="0" layoutInCell="1" allowOverlap="1" relativeHeight="3" wp14:anchorId="1133A175">
                <wp:simplePos x="0" y="0"/>
                <wp:positionH relativeFrom="page">
                  <wp:posOffset>5673725</wp:posOffset>
                </wp:positionH>
                <wp:positionV relativeFrom="page">
                  <wp:align>center</wp:align>
                </wp:positionV>
                <wp:extent cx="1908810" cy="9829800"/>
                <wp:effectExtent l="0" t="0" r="5080" b="2540"/>
                <wp:wrapNone/>
                <wp:docPr id="3" name="Rectangle 472"/>
                <a:graphic xmlns:a="http://schemas.openxmlformats.org/drawingml/2006/main">
                  <a:graphicData uri="http://schemas.microsoft.com/office/word/2010/wordprocessingShape">
                    <wps:wsp>
                      <wps:cNvSpPr/>
                      <wps:spPr>
                        <a:xfrm>
                          <a:off x="0" y="0"/>
                          <a:ext cx="1908000" cy="98290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Subtitle"/>
                              <w:spacing w:before="0" w:after="160"/>
                              <w:rPr/>
                            </w:pPr>
                            <w:sdt>
                              <w:sdtPr>
                                <w:alias w:val="Sous-titre"/>
                              </w:sdtPr>
                              <w:sdtContent>
                                <w:r>
                                  <w:rPr>
                                    <w:rFonts w:cs="" w:cstheme="minorBidi"/>
                                    <w:color w:val="FFFFFF" w:themeColor="background1"/>
                                  </w:rPr>
                                  <w:t>Qwirk</w:t>
                                </w:r>
                              </w:sdtContent>
                            </w:sdt>
                          </w:p>
                        </w:txbxContent>
                      </wps:txbx>
                      <wps:bodyPr lIns="182880" rIns="182880" anchor="ctr">
                        <a:prstTxWarp prst="textNoShape"/>
                        <a:noAutofit/>
                      </wps:bodyPr>
                    </wps:wsp>
                  </a:graphicData>
                </a:graphic>
                <wp14:sizeRelH relativeFrom="page">
                  <wp14:pctWidth>24000</wp14:pctWidth>
                </wp14:sizeRelH>
                <wp14:sizeRelV relativeFrom="page">
                  <wp14:pctHeight>96000</wp14:pctHeight>
                </wp14:sizeRelV>
              </wp:anchor>
            </w:drawing>
          </mc:Choice>
          <mc:Fallback>
            <w:pict>
              <v:rect id="shape_0" ID="Rectangle 472" fillcolor="#44546a" stroked="f" style="position:absolute;margin-left:446.75pt;margin-top:9pt;width:150.2pt;height:773.9pt;mso-position-horizontal-relative:page;mso-position-vertical:center;mso-position-vertical-relative:page" wp14:anchorId="1133A175">
                <w10:wrap type="square"/>
                <v:fill o:detectmouseclick="t" type="solid" color2="#bbab95"/>
                <v:stroke color="#3465a4" weight="12600" joinstyle="miter" endcap="flat"/>
                <v:textbox>
                  <w:txbxContent>
                    <w:p>
                      <w:pPr>
                        <w:pStyle w:val="Subtitle"/>
                        <w:spacing w:before="0" w:after="160"/>
                        <w:rPr/>
                      </w:pPr>
                      <w:sdt>
                        <w:sdtPr>
                          <w:text/>
                          <w:dataBinding w:prefixMappings="xmlns:ns0='http://schemas.openxmlformats.org/package/2006/metadata/core-properties' xmlns:ns1='http://purl.org/dc/elements/1.1/'" w:xpath="/ns0:coreProperties[1]/ns1:subject[1]" w:storeItemID="{6C3C8BC8-F283-45AE-878A-BAB7291924A1}"/>
                          <w:alias w:val="Sous-titre"/>
                        </w:sdtPr>
                        <w:sdtContent>
                          <w:r>
                            <w:rPr>
                              <w:rFonts w:cs="" w:cstheme="minorBidi"/>
                              <w:color w:val="FFFFFF" w:themeColor="background1"/>
                            </w:rPr>
                            <w:t>Qwirk</w:t>
                          </w:r>
                        </w:sdtContent>
                      </w:sdt>
                    </w:p>
                  </w:txbxContent>
                </v:textbox>
              </v:rect>
            </w:pict>
          </mc:Fallback>
        </mc:AlternateContent>
      </w:r>
    </w:p>
    <w:p>
      <w:pPr>
        <w:pStyle w:val="Normal"/>
        <w:rPr/>
      </w:pPr>
      <w:r>
        <w:rPr/>
      </w:r>
    </w:p>
    <w:p>
      <w:pPr>
        <w:pStyle w:val="Normal"/>
        <w:rPr>
          <w:rFonts w:ascii="Arial" w:hAnsi="Arial" w:eastAsia="Times New Roman" w:cs="Times New Roman"/>
          <w:sz w:val="20"/>
          <w:szCs w:val="20"/>
          <w:lang w:eastAsia="fr-FR"/>
        </w:rPr>
      </w:pPr>
      <w:r>
        <w:rPr>
          <w:rFonts w:eastAsia="Times New Roman" w:cs="Times New Roman" w:ascii="Arial" w:hAnsi="Arial"/>
          <w:sz w:val="20"/>
          <w:szCs w:val="20"/>
          <w:lang w:eastAsia="fr-FR"/>
        </w:rPr>
      </w:r>
      <w:r>
        <w:br w:type="page"/>
      </w:r>
    </w:p>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000" w:noVBand="0" w:noHBand="0" w:lastColumn="0" w:firstColumn="0" w:lastRow="0" w:firstRow="0"/>
      </w:tblPr>
      <w:tblGrid>
        <w:gridCol w:w="2387"/>
        <w:gridCol w:w="5941"/>
        <w:gridCol w:w="1"/>
        <w:gridCol w:w="1031"/>
      </w:tblGrid>
      <w:tr>
        <w:trPr>
          <w:cantSplit w:val="true"/>
        </w:trPr>
        <w:tc>
          <w:tcPr>
            <w:tcW w:w="83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B9BD5" w:themeFill="accent1" w:val="clear"/>
            <w:tcMar>
              <w:left w:w="70" w:type="dxa"/>
            </w:tcMar>
          </w:tcPr>
          <w:p>
            <w:pPr>
              <w:pStyle w:val="Normal"/>
              <w:spacing w:lineRule="atLeast" w:line="240" w:before="0" w:after="0"/>
              <w:jc w:val="both"/>
              <w:rPr>
                <w:rFonts w:ascii="Arial" w:hAnsi="Arial" w:eastAsia="Times New Roman" w:cs="Times New Roman"/>
                <w:color w:val="FFFFFF" w:themeColor="background1"/>
                <w:sz w:val="20"/>
                <w:szCs w:val="20"/>
                <w:lang w:eastAsia="fr-FR"/>
              </w:rPr>
            </w:pPr>
            <w:r>
              <w:rPr>
                <w:rFonts w:eastAsia="Times New Roman" w:cs="Times New Roman" w:ascii="Arial" w:hAnsi="Arial"/>
                <w:b/>
                <w:bCs/>
                <w:color w:val="FFFFFF" w:themeColor="background1"/>
                <w:sz w:val="20"/>
                <w:szCs w:val="20"/>
                <w:lang w:eastAsia="fr-FR"/>
              </w:rPr>
              <w:t>Diffusion interne</w:t>
            </w:r>
          </w:p>
        </w:tc>
        <w:tc>
          <w:tcPr>
            <w:tcW w:w="1032"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5B9BD5" w:themeFill="accent1" w:val="clear"/>
          </w:tcPr>
          <w:p>
            <w:pPr>
              <w:pStyle w:val="Normal"/>
              <w:spacing w:lineRule="atLeast" w:line="240" w:before="0" w:after="0"/>
              <w:jc w:val="center"/>
              <w:rPr>
                <w:rFonts w:ascii="Arial" w:hAnsi="Arial" w:eastAsia="Times New Roman" w:cs="Times New Roman"/>
                <w:b/>
                <w:b/>
                <w:bCs/>
                <w:color w:val="FFFFFF" w:themeColor="background1"/>
                <w:sz w:val="20"/>
                <w:szCs w:val="20"/>
                <w:lang w:eastAsia="fr-FR"/>
              </w:rPr>
            </w:pPr>
            <w:r>
              <w:rPr>
                <w:rFonts w:eastAsia="Times New Roman" w:cs="Times New Roman" w:ascii="Arial" w:hAnsi="Arial"/>
                <w:b/>
                <w:bCs/>
                <w:color w:val="FFFFFF" w:themeColor="background1"/>
                <w:sz w:val="20"/>
                <w:szCs w:val="20"/>
                <w:lang w:eastAsia="fr-FR"/>
              </w:rPr>
              <w:t>Code</w:t>
            </w:r>
          </w:p>
        </w:tc>
      </w:tr>
      <w:tr>
        <w:trPr>
          <w:trHeight w:val="285" w:hRule="atLeast"/>
          <w:cantSplit w:val="true"/>
        </w:trPr>
        <w:tc>
          <w:tcPr>
            <w:tcW w:w="2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Commercial</w:t>
            </w:r>
          </w:p>
        </w:tc>
        <w:tc>
          <w:tcPr>
            <w:tcW w:w="59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Adrien MONTAGU</w:t>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center"/>
              <w:rPr>
                <w:rFonts w:ascii="Arial" w:hAnsi="Arial" w:eastAsia="Times New Roman" w:cs="Times New Roman"/>
                <w:sz w:val="20"/>
                <w:szCs w:val="20"/>
                <w:lang w:eastAsia="fr-FR"/>
              </w:rPr>
            </w:pPr>
            <w:r>
              <w:rPr>
                <w:rFonts w:eastAsia="Times New Roman" w:cs="Times New Roman" w:ascii="Arial" w:hAnsi="Arial"/>
                <w:sz w:val="20"/>
                <w:szCs w:val="20"/>
                <w:lang w:eastAsia="fr-FR"/>
              </w:rPr>
              <w:t>I</w:t>
            </w:r>
          </w:p>
        </w:tc>
      </w:tr>
      <w:tr>
        <w:trPr>
          <w:trHeight w:val="285" w:hRule="atLeast"/>
          <w:cantSplit w:val="true"/>
        </w:trPr>
        <w:tc>
          <w:tcPr>
            <w:tcW w:w="2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Avant-vente</w:t>
            </w:r>
          </w:p>
        </w:tc>
        <w:tc>
          <w:tcPr>
            <w:tcW w:w="59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w:t>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center"/>
              <w:rPr>
                <w:rFonts w:ascii="Arial" w:hAnsi="Arial" w:eastAsia="Times New Roman" w:cs="Times New Roman"/>
                <w:sz w:val="20"/>
                <w:szCs w:val="20"/>
                <w:lang w:eastAsia="fr-FR"/>
              </w:rPr>
            </w:pPr>
            <w:r>
              <w:rPr>
                <w:rFonts w:eastAsia="Times New Roman" w:cs="Times New Roman" w:ascii="Arial" w:hAnsi="Arial"/>
                <w:sz w:val="20"/>
                <w:szCs w:val="20"/>
                <w:lang w:eastAsia="fr-FR"/>
              </w:rPr>
              <w:t>I</w:t>
            </w:r>
          </w:p>
        </w:tc>
      </w:tr>
      <w:tr>
        <w:trPr>
          <w:trHeight w:val="285" w:hRule="atLeast"/>
          <w:cantSplit w:val="true"/>
        </w:trPr>
        <w:tc>
          <w:tcPr>
            <w:tcW w:w="2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Chef de Projet</w:t>
            </w:r>
          </w:p>
        </w:tc>
        <w:tc>
          <w:tcPr>
            <w:tcW w:w="59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Pierre-Eric TESSA</w:t>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center"/>
              <w:rPr>
                <w:rFonts w:ascii="Arial" w:hAnsi="Arial" w:eastAsia="Times New Roman" w:cs="Times New Roman"/>
                <w:sz w:val="20"/>
                <w:szCs w:val="20"/>
                <w:lang w:eastAsia="fr-FR"/>
              </w:rPr>
            </w:pPr>
            <w:r>
              <w:rPr>
                <w:rFonts w:eastAsia="Times New Roman" w:cs="Times New Roman" w:ascii="Arial" w:hAnsi="Arial"/>
                <w:sz w:val="20"/>
                <w:szCs w:val="20"/>
                <w:lang w:eastAsia="fr-FR"/>
              </w:rPr>
              <w:t>ACR</w:t>
            </w:r>
          </w:p>
        </w:tc>
      </w:tr>
      <w:tr>
        <w:trPr>
          <w:trHeight w:val="285" w:hRule="atLeast"/>
          <w:cantSplit w:val="true"/>
        </w:trPr>
        <w:tc>
          <w:tcPr>
            <w:tcW w:w="2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Consultant(s)</w:t>
            </w:r>
          </w:p>
        </w:tc>
        <w:tc>
          <w:tcPr>
            <w:tcW w:w="59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Equipe projet</w:t>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center"/>
              <w:rPr>
                <w:rFonts w:ascii="Arial" w:hAnsi="Arial" w:eastAsia="Times New Roman" w:cs="Times New Roman"/>
                <w:sz w:val="20"/>
                <w:szCs w:val="20"/>
                <w:lang w:eastAsia="fr-FR"/>
              </w:rPr>
            </w:pPr>
            <w:r>
              <w:rPr>
                <w:rFonts w:eastAsia="Times New Roman" w:cs="Times New Roman" w:ascii="Arial" w:hAnsi="Arial"/>
                <w:sz w:val="20"/>
                <w:szCs w:val="20"/>
                <w:lang w:eastAsia="fr-FR"/>
              </w:rPr>
              <w:t>C</w:t>
            </w:r>
          </w:p>
        </w:tc>
      </w:tr>
    </w:tbl>
    <w:p>
      <w:pPr>
        <w:pStyle w:val="Normal"/>
        <w:tabs>
          <w:tab w:val="right" w:pos="9356" w:leader="none"/>
        </w:tabs>
        <w:spacing w:lineRule="atLeast" w:line="240" w:before="0" w:after="0"/>
        <w:jc w:val="both"/>
        <w:rPr>
          <w:rFonts w:ascii="Arial" w:hAnsi="Arial" w:eastAsia="Times New Roman" w:cs="Times New Roman"/>
          <w:b/>
          <w:b/>
          <w:i/>
          <w:i/>
          <w:sz w:val="20"/>
          <w:szCs w:val="20"/>
          <w:lang w:eastAsia="fr-FR"/>
        </w:rPr>
      </w:pPr>
      <w:r>
        <w:rPr>
          <w:rFonts w:eastAsia="Times New Roman" w:cs="Times New Roman" w:ascii="Arial" w:hAnsi="Arial"/>
          <w:b/>
          <w:i/>
          <w:sz w:val="20"/>
          <w:szCs w:val="20"/>
          <w:lang w:eastAsia="fr-FR"/>
        </w:rPr>
        <w:tab/>
      </w:r>
    </w:p>
    <w:tbl>
      <w:tblPr>
        <w:tblW w:w="5000" w:type="pct"/>
        <w:jc w:val="left"/>
        <w:tblInd w:w="0" w:type="dxa"/>
        <w:tblBorders>
          <w:top w:val="single" w:sz="4" w:space="0" w:color="00000A"/>
          <w:left w:val="single" w:sz="4" w:space="0" w:color="00000A"/>
          <w:bottom w:val="single" w:sz="4" w:space="0" w:color="00000A"/>
          <w:insideH w:val="single" w:sz="4" w:space="0" w:color="00000A"/>
        </w:tblBorders>
        <w:tblCellMar>
          <w:top w:w="0" w:type="dxa"/>
          <w:left w:w="70" w:type="dxa"/>
          <w:bottom w:w="0" w:type="dxa"/>
          <w:right w:w="70" w:type="dxa"/>
        </w:tblCellMar>
        <w:tblLook w:val="0000" w:noVBand="0" w:noHBand="0" w:lastColumn="0" w:firstColumn="0" w:lastRow="0" w:firstRow="0"/>
      </w:tblPr>
      <w:tblGrid>
        <w:gridCol w:w="2386"/>
        <w:gridCol w:w="5940"/>
        <w:gridCol w:w="1"/>
        <w:gridCol w:w="1033"/>
      </w:tblGrid>
      <w:tr>
        <w:trPr>
          <w:cantSplit w:val="true"/>
        </w:trPr>
        <w:tc>
          <w:tcPr>
            <w:tcW w:w="8326" w:type="dxa"/>
            <w:gridSpan w:val="2"/>
            <w:tcBorders>
              <w:top w:val="single" w:sz="4" w:space="0" w:color="00000A"/>
              <w:left w:val="single" w:sz="4" w:space="0" w:color="00000A"/>
              <w:bottom w:val="single" w:sz="4" w:space="0" w:color="00000A"/>
              <w:insideH w:val="single" w:sz="4" w:space="0" w:color="00000A"/>
            </w:tcBorders>
            <w:shd w:color="auto" w:fill="5B9BD5" w:themeFill="accent1" w:val="clear"/>
            <w:tcMar>
              <w:left w:w="70" w:type="dxa"/>
            </w:tcMar>
          </w:tcPr>
          <w:p>
            <w:pPr>
              <w:pStyle w:val="Normal"/>
              <w:spacing w:lineRule="atLeast" w:line="240" w:before="0" w:after="0"/>
              <w:jc w:val="both"/>
              <w:rPr>
                <w:rFonts w:ascii="Arial" w:hAnsi="Arial" w:eastAsia="Times New Roman" w:cs="Times New Roman"/>
                <w:color w:val="FFFFFF" w:themeColor="background1"/>
                <w:sz w:val="20"/>
                <w:szCs w:val="20"/>
                <w:lang w:eastAsia="fr-FR"/>
              </w:rPr>
            </w:pPr>
            <w:r>
              <w:rPr>
                <w:rFonts w:eastAsia="Times New Roman" w:cs="Times New Roman" w:ascii="Arial" w:hAnsi="Arial"/>
                <w:b/>
                <w:bCs/>
                <w:color w:val="FFFFFF" w:themeColor="background1"/>
                <w:sz w:val="20"/>
                <w:szCs w:val="20"/>
                <w:lang w:eastAsia="fr-FR"/>
              </w:rPr>
              <w:t>Diffusion client</w:t>
            </w:r>
          </w:p>
        </w:tc>
        <w:tc>
          <w:tcPr>
            <w:tcW w:w="1034"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5B9BD5" w:themeFill="accent1" w:val="clear"/>
          </w:tcPr>
          <w:p>
            <w:pPr>
              <w:pStyle w:val="Normal"/>
              <w:spacing w:lineRule="atLeast" w:line="240" w:before="0" w:after="0"/>
              <w:jc w:val="center"/>
              <w:rPr>
                <w:rFonts w:ascii="Arial" w:hAnsi="Arial" w:eastAsia="Times New Roman" w:cs="Times New Roman"/>
                <w:b/>
                <w:b/>
                <w:bCs/>
                <w:color w:val="FFFFFF" w:themeColor="background1"/>
                <w:sz w:val="20"/>
                <w:szCs w:val="20"/>
                <w:lang w:eastAsia="fr-FR"/>
              </w:rPr>
            </w:pPr>
            <w:r>
              <w:rPr>
                <w:rFonts w:eastAsia="Times New Roman" w:cs="Times New Roman" w:ascii="Arial" w:hAnsi="Arial"/>
                <w:b/>
                <w:bCs/>
                <w:color w:val="FFFFFF" w:themeColor="background1"/>
                <w:sz w:val="20"/>
                <w:szCs w:val="20"/>
                <w:lang w:eastAsia="fr-FR"/>
              </w:rPr>
              <w:t>Code</w:t>
            </w:r>
          </w:p>
        </w:tc>
      </w:tr>
      <w:tr>
        <w:trPr>
          <w:trHeight w:val="285" w:hRule="atLeast"/>
          <w:cantSplit w:val="true"/>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DSI</w:t>
            </w:r>
          </w:p>
        </w:tc>
        <w:tc>
          <w:tcPr>
            <w:tcW w:w="59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w:t>
            </w:r>
          </w:p>
        </w:tc>
        <w:tc>
          <w:tcPr>
            <w:tcW w:w="10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center"/>
              <w:rPr>
                <w:rFonts w:ascii="Arial" w:hAnsi="Arial" w:eastAsia="Times New Roman" w:cs="Times New Roman"/>
                <w:sz w:val="20"/>
                <w:szCs w:val="20"/>
                <w:lang w:eastAsia="fr-FR"/>
              </w:rPr>
            </w:pPr>
            <w:r>
              <w:rPr>
                <w:rFonts w:eastAsia="Times New Roman" w:cs="Times New Roman" w:ascii="Arial" w:hAnsi="Arial"/>
                <w:sz w:val="20"/>
                <w:szCs w:val="20"/>
                <w:lang w:eastAsia="fr-FR"/>
              </w:rPr>
              <w:t>AC</w:t>
            </w:r>
          </w:p>
        </w:tc>
      </w:tr>
      <w:tr>
        <w:trPr>
          <w:trHeight w:val="285" w:hRule="atLeast"/>
          <w:cantSplit w:val="true"/>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Chef de Projet</w:t>
            </w:r>
          </w:p>
        </w:tc>
        <w:tc>
          <w:tcPr>
            <w:tcW w:w="59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ind w:left="900" w:hanging="90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w:t>
            </w:r>
          </w:p>
        </w:tc>
        <w:tc>
          <w:tcPr>
            <w:tcW w:w="10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center"/>
              <w:rPr>
                <w:rFonts w:ascii="Arial" w:hAnsi="Arial" w:eastAsia="Times New Roman" w:cs="Times New Roman"/>
                <w:sz w:val="20"/>
                <w:szCs w:val="20"/>
                <w:lang w:eastAsia="fr-FR"/>
              </w:rPr>
            </w:pPr>
            <w:r>
              <w:rPr>
                <w:rFonts w:eastAsia="Times New Roman" w:cs="Times New Roman" w:ascii="Arial" w:hAnsi="Arial"/>
                <w:sz w:val="20"/>
                <w:szCs w:val="20"/>
                <w:lang w:eastAsia="fr-FR"/>
              </w:rPr>
              <w:t>I</w:t>
            </w:r>
          </w:p>
        </w:tc>
      </w:tr>
      <w:tr>
        <w:trPr>
          <w:trHeight w:val="285" w:hRule="atLeast"/>
          <w:cantSplit w:val="true"/>
        </w:trPr>
        <w:tc>
          <w:tcPr>
            <w:tcW w:w="2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sz w:val="20"/>
                <w:szCs w:val="20"/>
                <w:lang w:eastAsia="fr-FR"/>
              </w:rPr>
            </w:pPr>
            <w:r>
              <w:rPr>
                <w:rFonts w:eastAsia="Times New Roman" w:cs="Times New Roman" w:ascii="Arial" w:hAnsi="Arial"/>
                <w:b/>
                <w:sz w:val="20"/>
                <w:szCs w:val="20"/>
                <w:lang w:eastAsia="fr-FR"/>
              </w:rPr>
            </w:r>
          </w:p>
        </w:tc>
        <w:tc>
          <w:tcPr>
            <w:tcW w:w="59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r>
          </w:p>
        </w:tc>
        <w:tc>
          <w:tcPr>
            <w:tcW w:w="10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center"/>
              <w:rPr>
                <w:rFonts w:ascii="Arial" w:hAnsi="Arial" w:eastAsia="Times New Roman" w:cs="Times New Roman"/>
                <w:sz w:val="20"/>
                <w:szCs w:val="20"/>
                <w:lang w:eastAsia="fr-FR"/>
              </w:rPr>
            </w:pPr>
            <w:r>
              <w:rPr>
                <w:rFonts w:eastAsia="Times New Roman" w:cs="Times New Roman" w:ascii="Arial" w:hAnsi="Arial"/>
                <w:sz w:val="20"/>
                <w:szCs w:val="20"/>
                <w:lang w:eastAsia="fr-FR"/>
              </w:rPr>
            </w:r>
          </w:p>
        </w:tc>
      </w:tr>
    </w:tbl>
    <w:p>
      <w:pPr>
        <w:pStyle w:val="Normal"/>
        <w:tabs>
          <w:tab w:val="right" w:pos="9356" w:leader="none"/>
        </w:tabs>
        <w:spacing w:lineRule="atLeast" w:line="240" w:before="0" w:after="0"/>
        <w:jc w:val="both"/>
        <w:rPr>
          <w:rFonts w:ascii="Arial" w:hAnsi="Arial" w:eastAsia="Times New Roman" w:cs="Times New Roman"/>
          <w:i/>
          <w:i/>
          <w:iCs/>
          <w:sz w:val="20"/>
          <w:szCs w:val="20"/>
          <w:lang w:eastAsia="fr-FR"/>
        </w:rPr>
      </w:pPr>
      <w:r>
        <w:rPr>
          <w:rFonts w:eastAsia="Times New Roman" w:cs="Times New Roman" w:ascii="Arial" w:hAnsi="Arial"/>
          <w:b/>
          <w:i/>
          <w:sz w:val="20"/>
          <w:szCs w:val="20"/>
          <w:lang w:eastAsia="fr-FR"/>
        </w:rPr>
        <w:tab/>
      </w:r>
      <w:r>
        <w:rPr>
          <w:rFonts w:eastAsia="Times New Roman" w:cs="Times New Roman" w:ascii="Arial" w:hAnsi="Arial"/>
          <w:b/>
          <w:bCs/>
          <w:i/>
          <w:iCs/>
          <w:sz w:val="20"/>
          <w:szCs w:val="20"/>
          <w:lang w:eastAsia="fr-FR"/>
        </w:rPr>
        <w:t>Code : A</w:t>
      </w:r>
      <w:r>
        <w:rPr>
          <w:rFonts w:eastAsia="Times New Roman" w:cs="Times New Roman" w:ascii="Arial" w:hAnsi="Arial"/>
          <w:i/>
          <w:iCs/>
          <w:sz w:val="20"/>
          <w:szCs w:val="20"/>
          <w:lang w:eastAsia="fr-FR"/>
        </w:rPr>
        <w:t xml:space="preserve">pprobation, </w:t>
      </w:r>
      <w:r>
        <w:rPr>
          <w:rFonts w:eastAsia="Times New Roman" w:cs="Times New Roman" w:ascii="Arial" w:hAnsi="Arial"/>
          <w:b/>
          <w:bCs/>
          <w:i/>
          <w:iCs/>
          <w:sz w:val="20"/>
          <w:szCs w:val="20"/>
          <w:lang w:eastAsia="fr-FR"/>
        </w:rPr>
        <w:t>I</w:t>
      </w:r>
      <w:r>
        <w:rPr>
          <w:rFonts w:eastAsia="Times New Roman" w:cs="Times New Roman" w:ascii="Arial" w:hAnsi="Arial"/>
          <w:i/>
          <w:iCs/>
          <w:sz w:val="20"/>
          <w:szCs w:val="20"/>
          <w:lang w:eastAsia="fr-FR"/>
        </w:rPr>
        <w:t>nformation, a</w:t>
      </w:r>
      <w:r>
        <w:rPr>
          <w:rFonts w:eastAsia="Times New Roman" w:cs="Times New Roman" w:ascii="Arial" w:hAnsi="Arial"/>
          <w:b/>
          <w:bCs/>
          <w:i/>
          <w:iCs/>
          <w:sz w:val="20"/>
          <w:szCs w:val="20"/>
          <w:lang w:eastAsia="fr-FR"/>
        </w:rPr>
        <w:t>C</w:t>
      </w:r>
      <w:r>
        <w:rPr>
          <w:rFonts w:eastAsia="Times New Roman" w:cs="Times New Roman" w:ascii="Arial" w:hAnsi="Arial"/>
          <w:i/>
          <w:iCs/>
          <w:sz w:val="20"/>
          <w:szCs w:val="20"/>
          <w:lang w:eastAsia="fr-FR"/>
        </w:rPr>
        <w:t>tion, a</w:t>
      </w:r>
      <w:r>
        <w:rPr>
          <w:rFonts w:eastAsia="Times New Roman" w:cs="Times New Roman" w:ascii="Arial" w:hAnsi="Arial"/>
          <w:b/>
          <w:bCs/>
          <w:i/>
          <w:iCs/>
          <w:sz w:val="20"/>
          <w:szCs w:val="20"/>
          <w:lang w:eastAsia="fr-FR"/>
        </w:rPr>
        <w:t>R</w:t>
      </w:r>
      <w:r>
        <w:rPr>
          <w:rFonts w:eastAsia="Times New Roman" w:cs="Times New Roman" w:ascii="Arial" w:hAnsi="Arial"/>
          <w:i/>
          <w:iCs/>
          <w:sz w:val="20"/>
          <w:szCs w:val="20"/>
          <w:lang w:eastAsia="fr-FR"/>
        </w:rPr>
        <w:t>chivage</w:t>
      </w:r>
    </w:p>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000" w:noVBand="0" w:noHBand="0" w:lastColumn="0" w:firstColumn="0" w:lastRow="0" w:firstRow="0"/>
      </w:tblPr>
      <w:tblGrid>
        <w:gridCol w:w="2150"/>
        <w:gridCol w:w="2429"/>
        <w:gridCol w:w="1726"/>
        <w:gridCol w:w="798"/>
        <w:gridCol w:w="397"/>
        <w:gridCol w:w="1859"/>
      </w:tblGrid>
      <w:tr>
        <w:trPr>
          <w:cantSplit w:val="true"/>
        </w:trPr>
        <w:tc>
          <w:tcPr>
            <w:tcW w:w="9359"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B9BD5" w:themeFill="accent1" w:val="clear"/>
            <w:tcMar>
              <w:left w:w="70" w:type="dxa"/>
            </w:tcMar>
          </w:tcPr>
          <w:p>
            <w:pPr>
              <w:pStyle w:val="Normal"/>
              <w:spacing w:lineRule="atLeast" w:line="240" w:before="0" w:after="0"/>
              <w:jc w:val="both"/>
              <w:rPr>
                <w:rFonts w:ascii="Arial" w:hAnsi="Arial" w:eastAsia="Times New Roman" w:cs="Times New Roman"/>
                <w:b/>
                <w:b/>
                <w:bCs/>
                <w:color w:val="FFFFFF" w:themeColor="background1"/>
                <w:sz w:val="20"/>
                <w:szCs w:val="20"/>
                <w:lang w:eastAsia="fr-FR"/>
              </w:rPr>
            </w:pPr>
            <w:r>
              <w:rPr>
                <w:rFonts w:eastAsia="Times New Roman" w:cs="Times New Roman" w:ascii="Arial" w:hAnsi="Arial"/>
                <w:b/>
                <w:bCs/>
                <w:color w:val="FFFFFF" w:themeColor="background1"/>
                <w:sz w:val="20"/>
                <w:szCs w:val="20"/>
                <w:lang w:eastAsia="fr-FR"/>
              </w:rPr>
              <w:t>Informations qualité</w:t>
            </w:r>
          </w:p>
        </w:tc>
      </w:tr>
      <w:tr>
        <w:trPr>
          <w:trHeight w:val="510" w:hRule="atLeast"/>
        </w:trPr>
        <w:tc>
          <w:tcPr>
            <w:tcW w:w="2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Date de sortie</w:t>
            </w:r>
          </w:p>
        </w:tc>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pPr>
            <w:r>
              <w:rPr/>
              <w:fldChar w:fldCharType="begin" w:fldLock="true"/>
            </w:r>
            <w:r>
              <w:instrText> DOCPROPERTY "DateDeSortie"</w:instrText>
            </w:r>
            <w:r>
              <w:fldChar w:fldCharType="separate"/>
            </w:r>
            <w:r>
              <w:t>11/12/201</w:t>
            </w:r>
            <w:r>
              <w:fldChar w:fldCharType="end"/>
            </w:r>
            <w:r>
              <w:rPr>
                <w:rFonts w:eastAsia="Times New Roman" w:cs="Times New Roman" w:ascii="Arial" w:hAnsi="Arial"/>
                <w:sz w:val="20"/>
                <w:szCs w:val="20"/>
                <w:lang w:eastAsia="fr-FR"/>
              </w:rPr>
              <w:t>7</w:t>
            </w:r>
          </w:p>
        </w:tc>
        <w:tc>
          <w:tcPr>
            <w:tcW w:w="292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Numéro de la dernière page</w:t>
            </w:r>
          </w:p>
        </w:tc>
        <w:tc>
          <w:tcPr>
            <w:tcW w:w="1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center"/>
              <w:rPr>
                <w:rFonts w:ascii="Arial" w:hAnsi="Arial" w:eastAsia="Times New Roman" w:cs="Times New Roman"/>
                <w:sz w:val="20"/>
                <w:szCs w:val="20"/>
                <w:lang w:eastAsia="fr-FR"/>
              </w:rPr>
            </w:pPr>
            <w:r>
              <w:rPr>
                <w:rFonts w:eastAsia="Times New Roman" w:cs="Times New Roman" w:ascii="Arial" w:hAnsi="Arial"/>
                <w:sz w:val="20"/>
                <w:szCs w:val="20"/>
                <w:lang w:eastAsia="fr-FR"/>
              </w:rPr>
              <w:t>21</w:t>
            </w:r>
          </w:p>
        </w:tc>
      </w:tr>
      <w:tr>
        <w:trPr>
          <w:trHeight w:val="510" w:hRule="atLeast"/>
          <w:cantSplit w:val="true"/>
        </w:trPr>
        <w:tc>
          <w:tcPr>
            <w:tcW w:w="2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Rédigé par</w:t>
            </w:r>
          </w:p>
        </w:tc>
        <w:tc>
          <w:tcPr>
            <w:tcW w:w="720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sz w:val="20"/>
                <w:szCs w:val="20"/>
                <w:lang w:eastAsia="fr-FR"/>
              </w:rPr>
            </w:pPr>
            <w:bookmarkStart w:id="0" w:name="__DdeLink__1080_379708203"/>
            <w:bookmarkEnd w:id="0"/>
            <w:r>
              <w:rPr>
                <w:rFonts w:eastAsia="Times New Roman" w:cs="Times New Roman" w:ascii="Arial" w:hAnsi="Arial"/>
                <w:sz w:val="20"/>
                <w:szCs w:val="20"/>
                <w:lang w:eastAsia="fr-FR"/>
              </w:rPr>
              <w:t>Guillaume LOYER et Pierre-Eric TESSA</w:t>
            </w:r>
          </w:p>
        </w:tc>
      </w:tr>
      <w:tr>
        <w:trPr>
          <w:trHeight w:val="510" w:hRule="atLeast"/>
          <w:cantSplit w:val="true"/>
        </w:trPr>
        <w:tc>
          <w:tcPr>
            <w:tcW w:w="2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Vérifié par</w:t>
            </w:r>
          </w:p>
        </w:tc>
        <w:tc>
          <w:tcPr>
            <w:tcW w:w="415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pPr>
            <w:r>
              <w:rPr>
                <w:rFonts w:eastAsia="Times New Roman" w:cs="Times New Roman" w:ascii="Arial" w:hAnsi="Arial"/>
                <w:sz w:val="20"/>
                <w:szCs w:val="20"/>
                <w:lang w:eastAsia="fr-FR"/>
              </w:rPr>
              <w:t>Guillaume LOYER et Pierre-Eric TESSA</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Visa</w:t>
            </w:r>
          </w:p>
        </w:tc>
        <w:tc>
          <w:tcPr>
            <w:tcW w:w="22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09/06/2017</w:t>
            </w:r>
          </w:p>
        </w:tc>
      </w:tr>
      <w:tr>
        <w:trPr>
          <w:trHeight w:val="510" w:hRule="atLeast"/>
          <w:cantSplit w:val="true"/>
        </w:trPr>
        <w:tc>
          <w:tcPr>
            <w:tcW w:w="2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Approuvé par</w:t>
            </w:r>
          </w:p>
        </w:tc>
        <w:tc>
          <w:tcPr>
            <w:tcW w:w="415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Pierre-Eric TESSA et Adrien Montagu</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t>Visa</w:t>
            </w:r>
          </w:p>
        </w:tc>
        <w:tc>
          <w:tcPr>
            <w:tcW w:w="22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09/06/2017</w:t>
            </w:r>
          </w:p>
        </w:tc>
      </w:tr>
    </w:tbl>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a0" w:noVBand="0" w:noHBand="0" w:lastColumn="0" w:firstColumn="1" w:lastRow="0" w:firstRow="1"/>
      </w:tblPr>
      <w:tblGrid>
        <w:gridCol w:w="1176"/>
        <w:gridCol w:w="2011"/>
        <w:gridCol w:w="2953"/>
        <w:gridCol w:w="3219"/>
      </w:tblGrid>
      <w:tr>
        <w:trPr>
          <w:tblHeader w:val="true"/>
        </w:trPr>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B9BD5" w:themeFill="accent1" w:val="clear"/>
            <w:tcMar>
              <w:left w:w="108" w:type="dxa"/>
            </w:tcMar>
            <w:vAlign w:val="center"/>
          </w:tcPr>
          <w:p>
            <w:pPr>
              <w:pStyle w:val="Normal"/>
              <w:spacing w:lineRule="atLeast" w:line="240" w:before="0" w:after="0"/>
              <w:rPr>
                <w:rFonts w:ascii="Arial" w:hAnsi="Arial" w:eastAsia="Times New Roman" w:cs="Times New Roman"/>
                <w:b/>
                <w:b/>
                <w:bCs/>
                <w:color w:val="FFFFFF" w:themeColor="background1"/>
                <w:sz w:val="20"/>
                <w:szCs w:val="20"/>
                <w:lang w:eastAsia="fr-FR"/>
              </w:rPr>
            </w:pPr>
            <w:r>
              <w:rPr>
                <w:rFonts w:eastAsia="Times New Roman" w:cs="Times New Roman" w:ascii="Arial" w:hAnsi="Arial"/>
                <w:b/>
                <w:bCs/>
                <w:color w:val="FFFFFF" w:themeColor="background1"/>
                <w:sz w:val="20"/>
                <w:szCs w:val="20"/>
                <w:lang w:eastAsia="fr-FR"/>
              </w:rPr>
              <w:t>Version</w:t>
            </w:r>
          </w:p>
        </w:tc>
        <w:tc>
          <w:tcPr>
            <w:tcW w:w="20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B9BD5" w:themeFill="accent1" w:val="clear"/>
            <w:tcMar>
              <w:left w:w="108" w:type="dxa"/>
            </w:tcMar>
            <w:vAlign w:val="center"/>
          </w:tcPr>
          <w:p>
            <w:pPr>
              <w:pStyle w:val="Normal"/>
              <w:spacing w:lineRule="atLeast" w:line="240" w:before="0" w:after="0"/>
              <w:rPr>
                <w:rFonts w:ascii="Arial" w:hAnsi="Arial" w:eastAsia="Times New Roman" w:cs="Times New Roman"/>
                <w:b/>
                <w:b/>
                <w:bCs/>
                <w:color w:val="FFFFFF" w:themeColor="background1"/>
                <w:sz w:val="20"/>
                <w:szCs w:val="20"/>
                <w:lang w:eastAsia="fr-FR"/>
              </w:rPr>
            </w:pPr>
            <w:r>
              <w:rPr>
                <w:rFonts w:eastAsia="Times New Roman" w:cs="Times New Roman" w:ascii="Arial" w:hAnsi="Arial"/>
                <w:b/>
                <w:bCs/>
                <w:color w:val="FFFFFF" w:themeColor="background1"/>
                <w:sz w:val="20"/>
                <w:szCs w:val="20"/>
                <w:lang w:eastAsia="fr-FR"/>
              </w:rPr>
              <w:t>Date</w:t>
            </w:r>
          </w:p>
        </w:tc>
        <w:tc>
          <w:tcPr>
            <w:tcW w:w="2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B9BD5" w:themeFill="accent1" w:val="clear"/>
            <w:tcMar>
              <w:left w:w="108" w:type="dxa"/>
            </w:tcMar>
            <w:vAlign w:val="center"/>
          </w:tcPr>
          <w:p>
            <w:pPr>
              <w:pStyle w:val="Normal"/>
              <w:spacing w:lineRule="atLeast" w:line="240" w:before="0" w:after="0"/>
              <w:rPr>
                <w:rFonts w:ascii="Arial" w:hAnsi="Arial" w:eastAsia="Times New Roman" w:cs="Times New Roman"/>
                <w:b/>
                <w:b/>
                <w:bCs/>
                <w:color w:val="FFFFFF" w:themeColor="background1"/>
                <w:sz w:val="20"/>
                <w:szCs w:val="20"/>
                <w:lang w:eastAsia="fr-FR"/>
              </w:rPr>
            </w:pPr>
            <w:r>
              <w:rPr>
                <w:rFonts w:eastAsia="Times New Roman" w:cs="Times New Roman" w:ascii="Arial" w:hAnsi="Arial"/>
                <w:b/>
                <w:bCs/>
                <w:color w:val="FFFFFF" w:themeColor="background1"/>
                <w:sz w:val="20"/>
                <w:szCs w:val="20"/>
                <w:lang w:eastAsia="fr-FR"/>
              </w:rPr>
              <w:t>Auteur</w:t>
            </w:r>
          </w:p>
        </w:tc>
        <w:tc>
          <w:tcPr>
            <w:tcW w:w="3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B9BD5" w:themeFill="accent1" w:val="clear"/>
            <w:tcMar>
              <w:left w:w="108" w:type="dxa"/>
            </w:tcMar>
            <w:vAlign w:val="center"/>
          </w:tcPr>
          <w:p>
            <w:pPr>
              <w:pStyle w:val="Normal"/>
              <w:spacing w:lineRule="atLeast" w:line="240" w:before="0" w:after="0"/>
              <w:rPr>
                <w:rFonts w:ascii="Arial" w:hAnsi="Arial" w:eastAsia="Times New Roman" w:cs="Times New Roman"/>
                <w:b/>
                <w:b/>
                <w:bCs/>
                <w:color w:val="FFFFFF" w:themeColor="background1"/>
                <w:sz w:val="20"/>
                <w:szCs w:val="20"/>
                <w:lang w:eastAsia="fr-FR"/>
              </w:rPr>
            </w:pPr>
            <w:r>
              <w:rPr>
                <w:rFonts w:eastAsia="Times New Roman" w:cs="Times New Roman" w:ascii="Arial" w:hAnsi="Arial"/>
                <w:b/>
                <w:bCs/>
                <w:color w:val="FFFFFF" w:themeColor="background1"/>
                <w:sz w:val="20"/>
                <w:szCs w:val="20"/>
                <w:lang w:eastAsia="fr-FR"/>
              </w:rPr>
              <w:t>Nature des modifications</w:t>
            </w:r>
          </w:p>
        </w:tc>
      </w:tr>
      <w:tr>
        <w:trPr>
          <w:tblHeader w:val="true"/>
          <w:trHeight w:val="358" w:hRule="atLeast"/>
        </w:trPr>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0.1</w:t>
            </w:r>
          </w:p>
        </w:tc>
        <w:tc>
          <w:tcPr>
            <w:tcW w:w="20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15/05/2017</w:t>
            </w:r>
          </w:p>
        </w:tc>
        <w:tc>
          <w:tcPr>
            <w:tcW w:w="2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Guillaume LOYER</w:t>
            </w:r>
          </w:p>
        </w:tc>
        <w:tc>
          <w:tcPr>
            <w:tcW w:w="3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rPr>
                <w:rFonts w:ascii="Arial" w:hAnsi="Arial" w:eastAsia="Times New Roman" w:cs="Times New Roman"/>
                <w:sz w:val="20"/>
                <w:szCs w:val="20"/>
                <w:lang w:eastAsia="fr-FR"/>
              </w:rPr>
            </w:pPr>
            <w:r>
              <w:rPr>
                <w:rFonts w:eastAsia="Times New Roman" w:cs="Times New Roman" w:ascii="Arial" w:hAnsi="Arial"/>
                <w:sz w:val="20"/>
                <w:szCs w:val="20"/>
                <w:lang w:eastAsia="fr-FR"/>
              </w:rPr>
              <w:t>Création du document</w:t>
            </w:r>
          </w:p>
        </w:tc>
      </w:tr>
      <w:tr>
        <w:trPr>
          <w:tblHeader w:val="true"/>
          <w:trHeight w:val="358" w:hRule="atLeast"/>
        </w:trPr>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0.2</w:t>
            </w:r>
          </w:p>
        </w:tc>
        <w:tc>
          <w:tcPr>
            <w:tcW w:w="20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07/06/2017</w:t>
            </w:r>
          </w:p>
        </w:tc>
        <w:tc>
          <w:tcPr>
            <w:tcW w:w="2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Guillaume LOYER</w:t>
            </w:r>
          </w:p>
        </w:tc>
        <w:tc>
          <w:tcPr>
            <w:tcW w:w="3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rPr>
                <w:rFonts w:ascii="Arial" w:hAnsi="Arial" w:eastAsia="Times New Roman" w:cs="Times New Roman"/>
                <w:sz w:val="20"/>
                <w:szCs w:val="20"/>
                <w:lang w:eastAsia="fr-FR"/>
              </w:rPr>
            </w:pPr>
            <w:r>
              <w:rPr>
                <w:rFonts w:eastAsia="Times New Roman" w:cs="Times New Roman" w:ascii="Arial" w:hAnsi="Arial"/>
                <w:sz w:val="20"/>
                <w:szCs w:val="20"/>
                <w:lang w:eastAsia="fr-FR"/>
              </w:rPr>
              <w:t>Description des modules</w:t>
            </w:r>
          </w:p>
        </w:tc>
      </w:tr>
      <w:tr>
        <w:trPr>
          <w:tblHeader w:val="true"/>
          <w:trHeight w:val="358" w:hRule="atLeast"/>
        </w:trPr>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0.3</w:t>
            </w:r>
          </w:p>
        </w:tc>
        <w:tc>
          <w:tcPr>
            <w:tcW w:w="20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08/06/2017</w:t>
            </w:r>
          </w:p>
        </w:tc>
        <w:tc>
          <w:tcPr>
            <w:tcW w:w="2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Pierre-Eric TESSA</w:t>
            </w:r>
          </w:p>
        </w:tc>
        <w:tc>
          <w:tcPr>
            <w:tcW w:w="3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rPr>
                <w:rFonts w:ascii="Arial" w:hAnsi="Arial" w:eastAsia="Times New Roman" w:cs="Times New Roman"/>
                <w:sz w:val="20"/>
                <w:szCs w:val="20"/>
                <w:lang w:eastAsia="fr-FR"/>
              </w:rPr>
            </w:pPr>
            <w:r>
              <w:rPr>
                <w:rFonts w:eastAsia="Times New Roman" w:cs="Times New Roman" w:ascii="Arial" w:hAnsi="Arial"/>
                <w:sz w:val="20"/>
                <w:szCs w:val="20"/>
                <w:lang w:eastAsia="fr-FR"/>
              </w:rPr>
              <w:t>Révision</w:t>
            </w:r>
          </w:p>
        </w:tc>
      </w:tr>
      <w:tr>
        <w:trPr>
          <w:tblHeader w:val="true"/>
          <w:trHeight w:val="358" w:hRule="atLeast"/>
        </w:trPr>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0.4</w:t>
            </w:r>
          </w:p>
        </w:tc>
        <w:tc>
          <w:tcPr>
            <w:tcW w:w="20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t>09/06/2017</w:t>
            </w:r>
          </w:p>
        </w:tc>
        <w:tc>
          <w:tcPr>
            <w:tcW w:w="2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tLeast" w:line="240" w:before="0" w:after="0"/>
              <w:jc w:val="both"/>
              <w:rPr/>
            </w:pPr>
            <w:r>
              <w:rPr>
                <w:rFonts w:eastAsia="Times New Roman" w:cs="Times New Roman" w:ascii="Arial" w:hAnsi="Arial"/>
                <w:sz w:val="20"/>
                <w:szCs w:val="20"/>
                <w:lang w:eastAsia="fr-FR"/>
              </w:rPr>
              <w:t>Adrien Montagu</w:t>
            </w:r>
          </w:p>
        </w:tc>
        <w:tc>
          <w:tcPr>
            <w:tcW w:w="3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rPr>
                <w:rFonts w:ascii="Arial" w:hAnsi="Arial" w:eastAsia="Times New Roman" w:cs="Times New Roman"/>
                <w:sz w:val="20"/>
                <w:szCs w:val="20"/>
                <w:lang w:eastAsia="fr-FR"/>
              </w:rPr>
            </w:pPr>
            <w:r>
              <w:rPr>
                <w:rFonts w:eastAsia="Times New Roman" w:cs="Times New Roman" w:ascii="Arial" w:hAnsi="Arial"/>
                <w:sz w:val="20"/>
                <w:szCs w:val="20"/>
                <w:lang w:eastAsia="fr-FR"/>
              </w:rPr>
              <w:t>Correction orthographique et grammaticale intégrale</w:t>
            </w:r>
          </w:p>
        </w:tc>
      </w:tr>
      <w:tr>
        <w:trPr>
          <w:tblHeader w:val="true"/>
          <w:trHeight w:val="358" w:hRule="atLeast"/>
        </w:trPr>
        <w:tc>
          <w:tcPr>
            <w:tcW w:w="11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r>
          </w:p>
        </w:tc>
        <w:tc>
          <w:tcPr>
            <w:tcW w:w="20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r>
          </w:p>
        </w:tc>
        <w:tc>
          <w:tcPr>
            <w:tcW w:w="2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tLeast" w:line="240" w:before="0" w:after="0"/>
              <w:jc w:val="both"/>
              <w:rPr>
                <w:rFonts w:ascii="Arial" w:hAnsi="Arial" w:eastAsia="Times New Roman" w:cs="Times New Roman"/>
                <w:sz w:val="20"/>
                <w:szCs w:val="20"/>
                <w:lang w:eastAsia="fr-FR"/>
              </w:rPr>
            </w:pPr>
            <w:r>
              <w:rPr>
                <w:rFonts w:eastAsia="Times New Roman" w:cs="Times New Roman" w:ascii="Arial" w:hAnsi="Arial"/>
                <w:sz w:val="20"/>
                <w:szCs w:val="20"/>
                <w:lang w:eastAsia="fr-FR"/>
              </w:rPr>
            </w:r>
          </w:p>
        </w:tc>
        <w:tc>
          <w:tcPr>
            <w:tcW w:w="3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tLeast" w:line="240" w:before="0" w:after="0"/>
              <w:rPr>
                <w:rFonts w:ascii="Arial" w:hAnsi="Arial" w:eastAsia="Times New Roman" w:cs="Times New Roman"/>
                <w:sz w:val="20"/>
                <w:szCs w:val="20"/>
                <w:lang w:eastAsia="fr-FR"/>
              </w:rPr>
            </w:pPr>
            <w:r>
              <w:rPr>
                <w:rFonts w:eastAsia="Times New Roman" w:cs="Times New Roman" w:ascii="Arial" w:hAnsi="Arial"/>
                <w:sz w:val="20"/>
                <w:szCs w:val="20"/>
                <w:lang w:eastAsia="fr-FR"/>
              </w:rPr>
            </w:r>
          </w:p>
        </w:tc>
      </w:tr>
    </w:tbl>
    <w:p>
      <w:pPr>
        <w:pStyle w:val="Normal"/>
        <w:rPr>
          <w:rFonts w:ascii="Arial" w:hAnsi="Arial" w:eastAsia="Times New Roman" w:cs="Times New Roman"/>
          <w:sz w:val="20"/>
          <w:szCs w:val="20"/>
          <w:lang w:eastAsia="fr-FR"/>
        </w:rPr>
      </w:pPr>
      <w:r>
        <w:rPr>
          <w:rFonts w:eastAsia="Times New Roman" w:cs="Times New Roman" w:ascii="Arial" w:hAnsi="Arial"/>
          <w:sz w:val="20"/>
          <w:szCs w:val="20"/>
          <w:lang w:eastAsia="fr-FR"/>
        </w:rPr>
      </w:r>
    </w:p>
    <w:p>
      <w:pPr>
        <w:pStyle w:val="Normal"/>
        <w:rPr>
          <w:color w:val="2E74B5" w:themeColor="accent1" w:themeShade="bf"/>
          <w:sz w:val="26"/>
          <w:szCs w:val="26"/>
        </w:rPr>
      </w:pPr>
      <w:r>
        <w:rPr>
          <w:color w:val="2E74B5" w:themeColor="accent1" w:themeShade="bf"/>
          <w:sz w:val="26"/>
          <w:szCs w:val="26"/>
        </w:rPr>
      </w:r>
      <w:r>
        <w:br w:type="page"/>
      </w:r>
    </w:p>
    <w:p>
      <w:pPr>
        <w:pStyle w:val="Normal"/>
        <w:rPr>
          <w:color w:val="2E74B5" w:themeColor="accent1" w:themeShade="bf"/>
          <w:sz w:val="26"/>
          <w:szCs w:val="26"/>
        </w:rPr>
      </w:pPr>
      <w:r>
        <w:rPr>
          <w:color w:val="2E74B5" w:themeColor="accent1" w:themeShade="bf"/>
          <w:sz w:val="26"/>
          <w:szCs w:val="26"/>
        </w:rPr>
      </w:r>
    </w:p>
    <w:sdt>
      <w:sdtPr>
        <w:docPartObj>
          <w:docPartGallery w:val="Table of Contents"/>
          <w:docPartUnique w:val="true"/>
        </w:docPartObj>
        <w:id w:val="1889666611"/>
      </w:sdtPr>
      <w:sdtContent>
        <w:p>
          <w:pPr>
            <w:pStyle w:val="TOCHeading"/>
            <w:rPr/>
          </w:pPr>
          <w:r>
            <w:rPr/>
            <w:t>Table des matières</w:t>
          </w:r>
        </w:p>
        <w:p>
          <w:pPr>
            <w:pStyle w:val="Contents1"/>
            <w:rPr>
              <w:rFonts w:eastAsia="" w:eastAsiaTheme="minorEastAsia"/>
              <w:lang w:eastAsia="fr-FR"/>
            </w:rPr>
          </w:pPr>
          <w:r>
            <w:fldChar w:fldCharType="begin"/>
          </w:r>
          <w:r>
            <w:instrText> TOC \z \o "1-3" \u \h</w:instrText>
          </w:r>
          <w:r>
            <w:fldChar w:fldCharType="separate"/>
          </w:r>
          <w:hyperlink w:anchor="_Toc484772071">
            <w:r>
              <w:rPr>
                <w:webHidden/>
                <w:rStyle w:val="IndexLink"/>
              </w:rPr>
              <w:t>1.</w:t>
            </w:r>
            <w:r>
              <w:rPr>
                <w:rStyle w:val="IndexLink"/>
                <w:rFonts w:eastAsia="" w:eastAsiaTheme="minorEastAsia"/>
                <w:lang w:eastAsia="fr-FR"/>
              </w:rPr>
              <w:tab/>
            </w:r>
            <w:r>
              <w:rPr>
                <w:rStyle w:val="IndexLink"/>
              </w:rPr>
              <w:t>Présentation</w:t>
            </w:r>
            <w:r>
              <w:rPr>
                <w:webHidden/>
              </w:rPr>
              <w:fldChar w:fldCharType="begin"/>
            </w:r>
            <w:r>
              <w:rPr>
                <w:webHidden/>
              </w:rPr>
              <w:instrText>PAGEREF _Toc484772071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lang w:eastAsia="fr-FR"/>
            </w:rPr>
          </w:pPr>
          <w:hyperlink w:anchor="_Toc484772072">
            <w:r>
              <w:rPr>
                <w:webHidden/>
                <w:rStyle w:val="IndexLink"/>
              </w:rPr>
              <w:t>2.</w:t>
            </w:r>
            <w:r>
              <w:rPr>
                <w:rStyle w:val="IndexLink"/>
                <w:rFonts w:eastAsia="" w:eastAsiaTheme="minorEastAsia"/>
                <w:lang w:eastAsia="fr-FR"/>
              </w:rPr>
              <w:tab/>
            </w:r>
            <w:r>
              <w:rPr>
                <w:rStyle w:val="IndexLink"/>
              </w:rPr>
              <w:t>Architecture générale</w:t>
            </w:r>
            <w:r>
              <w:rPr>
                <w:webHidden/>
              </w:rPr>
              <w:fldChar w:fldCharType="begin"/>
            </w:r>
            <w:r>
              <w:rPr>
                <w:webHidden/>
              </w:rPr>
              <w:instrText>PAGEREF _Toc484772072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lang w:eastAsia="fr-FR"/>
            </w:rPr>
          </w:pPr>
          <w:hyperlink w:anchor="_Toc484772073">
            <w:r>
              <w:rPr>
                <w:webHidden/>
                <w:rStyle w:val="IndexLink"/>
              </w:rPr>
              <w:t>2.1.</w:t>
            </w:r>
            <w:r>
              <w:rPr>
                <w:rStyle w:val="IndexLink"/>
                <w:rFonts w:eastAsia="" w:eastAsiaTheme="minorEastAsia"/>
                <w:lang w:eastAsia="fr-FR"/>
              </w:rPr>
              <w:tab/>
            </w:r>
            <w:r>
              <w:rPr>
                <w:rStyle w:val="IndexLink"/>
              </w:rPr>
              <w:t>Rappel du besoin</w:t>
            </w:r>
            <w:r>
              <w:rPr>
                <w:webHidden/>
              </w:rPr>
              <w:fldChar w:fldCharType="begin"/>
            </w:r>
            <w:r>
              <w:rPr>
                <w:webHidden/>
              </w:rPr>
              <w:instrText>PAGEREF _Toc484772073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lang w:eastAsia="fr-FR"/>
            </w:rPr>
          </w:pPr>
          <w:hyperlink w:anchor="_Toc484772074">
            <w:r>
              <w:rPr>
                <w:webHidden/>
                <w:rStyle w:val="IndexLink"/>
              </w:rPr>
              <w:t>2.2.</w:t>
            </w:r>
            <w:r>
              <w:rPr>
                <w:rStyle w:val="IndexLink"/>
                <w:rFonts w:eastAsia="" w:eastAsiaTheme="minorEastAsia"/>
                <w:lang w:eastAsia="fr-FR"/>
              </w:rPr>
              <w:tab/>
            </w:r>
            <w:r>
              <w:rPr>
                <w:rStyle w:val="IndexLink"/>
              </w:rPr>
              <w:t>Objectifs du projet</w:t>
            </w:r>
            <w:r>
              <w:rPr>
                <w:webHidden/>
              </w:rPr>
              <w:fldChar w:fldCharType="begin"/>
            </w:r>
            <w:r>
              <w:rPr>
                <w:webHidden/>
              </w:rPr>
              <w:instrText>PAGEREF _Toc484772074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lang w:eastAsia="fr-FR"/>
            </w:rPr>
          </w:pPr>
          <w:hyperlink w:anchor="_Toc484772075">
            <w:r>
              <w:rPr>
                <w:webHidden/>
                <w:rStyle w:val="IndexLink"/>
              </w:rPr>
              <w:t>2.3.</w:t>
            </w:r>
            <w:r>
              <w:rPr>
                <w:rStyle w:val="IndexLink"/>
                <w:rFonts w:eastAsia="" w:eastAsiaTheme="minorEastAsia"/>
                <w:lang w:eastAsia="fr-FR"/>
              </w:rPr>
              <w:tab/>
            </w:r>
            <w:r>
              <w:rPr>
                <w:rStyle w:val="IndexLink"/>
              </w:rPr>
              <w:t>Schéma de principe d'architecture</w:t>
            </w:r>
            <w:r>
              <w:rPr>
                <w:webHidden/>
              </w:rPr>
              <w:fldChar w:fldCharType="begin"/>
            </w:r>
            <w:r>
              <w:rPr>
                <w:webHidden/>
              </w:rPr>
              <w:instrText>PAGEREF _Toc484772075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lang w:eastAsia="fr-FR"/>
            </w:rPr>
          </w:pPr>
          <w:hyperlink w:anchor="_Toc484772076">
            <w:r>
              <w:rPr>
                <w:webHidden/>
                <w:rStyle w:val="IndexLink"/>
              </w:rPr>
              <w:t>3.</w:t>
            </w:r>
            <w:r>
              <w:rPr>
                <w:rStyle w:val="IndexLink"/>
                <w:rFonts w:eastAsia="" w:eastAsiaTheme="minorEastAsia"/>
                <w:lang w:eastAsia="fr-FR"/>
              </w:rPr>
              <w:tab/>
            </w:r>
            <w:r>
              <w:rPr>
                <w:rStyle w:val="IndexLink"/>
              </w:rPr>
              <w:t>Architecture physique</w:t>
            </w:r>
            <w:r>
              <w:rPr>
                <w:webHidden/>
              </w:rPr>
              <w:fldChar w:fldCharType="begin"/>
            </w:r>
            <w:r>
              <w:rPr>
                <w:webHidden/>
              </w:rPr>
              <w:instrText>PAGEREF _Toc484772076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lang w:eastAsia="fr-FR"/>
            </w:rPr>
          </w:pPr>
          <w:hyperlink w:anchor="_Toc484772077">
            <w:r>
              <w:rPr>
                <w:webHidden/>
                <w:rStyle w:val="IndexLink"/>
              </w:rPr>
              <w:t>3.1.</w:t>
            </w:r>
            <w:r>
              <w:rPr>
                <w:rStyle w:val="IndexLink"/>
                <w:rFonts w:eastAsia="" w:eastAsiaTheme="minorEastAsia"/>
                <w:lang w:eastAsia="fr-FR"/>
              </w:rPr>
              <w:tab/>
            </w:r>
            <w:r>
              <w:rPr>
                <w:rStyle w:val="IndexLink"/>
              </w:rPr>
              <w:t>ESXi</w:t>
            </w:r>
            <w:r>
              <w:rPr>
                <w:webHidden/>
              </w:rPr>
              <w:fldChar w:fldCharType="begin"/>
            </w:r>
            <w:r>
              <w:rPr>
                <w:webHidden/>
              </w:rPr>
              <w:instrText>PAGEREF _Toc484772077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lang w:eastAsia="fr-FR"/>
            </w:rPr>
          </w:pPr>
          <w:hyperlink w:anchor="_Toc484772078">
            <w:r>
              <w:rPr>
                <w:webHidden/>
                <w:rStyle w:val="IndexLink"/>
              </w:rPr>
              <w:t>3.2.</w:t>
            </w:r>
            <w:r>
              <w:rPr>
                <w:rStyle w:val="IndexLink"/>
                <w:rFonts w:eastAsia="" w:eastAsiaTheme="minorEastAsia"/>
                <w:lang w:eastAsia="fr-FR"/>
              </w:rPr>
              <w:tab/>
            </w:r>
            <w:r>
              <w:rPr>
                <w:rStyle w:val="IndexLink"/>
              </w:rPr>
              <w:t>Actif directory</w:t>
            </w:r>
            <w:r>
              <w:rPr>
                <w:webHidden/>
              </w:rPr>
              <w:fldChar w:fldCharType="begin"/>
            </w:r>
            <w:r>
              <w:rPr>
                <w:webHidden/>
              </w:rPr>
              <w:instrText>PAGEREF _Toc484772078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lang w:eastAsia="fr-FR"/>
            </w:rPr>
          </w:pPr>
          <w:hyperlink w:anchor="_Toc484772079">
            <w:r>
              <w:rPr>
                <w:webHidden/>
                <w:rStyle w:val="IndexLink"/>
              </w:rPr>
              <w:t>3.3.</w:t>
            </w:r>
            <w:r>
              <w:rPr>
                <w:rStyle w:val="IndexLink"/>
                <w:rFonts w:eastAsia="" w:eastAsiaTheme="minorEastAsia"/>
                <w:lang w:eastAsia="fr-FR"/>
              </w:rPr>
              <w:tab/>
            </w:r>
            <w:r>
              <w:rPr>
                <w:rStyle w:val="IndexLink"/>
              </w:rPr>
              <w:t>CDN</w:t>
            </w:r>
            <w:r>
              <w:rPr>
                <w:webHidden/>
              </w:rPr>
              <w:fldChar w:fldCharType="begin"/>
            </w:r>
            <w:r>
              <w:rPr>
                <w:webHidden/>
              </w:rPr>
              <w:instrText>PAGEREF _Toc484772079 \h</w:instrText>
            </w:r>
            <w:r>
              <w:rPr>
                <w:webHidden/>
              </w:rPr>
              <w:fldChar w:fldCharType="separate"/>
            </w:r>
            <w:r>
              <w:rPr>
                <w:rStyle w:val="IndexLink"/>
                <w:vanish w:val="false"/>
              </w:rPr>
              <w:tab/>
              <w:t>6</w:t>
            </w:r>
            <w:r>
              <w:rPr>
                <w:webHidden/>
              </w:rPr>
              <w:fldChar w:fldCharType="end"/>
            </w:r>
          </w:hyperlink>
        </w:p>
        <w:p>
          <w:pPr>
            <w:pStyle w:val="Contents2"/>
            <w:rPr>
              <w:rFonts w:eastAsia="" w:eastAsiaTheme="minorEastAsia"/>
              <w:lang w:eastAsia="fr-FR"/>
            </w:rPr>
          </w:pPr>
          <w:hyperlink w:anchor="_Toc484772080">
            <w:r>
              <w:rPr>
                <w:webHidden/>
                <w:rStyle w:val="IndexLink"/>
              </w:rPr>
              <w:t>3.4.</w:t>
            </w:r>
            <w:r>
              <w:rPr>
                <w:rStyle w:val="IndexLink"/>
                <w:rFonts w:eastAsia="" w:eastAsiaTheme="minorEastAsia"/>
                <w:lang w:eastAsia="fr-FR"/>
              </w:rPr>
              <w:tab/>
            </w:r>
            <w:r>
              <w:rPr>
                <w:rStyle w:val="IndexLink"/>
              </w:rPr>
              <w:t>Serveurs Web</w:t>
            </w:r>
            <w:r>
              <w:rPr>
                <w:webHidden/>
              </w:rPr>
              <w:fldChar w:fldCharType="begin"/>
            </w:r>
            <w:r>
              <w:rPr>
                <w:webHidden/>
              </w:rPr>
              <w:instrText>PAGEREF _Toc484772080 \h</w:instrText>
            </w:r>
            <w:r>
              <w:rPr>
                <w:webHidden/>
              </w:rPr>
              <w:fldChar w:fldCharType="separate"/>
            </w:r>
            <w:r>
              <w:rPr>
                <w:rStyle w:val="IndexLink"/>
                <w:vanish w:val="false"/>
              </w:rPr>
              <w:tab/>
              <w:t>6</w:t>
            </w:r>
            <w:r>
              <w:rPr>
                <w:webHidden/>
              </w:rPr>
              <w:fldChar w:fldCharType="end"/>
            </w:r>
          </w:hyperlink>
        </w:p>
        <w:p>
          <w:pPr>
            <w:pStyle w:val="Contents2"/>
            <w:rPr>
              <w:rFonts w:eastAsia="" w:eastAsiaTheme="minorEastAsia"/>
              <w:lang w:eastAsia="fr-FR"/>
            </w:rPr>
          </w:pPr>
          <w:hyperlink w:anchor="_Toc484772081">
            <w:r>
              <w:rPr>
                <w:webHidden/>
                <w:rStyle w:val="IndexLink"/>
              </w:rPr>
              <w:t>3.5.</w:t>
            </w:r>
            <w:r>
              <w:rPr>
                <w:rStyle w:val="IndexLink"/>
                <w:rFonts w:eastAsia="" w:eastAsiaTheme="minorEastAsia"/>
                <w:lang w:eastAsia="fr-FR"/>
              </w:rPr>
              <w:tab/>
            </w:r>
            <w:r>
              <w:rPr>
                <w:rStyle w:val="IndexLink"/>
              </w:rPr>
              <w:t>Serveur MySQL</w:t>
            </w:r>
            <w:r>
              <w:rPr>
                <w:webHidden/>
              </w:rPr>
              <w:fldChar w:fldCharType="begin"/>
            </w:r>
            <w:r>
              <w:rPr>
                <w:webHidden/>
              </w:rPr>
              <w:instrText>PAGEREF _Toc484772081 \h</w:instrText>
            </w:r>
            <w:r>
              <w:rPr>
                <w:webHidden/>
              </w:rPr>
              <w:fldChar w:fldCharType="separate"/>
            </w:r>
            <w:r>
              <w:rPr>
                <w:rStyle w:val="IndexLink"/>
                <w:vanish w:val="false"/>
              </w:rPr>
              <w:tab/>
              <w:t>7</w:t>
            </w:r>
            <w:r>
              <w:rPr>
                <w:webHidden/>
              </w:rPr>
              <w:fldChar w:fldCharType="end"/>
            </w:r>
          </w:hyperlink>
        </w:p>
        <w:p>
          <w:pPr>
            <w:pStyle w:val="Contents1"/>
            <w:rPr>
              <w:rFonts w:eastAsia="" w:eastAsiaTheme="minorEastAsia"/>
              <w:lang w:eastAsia="fr-FR"/>
            </w:rPr>
          </w:pPr>
          <w:hyperlink w:anchor="_Toc484772082">
            <w:r>
              <w:rPr>
                <w:webHidden/>
                <w:rStyle w:val="IndexLink"/>
              </w:rPr>
              <w:t>4.</w:t>
            </w:r>
            <w:r>
              <w:rPr>
                <w:rStyle w:val="IndexLink"/>
                <w:rFonts w:eastAsia="" w:eastAsiaTheme="minorEastAsia"/>
                <w:lang w:eastAsia="fr-FR"/>
              </w:rPr>
              <w:tab/>
            </w:r>
            <w:r>
              <w:rPr>
                <w:rStyle w:val="IndexLink"/>
              </w:rPr>
              <w:t>Architecture logique</w:t>
            </w:r>
            <w:r>
              <w:rPr>
                <w:webHidden/>
              </w:rPr>
              <w:fldChar w:fldCharType="begin"/>
            </w:r>
            <w:r>
              <w:rPr>
                <w:webHidden/>
              </w:rPr>
              <w:instrText>PAGEREF _Toc484772082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lang w:eastAsia="fr-FR"/>
            </w:rPr>
          </w:pPr>
          <w:hyperlink w:anchor="_Toc484772083">
            <w:r>
              <w:rPr>
                <w:webHidden/>
                <w:rStyle w:val="IndexLink"/>
              </w:rPr>
              <w:t>4.1.</w:t>
            </w:r>
            <w:r>
              <w:rPr>
                <w:rStyle w:val="IndexLink"/>
                <w:rFonts w:eastAsia="" w:eastAsiaTheme="minorEastAsia"/>
                <w:lang w:eastAsia="fr-FR"/>
              </w:rPr>
              <w:tab/>
            </w:r>
            <w:r>
              <w:rPr>
                <w:rStyle w:val="IndexLink"/>
              </w:rPr>
              <w:t>Versions logicielles</w:t>
            </w:r>
            <w:r>
              <w:rPr>
                <w:webHidden/>
              </w:rPr>
              <w:fldChar w:fldCharType="begin"/>
            </w:r>
            <w:r>
              <w:rPr>
                <w:webHidden/>
              </w:rPr>
              <w:instrText>PAGEREF _Toc484772083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lang w:eastAsia="fr-FR"/>
            </w:rPr>
          </w:pPr>
          <w:hyperlink w:anchor="_Toc484772084">
            <w:r>
              <w:rPr>
                <w:webHidden/>
                <w:rStyle w:val="IndexLink"/>
              </w:rPr>
              <w:t>4.2.</w:t>
            </w:r>
            <w:r>
              <w:rPr>
                <w:rStyle w:val="IndexLink"/>
                <w:rFonts w:eastAsia="" w:eastAsiaTheme="minorEastAsia"/>
                <w:lang w:eastAsia="fr-FR"/>
              </w:rPr>
              <w:tab/>
            </w:r>
            <w:r>
              <w:rPr>
                <w:rStyle w:val="IndexLink"/>
              </w:rPr>
              <w:t>Virtualisation</w:t>
            </w:r>
            <w:r>
              <w:rPr>
                <w:webHidden/>
              </w:rPr>
              <w:fldChar w:fldCharType="begin"/>
            </w:r>
            <w:r>
              <w:rPr>
                <w:webHidden/>
              </w:rPr>
              <w:instrText>PAGEREF _Toc484772084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lang w:eastAsia="fr-FR"/>
            </w:rPr>
          </w:pPr>
          <w:hyperlink w:anchor="_Toc484772085">
            <w:r>
              <w:rPr>
                <w:webHidden/>
                <w:rStyle w:val="IndexLink"/>
              </w:rPr>
              <w:t>4.3.</w:t>
            </w:r>
            <w:r>
              <w:rPr>
                <w:rStyle w:val="IndexLink"/>
                <w:rFonts w:eastAsia="" w:eastAsiaTheme="minorEastAsia"/>
                <w:lang w:eastAsia="fr-FR"/>
              </w:rPr>
              <w:tab/>
            </w:r>
            <w:r>
              <w:rPr>
                <w:rStyle w:val="IndexLink"/>
              </w:rPr>
              <w:t>NGINX</w:t>
            </w:r>
            <w:r>
              <w:rPr>
                <w:webHidden/>
              </w:rPr>
              <w:fldChar w:fldCharType="begin"/>
            </w:r>
            <w:r>
              <w:rPr>
                <w:webHidden/>
              </w:rPr>
              <w:instrText>PAGEREF _Toc484772085 \h</w:instrText>
            </w:r>
            <w:r>
              <w:rPr>
                <w:webHidden/>
              </w:rPr>
              <w:fldChar w:fldCharType="separate"/>
            </w:r>
            <w:r>
              <w:rPr>
                <w:rStyle w:val="IndexLink"/>
                <w:vanish w:val="false"/>
              </w:rPr>
              <w:tab/>
              <w:t>9</w:t>
            </w:r>
            <w:r>
              <w:rPr>
                <w:webHidden/>
              </w:rPr>
              <w:fldChar w:fldCharType="end"/>
            </w:r>
          </w:hyperlink>
        </w:p>
        <w:p>
          <w:pPr>
            <w:pStyle w:val="Contents1"/>
            <w:rPr>
              <w:rFonts w:eastAsia="" w:eastAsiaTheme="minorEastAsia"/>
              <w:lang w:eastAsia="fr-FR"/>
            </w:rPr>
          </w:pPr>
          <w:hyperlink w:anchor="_Toc484772086">
            <w:r>
              <w:rPr>
                <w:webHidden/>
                <w:rStyle w:val="IndexLink"/>
              </w:rPr>
              <w:t>5.</w:t>
            </w:r>
            <w:r>
              <w:rPr>
                <w:rStyle w:val="IndexLink"/>
                <w:rFonts w:eastAsia="" w:eastAsiaTheme="minorEastAsia"/>
                <w:lang w:eastAsia="fr-FR"/>
              </w:rPr>
              <w:tab/>
            </w:r>
            <w:r>
              <w:rPr>
                <w:rStyle w:val="IndexLink"/>
              </w:rPr>
              <w:t>Sécurité</w:t>
            </w:r>
            <w:r>
              <w:rPr>
                <w:webHidden/>
              </w:rPr>
              <w:fldChar w:fldCharType="begin"/>
            </w:r>
            <w:r>
              <w:rPr>
                <w:webHidden/>
              </w:rPr>
              <w:instrText>PAGEREF _Toc484772086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lang w:eastAsia="fr-FR"/>
            </w:rPr>
          </w:pPr>
          <w:hyperlink w:anchor="_Toc484772087">
            <w:r>
              <w:rPr>
                <w:webHidden/>
                <w:rStyle w:val="IndexLink"/>
              </w:rPr>
              <w:t>5.1.</w:t>
            </w:r>
            <w:r>
              <w:rPr>
                <w:rStyle w:val="IndexLink"/>
                <w:rFonts w:eastAsia="" w:eastAsiaTheme="minorEastAsia"/>
                <w:lang w:eastAsia="fr-FR"/>
              </w:rPr>
              <w:tab/>
            </w:r>
            <w:r>
              <w:rPr>
                <w:rStyle w:val="IndexLink"/>
              </w:rPr>
              <w:t>Renforcement de la sécurité ESXi</w:t>
            </w:r>
            <w:r>
              <w:rPr>
                <w:webHidden/>
              </w:rPr>
              <w:fldChar w:fldCharType="begin"/>
            </w:r>
            <w:r>
              <w:rPr>
                <w:webHidden/>
              </w:rPr>
              <w:instrText>PAGEREF _Toc484772087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lang w:eastAsia="fr-FR"/>
            </w:rPr>
          </w:pPr>
          <w:hyperlink w:anchor="_Toc484772088">
            <w:r>
              <w:rPr>
                <w:webHidden/>
                <w:rStyle w:val="IndexLink"/>
              </w:rPr>
              <w:t>5.2.</w:t>
            </w:r>
            <w:r>
              <w:rPr>
                <w:rStyle w:val="IndexLink"/>
                <w:rFonts w:eastAsia="" w:eastAsiaTheme="minorEastAsia"/>
                <w:lang w:eastAsia="fr-FR"/>
              </w:rPr>
              <w:tab/>
            </w:r>
            <w:r>
              <w:rPr>
                <w:rStyle w:val="IndexLink"/>
              </w:rPr>
              <w:t>Sécurité applicative pfsense</w:t>
            </w:r>
            <w:r>
              <w:rPr>
                <w:webHidden/>
              </w:rPr>
              <w:fldChar w:fldCharType="begin"/>
            </w:r>
            <w:r>
              <w:rPr>
                <w:webHidden/>
              </w:rPr>
              <w:instrText>PAGEREF _Toc484772088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lang w:eastAsia="fr-FR"/>
            </w:rPr>
          </w:pPr>
          <w:hyperlink w:anchor="_Toc484772089">
            <w:r>
              <w:rPr>
                <w:webHidden/>
                <w:rStyle w:val="IndexLink"/>
              </w:rPr>
              <w:t>5.3.</w:t>
            </w:r>
            <w:r>
              <w:rPr>
                <w:rStyle w:val="IndexLink"/>
                <w:rFonts w:eastAsia="" w:eastAsiaTheme="minorEastAsia"/>
                <w:lang w:eastAsia="fr-FR"/>
              </w:rPr>
              <w:tab/>
            </w:r>
            <w:r>
              <w:rPr>
                <w:rStyle w:val="IndexLink"/>
              </w:rPr>
              <w:t>Sécurisation de la couche Données</w:t>
            </w:r>
            <w:r>
              <w:rPr>
                <w:webHidden/>
              </w:rPr>
              <w:fldChar w:fldCharType="begin"/>
            </w:r>
            <w:r>
              <w:rPr>
                <w:webHidden/>
              </w:rPr>
              <w:instrText>PAGEREF _Toc484772089 \h</w:instrText>
            </w:r>
            <w:r>
              <w:rPr>
                <w:webHidden/>
              </w:rPr>
              <w:fldChar w:fldCharType="separate"/>
            </w:r>
            <w:r>
              <w:rPr>
                <w:rStyle w:val="IndexLink"/>
                <w:vanish w:val="false"/>
              </w:rPr>
              <w:tab/>
              <w:t>11</w:t>
            </w:r>
            <w:r>
              <w:rPr>
                <w:webHidden/>
              </w:rPr>
              <w:fldChar w:fldCharType="end"/>
            </w:r>
          </w:hyperlink>
        </w:p>
        <w:p>
          <w:pPr>
            <w:pStyle w:val="Contents1"/>
            <w:rPr>
              <w:rFonts w:eastAsia="" w:eastAsiaTheme="minorEastAsia"/>
              <w:lang w:eastAsia="fr-FR"/>
            </w:rPr>
          </w:pPr>
          <w:hyperlink w:anchor="_Toc484772090">
            <w:r>
              <w:rPr>
                <w:webHidden/>
                <w:rStyle w:val="IndexLink"/>
              </w:rPr>
              <w:t>6.</w:t>
            </w:r>
            <w:r>
              <w:rPr>
                <w:rStyle w:val="IndexLink"/>
                <w:rFonts w:eastAsia="" w:eastAsiaTheme="minorEastAsia"/>
                <w:lang w:eastAsia="fr-FR"/>
              </w:rPr>
              <w:tab/>
            </w:r>
            <w:r>
              <w:rPr>
                <w:rStyle w:val="IndexLink"/>
              </w:rPr>
              <w:t>Administration</w:t>
            </w:r>
            <w:r>
              <w:rPr>
                <w:webHidden/>
              </w:rPr>
              <w:fldChar w:fldCharType="begin"/>
            </w:r>
            <w:r>
              <w:rPr>
                <w:webHidden/>
              </w:rPr>
              <w:instrText>PAGEREF _Toc484772090 \h</w:instrText>
            </w:r>
            <w:r>
              <w:rPr>
                <w:webHidden/>
              </w:rPr>
              <w:fldChar w:fldCharType="separate"/>
            </w:r>
            <w:r>
              <w:rPr>
                <w:rStyle w:val="IndexLink"/>
                <w:vanish w:val="false"/>
              </w:rPr>
              <w:tab/>
              <w:t>12</w:t>
            </w:r>
            <w:r>
              <w:rPr>
                <w:webHidden/>
              </w:rPr>
              <w:fldChar w:fldCharType="end"/>
            </w:r>
          </w:hyperlink>
        </w:p>
        <w:p>
          <w:pPr>
            <w:pStyle w:val="Contents2"/>
            <w:rPr>
              <w:rFonts w:eastAsia="" w:eastAsiaTheme="minorEastAsia"/>
              <w:lang w:eastAsia="fr-FR"/>
            </w:rPr>
          </w:pPr>
          <w:hyperlink w:anchor="_Toc484772091">
            <w:r>
              <w:rPr>
                <w:webHidden/>
                <w:rStyle w:val="IndexLink"/>
              </w:rPr>
              <w:t>6.1.</w:t>
            </w:r>
            <w:r>
              <w:rPr>
                <w:rStyle w:val="IndexLink"/>
                <w:rFonts w:eastAsia="" w:eastAsiaTheme="minorEastAsia"/>
                <w:lang w:eastAsia="fr-FR"/>
              </w:rPr>
              <w:tab/>
            </w:r>
            <w:r>
              <w:rPr>
                <w:rStyle w:val="IndexLink"/>
              </w:rPr>
              <w:t>Accès à l'équipement</w:t>
            </w:r>
            <w:r>
              <w:rPr>
                <w:webHidden/>
              </w:rPr>
              <w:fldChar w:fldCharType="begin"/>
            </w:r>
            <w:r>
              <w:rPr>
                <w:webHidden/>
              </w:rPr>
              <w:instrText>PAGEREF _Toc484772091 \h</w:instrText>
            </w:r>
            <w:r>
              <w:rPr>
                <w:webHidden/>
              </w:rPr>
              <w:fldChar w:fldCharType="separate"/>
            </w:r>
            <w:r>
              <w:rPr>
                <w:rStyle w:val="IndexLink"/>
                <w:vanish w:val="false"/>
              </w:rPr>
              <w:tab/>
              <w:t>12</w:t>
            </w:r>
            <w:r>
              <w:rPr>
                <w:webHidden/>
              </w:rPr>
              <w:fldChar w:fldCharType="end"/>
            </w:r>
          </w:hyperlink>
        </w:p>
        <w:p>
          <w:pPr>
            <w:pStyle w:val="Normal"/>
            <w:rPr>
              <w:b/>
              <w:b/>
              <w:bCs/>
            </w:rPr>
          </w:pPr>
          <w:r>
            <w:rPr>
              <w:b/>
              <w:bCs/>
            </w:rPr>
          </w:r>
          <w:r>
            <w:fldChar w:fldCharType="end"/>
          </w:r>
        </w:p>
      </w:sdtContent>
    </w:sdt>
    <w:p>
      <w:pPr>
        <w:pStyle w:val="Normal"/>
        <w:tabs>
          <w:tab w:val="left" w:pos="1830" w:leader="none"/>
        </w:tabs>
        <w:rPr/>
      </w:pPr>
      <w:r>
        <w:rPr/>
        <w:tab/>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 w:name="_Toc484772071"/>
      <w:bookmarkEnd w:id="1"/>
      <w:r>
        <w:rPr/>
        <w:t>Présentation</w:t>
      </w:r>
    </w:p>
    <w:p>
      <w:pPr>
        <w:pStyle w:val="Normal"/>
        <w:rPr/>
      </w:pPr>
      <w:r>
        <w:rPr/>
        <w:t xml:space="preserve">Ce document constitue le Dossier d'Architecture Technique (DAT) concernant le projet d'intégration et de déploiement de l'infrastructure de haute disponibilité avec répartition de charge sur le site Web de l'entreprise Qwirk. Ce document a pour but de faire l'adéquation entre les besoins spécifiques de l'entreprise et la façon dont ceux-ci sont intégrés à l'infrastructure déployée. Ce document décrit l'ensemble du paramétrage que préconise </w:t>
      </w:r>
      <w:r>
        <w:rPr>
          <w:b/>
          <w:bCs/>
        </w:rPr>
        <w:t>WhatSup</w:t>
      </w:r>
      <w:r>
        <w:rPr/>
        <w:t xml:space="preserve"> pour l'intégration de cette infrastructure.</w:t>
      </w:r>
    </w:p>
    <w:p>
      <w:pPr>
        <w:pStyle w:val="Normal"/>
        <w:rPr/>
      </w:pPr>
      <w:r>
        <w:rPr/>
      </w:r>
    </w:p>
    <w:p>
      <w:pPr>
        <w:pStyle w:val="Heading1"/>
        <w:numPr>
          <w:ilvl w:val="0"/>
          <w:numId w:val="2"/>
        </w:numPr>
        <w:rPr/>
      </w:pPr>
      <w:bookmarkStart w:id="2" w:name="_Toc484772072"/>
      <w:bookmarkEnd w:id="2"/>
      <w:r>
        <w:rPr/>
        <w:t>Architecture générale</w:t>
      </w:r>
    </w:p>
    <w:p>
      <w:pPr>
        <w:pStyle w:val="Normal"/>
        <w:ind w:left="1440" w:firstLine="720"/>
        <w:rPr>
          <w:i/>
          <w:i/>
          <w:iCs/>
        </w:rPr>
      </w:pPr>
      <w:r>
        <w:rPr>
          <w:i/>
          <w:iCs/>
        </w:rPr>
        <w:t>Cette section définit le contexte du projet haute disponibilité</w:t>
      </w:r>
    </w:p>
    <w:p>
      <w:pPr>
        <w:pStyle w:val="Normal"/>
        <w:ind w:left="1440" w:firstLine="720"/>
        <w:rPr>
          <w:i/>
          <w:i/>
          <w:iCs/>
        </w:rPr>
      </w:pPr>
      <w:r>
        <w:rPr>
          <w:i/>
          <w:iCs/>
        </w:rPr>
      </w:r>
    </w:p>
    <w:p>
      <w:pPr>
        <w:pStyle w:val="Normal"/>
        <w:ind w:left="1440" w:firstLine="720"/>
        <w:rPr>
          <w:i/>
          <w:i/>
          <w:iCs/>
        </w:rPr>
      </w:pPr>
      <w:r>
        <w:rPr>
          <w:i/>
          <w:iCs/>
        </w:rPr>
      </w:r>
    </w:p>
    <w:p>
      <w:pPr>
        <w:pStyle w:val="Normal"/>
        <w:ind w:left="1440" w:firstLine="720"/>
        <w:rPr>
          <w:i/>
          <w:i/>
          <w:iCs/>
        </w:rPr>
      </w:pPr>
      <w:r>
        <w:rPr>
          <w:i/>
          <w:iCs/>
        </w:rPr>
      </w:r>
    </w:p>
    <w:p>
      <w:pPr>
        <w:pStyle w:val="Normal"/>
        <w:ind w:left="1440" w:firstLine="720"/>
        <w:rPr/>
      </w:pPr>
      <w:r>
        <w:rPr/>
      </w:r>
    </w:p>
    <w:p>
      <w:pPr>
        <w:pStyle w:val="Heading2"/>
        <w:numPr>
          <w:ilvl w:val="1"/>
          <w:numId w:val="6"/>
        </w:numPr>
        <w:rPr/>
      </w:pPr>
      <w:bookmarkStart w:id="3" w:name="_Toc484772073"/>
      <w:bookmarkEnd w:id="3"/>
      <w:r>
        <w:rPr/>
        <w:t>Rappel du besoin</w:t>
      </w:r>
    </w:p>
    <w:p>
      <w:pPr>
        <w:pStyle w:val="Normal"/>
        <w:ind w:left="1440" w:firstLine="720"/>
        <w:rPr>
          <w:i/>
          <w:i/>
          <w:iCs/>
        </w:rPr>
      </w:pPr>
      <w:r>
        <w:rPr>
          <w:i/>
          <w:iCs/>
        </w:rPr>
        <w:t>Ce chapitre présente le problème à résoudre, tel que nous l'avons perçu pour établir cette spécification</w:t>
      </w:r>
    </w:p>
    <w:p>
      <w:pPr>
        <w:pStyle w:val="Normal"/>
        <w:rPr>
          <w:iCs/>
        </w:rPr>
      </w:pPr>
      <w:r>
        <w:rPr/>
        <w:t>Qwirk est une startup dédiée aux applications de communication personnelles et professionnelles. Leur nouveau produit est un système complet de messagerie instantanée, tel que Skype ou Slack.</w:t>
      </w:r>
    </w:p>
    <w:p>
      <w:pPr>
        <w:pStyle w:val="Normal"/>
        <w:rPr>
          <w:i/>
          <w:i/>
          <w:iCs/>
        </w:rPr>
      </w:pPr>
      <w:r>
        <w:rPr/>
        <w:t>Notre équipe a été sélectionnée pour écrire cette application qui fonctionnera sur plusieurs systèmes d’exploitation tels que Windows, MacOS ou Linux.</w:t>
      </w:r>
    </w:p>
    <w:p>
      <w:pPr>
        <w:pStyle w:val="Normal"/>
        <w:rPr/>
      </w:pPr>
      <w:r>
        <w:rPr/>
      </w:r>
    </w:p>
    <w:p>
      <w:pPr>
        <w:pStyle w:val="Heading2"/>
        <w:numPr>
          <w:ilvl w:val="1"/>
          <w:numId w:val="6"/>
        </w:numPr>
        <w:rPr/>
      </w:pPr>
      <w:bookmarkStart w:id="4" w:name="_Toc484772074"/>
      <w:bookmarkEnd w:id="4"/>
      <w:r>
        <w:rPr/>
        <w:t>Objectifs du projet</w:t>
      </w:r>
    </w:p>
    <w:p>
      <w:pPr>
        <w:pStyle w:val="ListParagraph"/>
        <w:rPr>
          <w:rFonts w:eastAsia="" w:eastAsiaTheme="minorEastAsia"/>
        </w:rPr>
      </w:pPr>
      <w:r>
        <w:rPr>
          <w:rFonts w:eastAsia="" w:eastAsiaTheme="minorEastAsia"/>
        </w:rPr>
      </w:r>
    </w:p>
    <w:p>
      <w:pPr>
        <w:pStyle w:val="Normal"/>
        <w:rPr/>
      </w:pPr>
      <w:r>
        <w:rPr/>
        <w:t xml:space="preserve">Qwirk ++ est un projet de chat à la frontière entre Skype et Slack. Ces deux technologies ont leur avantage et leurs inconvénients.  </w:t>
      </w:r>
    </w:p>
    <w:p>
      <w:pPr>
        <w:pStyle w:val="Normal"/>
        <w:rPr/>
      </w:pPr>
      <w:r>
        <w:rPr/>
        <w:t xml:space="preserve">Skype est de moins en moins utilisés en entreprises, a des problèmes de compatibilité sur les différentes plateformes et entre ces différentes versions. </w:t>
      </w:r>
    </w:p>
    <w:p>
      <w:pPr>
        <w:pStyle w:val="Normal"/>
        <w:rPr/>
      </w:pPr>
      <w:r>
        <w:rPr/>
        <w:t xml:space="preserve">Slack est un outil spécialement conçu pour les entreprises et ne permet pas d’ajouter n’importe qui se trouvant sur sa plateforme pour engager une conversation avec lui. </w:t>
      </w:r>
    </w:p>
    <w:p>
      <w:pPr>
        <w:pStyle w:val="Normal"/>
        <w:rPr/>
      </w:pPr>
      <w:r>
        <w:rPr/>
        <w:t xml:space="preserve">Qwirk ++ arrive à la croisée des deux chemins pour offrir une expérience aussi bien web que desktop ou n’importe quel utilisateur peut en ajouter un autre et commencer une conversation avec lui. </w:t>
      </w:r>
    </w:p>
    <w:p>
      <w:pPr>
        <w:pStyle w:val="ListParagraph"/>
        <w:rPr>
          <w:rFonts w:eastAsia="" w:eastAsiaTheme="minorEastAsia"/>
        </w:rPr>
      </w:pPr>
      <w:r>
        <w:rPr>
          <w:rFonts w:eastAsia="" w:eastAsiaTheme="minorEastAsia"/>
        </w:rPr>
      </w:r>
    </w:p>
    <w:p>
      <w:pPr>
        <w:pStyle w:val="Normal"/>
        <w:rPr>
          <w:rFonts w:eastAsia="" w:eastAsiaTheme="minorEastAsia"/>
        </w:rPr>
      </w:pPr>
      <w:r>
        <w:rPr>
          <w:rFonts w:eastAsia="" w:eastAsiaTheme="minorEastAsia"/>
        </w:rPr>
      </w:r>
    </w:p>
    <w:p>
      <w:pPr>
        <w:pStyle w:val="ListParagraph"/>
        <w:rPr>
          <w:rFonts w:eastAsia="" w:eastAsiaTheme="minorEastAsia"/>
        </w:rPr>
      </w:pPr>
      <w:r>
        <w:rPr>
          <w:rFonts w:eastAsia="" w:eastAsiaTheme="minorEastAsia"/>
        </w:rPr>
      </w:r>
    </w:p>
    <w:p>
      <w:pPr>
        <w:pStyle w:val="Heading2"/>
        <w:numPr>
          <w:ilvl w:val="1"/>
          <w:numId w:val="6"/>
        </w:numPr>
        <w:rPr/>
      </w:pPr>
      <w:bookmarkStart w:id="5" w:name="_Toc484772075"/>
      <w:bookmarkEnd w:id="5"/>
      <w:r>
        <w:rPr/>
        <w:t>Schéma de principe d'architecture</w:t>
      </w:r>
    </w:p>
    <w:p>
      <w:pPr>
        <w:pStyle w:val="Normal"/>
        <w:ind w:left="2160" w:firstLine="720"/>
        <w:rPr>
          <w:i/>
          <w:i/>
          <w:iCs/>
        </w:rPr>
      </w:pPr>
      <w:r>
        <w:rPr>
          <w:i/>
          <w:iCs/>
        </w:rPr>
        <w:t>Voici le schéma d'architecture général de l'infrastructure mise en place</w:t>
      </w:r>
    </w:p>
    <w:p>
      <w:pPr>
        <w:pStyle w:val="Normal"/>
        <w:rPr/>
      </w:pPr>
      <w:r>
        <w:rPr/>
        <w:drawing>
          <wp:inline distT="0" distB="9525" distL="0" distR="9525">
            <wp:extent cx="5553075" cy="42386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2"/>
                    <a:stretch>
                      <a:fillRect/>
                    </a:stretch>
                  </pic:blipFill>
                  <pic:spPr bwMode="auto">
                    <a:xfrm>
                      <a:off x="0" y="0"/>
                      <a:ext cx="5553075" cy="4238625"/>
                    </a:xfrm>
                    <a:prstGeom prst="rect">
                      <a:avLst/>
                    </a:prstGeom>
                  </pic:spPr>
                </pic:pic>
              </a:graphicData>
            </a:graphic>
          </wp:inline>
        </w:drawing>
      </w:r>
    </w:p>
    <w:p>
      <w:pPr>
        <w:pStyle w:val="Normal"/>
        <w:rPr/>
      </w:pPr>
      <w:r>
        <w:rPr/>
      </w:r>
    </w:p>
    <w:p>
      <w:pPr>
        <w:pStyle w:val="Normal"/>
        <w:rPr/>
      </w:pPr>
      <w:r>
        <w:rPr/>
      </w:r>
    </w:p>
    <w:p>
      <w:pPr>
        <w:pStyle w:val="Normal"/>
        <w:rPr/>
      </w:pPr>
      <w:r>
        <w:rPr/>
      </w:r>
    </w:p>
    <w:p>
      <w:pPr>
        <w:pStyle w:val="Heading1"/>
        <w:numPr>
          <w:ilvl w:val="0"/>
          <w:numId w:val="1"/>
        </w:numPr>
        <w:rPr/>
      </w:pPr>
      <w:bookmarkStart w:id="6" w:name="_Toc484772076"/>
      <w:bookmarkEnd w:id="6"/>
      <w:r>
        <w:rPr/>
        <w:t>Architecture physique</w:t>
      </w:r>
    </w:p>
    <w:p>
      <w:pPr>
        <w:pStyle w:val="Normal"/>
        <w:ind w:left="1440" w:firstLine="720"/>
        <w:rPr/>
      </w:pPr>
      <w:bookmarkStart w:id="7" w:name="_Toc446411721"/>
      <w:bookmarkEnd w:id="7"/>
      <w:r>
        <w:rPr>
          <w:i/>
          <w:iCs/>
        </w:rPr>
        <w:t>Cette section définit l'architecture physique de la solution mise en place</w:t>
      </w:r>
      <w:r>
        <w:rPr>
          <w:rFonts w:eastAsia="Calibri" w:cs="Calibri"/>
          <w:i/>
          <w:iCs/>
        </w:rPr>
        <w:t xml:space="preserve"> dans le cadre du projet haute disponibilité du site Qwirk</w:t>
      </w:r>
    </w:p>
    <w:p>
      <w:pPr>
        <w:pStyle w:val="Normal"/>
        <w:rPr/>
      </w:pPr>
      <w:r>
        <w:rPr/>
      </w:r>
    </w:p>
    <w:p>
      <w:pPr>
        <w:pStyle w:val="Normal"/>
        <w:rPr/>
      </w:pPr>
      <w:r>
        <w:rPr/>
        <w:t>Tous nos serveurs physiques ont été achetés chez dell pour bénéficier d'une garantie en 24h00 ouvré lorsque vous rencontrez un problème technique vous empêchant d'utiliser vos serveurs.</w:t>
      </w:r>
    </w:p>
    <w:p>
      <w:pPr>
        <w:pStyle w:val="Normal"/>
        <w:rPr/>
      </w:pPr>
      <w:r>
        <w:rPr/>
      </w:r>
    </w:p>
    <w:p>
      <w:pPr>
        <w:pStyle w:val="Normal"/>
        <w:rPr/>
      </w:pPr>
      <w:r>
        <w:rPr/>
      </w:r>
    </w:p>
    <w:p>
      <w:pPr>
        <w:pStyle w:val="Heading2"/>
        <w:numPr>
          <w:ilvl w:val="1"/>
          <w:numId w:val="5"/>
        </w:numPr>
        <w:rPr/>
      </w:pPr>
      <w:bookmarkStart w:id="8" w:name="_Toc484772077"/>
      <w:bookmarkStart w:id="9" w:name="_Toc446411722"/>
      <w:bookmarkEnd w:id="8"/>
      <w:bookmarkEnd w:id="9"/>
      <w:r>
        <w:rPr/>
        <w:t>ESXi</w:t>
      </w:r>
    </w:p>
    <w:p>
      <w:pPr>
        <w:pStyle w:val="ListParagraph"/>
        <w:ind w:left="3990" w:hanging="0"/>
        <w:rPr>
          <w:rFonts w:ascii="Calibri" w:hAnsi="Calibri" w:eastAsia="Calibri" w:cs="Calibri"/>
          <w:i/>
          <w:i/>
          <w:iCs/>
        </w:rPr>
      </w:pPr>
      <w:r>
        <w:rPr>
          <w:rFonts w:eastAsia="Calibri" w:cs="Calibri"/>
          <w:i/>
          <w:iCs/>
        </w:rPr>
      </w:r>
    </w:p>
    <w:tbl>
      <w:tblPr>
        <w:tblStyle w:val="TableauGrille4-Accentuation1"/>
        <w:tblW w:w="9350" w:type="dxa"/>
        <w:jc w:val="left"/>
        <w:tblInd w:w="0" w:type="dxa"/>
        <w:tblCellMar>
          <w:top w:w="0" w:type="dxa"/>
          <w:left w:w="108" w:type="dxa"/>
          <w:bottom w:w="0" w:type="dxa"/>
          <w:right w:w="108" w:type="dxa"/>
        </w:tblCellMar>
        <w:tblLook w:val="04a0" w:noVBand="1" w:noHBand="0" w:lastColumn="0" w:firstColumn="1" w:lastRow="0" w:firstRow="1"/>
      </w:tblPr>
      <w:tblGrid>
        <w:gridCol w:w="2637"/>
        <w:gridCol w:w="2068"/>
        <w:gridCol w:w="2307"/>
        <w:gridCol w:w="2337"/>
      </w:tblGrid>
      <w:tr>
        <w:trPr>
          <w:cnfStyle w:val="100000000000" w:firstRow="1" w:lastRow="0" w:firstColumn="0" w:lastColumn="0" w:oddVBand="0" w:evenVBand="0" w:oddHBand="0" w:evenHBand="0" w:firstRowFirstColumn="0" w:firstRowLastColumn="0" w:lastRowFirstColumn="0" w:lastRowLastColumn="0"/>
        </w:trPr>
        <w:tc>
          <w:tcPr>
            <w:tcW w:w="2637"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ListParagraph"/>
              <w:spacing w:lineRule="auto" w:line="240" w:before="0" w:after="0"/>
              <w:contextualSpacing/>
              <w:rPr>
                <w:rFonts w:ascii="Calibri" w:hAnsi="Calibri" w:eastAsia="Calibri" w:cs="Calibri"/>
                <w:i/>
                <w:i/>
                <w:iCs/>
              </w:rPr>
            </w:pPr>
            <w:r>
              <w:rPr>
                <w:rFonts w:eastAsia="Calibri" w:cs="Calibri"/>
                <w:b/>
                <w:bCs/>
                <w:i/>
                <w:iCs/>
                <w:color w:val="FFFFFF" w:themeColor="background1"/>
              </w:rPr>
              <w:t>Nom</w:t>
            </w:r>
          </w:p>
        </w:tc>
        <w:tc>
          <w:tcPr>
            <w:tcW w:w="2068"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ListParagraph"/>
              <w:spacing w:lineRule="auto" w:line="240" w:before="0" w:after="0"/>
              <w:contextualSpacing/>
              <w:cnfStyle w:val="100000000000" w:firstRow="1" w:lastRow="0" w:firstColumn="0" w:lastColumn="0" w:oddVBand="0" w:evenVBand="0" w:oddHBand="0" w:evenHBand="0" w:firstRowFirstColumn="0" w:firstRowLastColumn="0" w:lastRowFirstColumn="0" w:lastRowLastColumn="0"/>
              <w:rPr>
                <w:rFonts w:ascii="Calibri" w:hAnsi="Calibri" w:eastAsia="Calibri" w:cs="Calibri"/>
                <w:i/>
                <w:i/>
                <w:iCs/>
              </w:rPr>
            </w:pPr>
            <w:r>
              <w:rPr>
                <w:rFonts w:eastAsia="Calibri" w:cs="Calibri"/>
                <w:b/>
                <w:bCs/>
                <w:i/>
                <w:iCs/>
                <w:color w:val="FFFFFF" w:themeColor="background1"/>
              </w:rPr>
              <w:t>ESX1</w:t>
            </w:r>
          </w:p>
        </w:tc>
        <w:tc>
          <w:tcPr>
            <w:tcW w:w="230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ListParagraph"/>
              <w:spacing w:lineRule="auto" w:line="240" w:before="0" w:after="0"/>
              <w:contextualSpacing/>
              <w:cnfStyle w:val="100000000000" w:firstRow="1" w:lastRow="0" w:firstColumn="0" w:lastColumn="0" w:oddVBand="0" w:evenVBand="0" w:oddHBand="0" w:evenHBand="0" w:firstRowFirstColumn="0" w:firstRowLastColumn="0" w:lastRowFirstColumn="0" w:lastRowLastColumn="0"/>
              <w:rPr>
                <w:rFonts w:ascii="Calibri" w:hAnsi="Calibri" w:eastAsia="Calibri" w:cs="Calibri"/>
                <w:i/>
                <w:i/>
                <w:iCs/>
              </w:rPr>
            </w:pPr>
            <w:r>
              <w:rPr>
                <w:rFonts w:eastAsia="Calibri" w:cs="Calibri"/>
                <w:b/>
                <w:bCs/>
                <w:i/>
                <w:iCs/>
                <w:color w:val="FFFFFF" w:themeColor="background1"/>
              </w:rPr>
              <w:t>ESX2</w:t>
            </w:r>
          </w:p>
        </w:tc>
        <w:tc>
          <w:tcPr>
            <w:tcW w:w="233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ListParagraph"/>
              <w:spacing w:lineRule="auto" w:line="240" w:before="0" w:after="0"/>
              <w:contextualSpacing/>
              <w:cnfStyle w:val="100000000000" w:firstRow="1" w:lastRow="0" w:firstColumn="0" w:lastColumn="0" w:oddVBand="0" w:evenVBand="0" w:oddHBand="0" w:evenHBand="0" w:firstRowFirstColumn="0" w:firstRowLastColumn="0" w:lastRowFirstColumn="0" w:lastRowLastColumn="0"/>
              <w:rPr>
                <w:rFonts w:ascii="Calibri" w:hAnsi="Calibri" w:eastAsia="Calibri" w:cs="Calibri"/>
                <w:i/>
                <w:i/>
                <w:iCs/>
              </w:rPr>
            </w:pPr>
            <w:r>
              <w:rPr>
                <w:rFonts w:eastAsia="Calibri" w:cs="Calibri"/>
                <w:b/>
                <w:bCs/>
                <w:i/>
                <w:iCs/>
                <w:color w:val="FFFFFF" w:themeColor="background1"/>
              </w:rPr>
              <w:t>ESX3</w:t>
            </w:r>
          </w:p>
        </w:tc>
      </w:tr>
      <w:tr>
        <w:trPr>
          <w:cnfStyle w:val="000000100000" w:firstRow="0" w:lastRow="0" w:firstColumn="0" w:lastColumn="0" w:oddVBand="0" w:evenVBand="0" w:oddHBand="1" w:evenHBand="0" w:firstRowFirstColumn="0" w:firstRowLastColumn="0" w:lastRowFirstColumn="0" w:lastRowLastColumn="0"/>
        </w:trPr>
        <w:tc>
          <w:tcPr>
            <w:tcW w:w="2637"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ListParagraph"/>
              <w:spacing w:lineRule="auto" w:line="240" w:before="0" w:after="0"/>
              <w:contextualSpacing/>
              <w:rPr>
                <w:rFonts w:ascii="Calibri" w:hAnsi="Calibri" w:eastAsia="Calibri" w:cs="Calibri"/>
                <w:i/>
                <w:i/>
                <w:iCs/>
              </w:rPr>
            </w:pPr>
            <w:r>
              <w:rPr>
                <w:rFonts w:eastAsia="Calibri" w:cs="Calibri"/>
                <w:b/>
                <w:bCs/>
                <w:i/>
                <w:iCs/>
              </w:rPr>
              <w:t>Hyperviseur</w:t>
            </w:r>
          </w:p>
        </w:tc>
        <w:tc>
          <w:tcPr>
            <w:tcW w:w="2068" w:type="dxa"/>
            <w:tcBorders/>
            <w:shd w:color="auto" w:fill="DEEAF6" w:themeFill="accent1" w:themeFillTint="33" w:val="clear"/>
            <w:tcMar>
              <w:left w:w="108" w:type="dxa"/>
            </w:tcMar>
          </w:tcPr>
          <w:p>
            <w:pPr>
              <w:pStyle w:val="ListParagraph"/>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Calibri"/>
                <w:i/>
                <w:i/>
                <w:iCs/>
              </w:rPr>
            </w:pPr>
            <w:r>
              <w:rPr>
                <w:rFonts w:eastAsia="Calibri" w:cs="Calibri"/>
                <w:i/>
                <w:iCs/>
              </w:rPr>
              <w:t>ESXi</w:t>
            </w:r>
          </w:p>
        </w:tc>
        <w:tc>
          <w:tcPr>
            <w:tcW w:w="2307" w:type="dxa"/>
            <w:tcBorders/>
            <w:shd w:color="auto" w:fill="DEEAF6" w:themeFill="accent1" w:themeFillTint="33" w:val="clear"/>
            <w:tcMar>
              <w:left w:w="108" w:type="dxa"/>
            </w:tcMar>
          </w:tcPr>
          <w:p>
            <w:pPr>
              <w:pStyle w:val="ListParagraph"/>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Calibri"/>
                <w:i/>
                <w:i/>
                <w:iCs/>
              </w:rPr>
            </w:pPr>
            <w:r>
              <w:rPr>
                <w:rFonts w:eastAsia="Calibri" w:cs="Calibri"/>
                <w:i/>
                <w:iCs/>
              </w:rPr>
              <w:t>ESXi</w:t>
            </w:r>
          </w:p>
        </w:tc>
        <w:tc>
          <w:tcPr>
            <w:tcW w:w="2337" w:type="dxa"/>
            <w:tcBorders/>
            <w:shd w:color="auto" w:fill="DEEAF6" w:themeFill="accent1" w:themeFillTint="33" w:val="clear"/>
            <w:tcMar>
              <w:left w:w="108" w:type="dxa"/>
            </w:tcMar>
          </w:tcPr>
          <w:p>
            <w:pPr>
              <w:pStyle w:val="ListParagraph"/>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Calibri"/>
                <w:i/>
                <w:i/>
                <w:iCs/>
              </w:rPr>
            </w:pPr>
            <w:r>
              <w:rPr>
                <w:rFonts w:eastAsia="Calibri" w:cs="Calibri"/>
                <w:i/>
                <w:iCs/>
              </w:rPr>
              <w:t>ESXI</w:t>
            </w:r>
          </w:p>
        </w:tc>
      </w:tr>
      <w:tr>
        <w:trPr/>
        <w:tc>
          <w:tcPr>
            <w:tcW w:w="263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contextualSpacing/>
              <w:rPr>
                <w:rFonts w:ascii="Calibri" w:hAnsi="Calibri" w:eastAsia="Calibri" w:cs="Calibri"/>
                <w:i/>
                <w:i/>
                <w:iCs/>
              </w:rPr>
            </w:pPr>
            <w:r>
              <w:rPr>
                <w:rFonts w:eastAsia="Calibri" w:cs="Calibri"/>
                <w:b/>
                <w:bCs/>
                <w:i/>
                <w:iCs/>
              </w:rPr>
              <w:t>Mémoire</w:t>
            </w:r>
          </w:p>
        </w:tc>
        <w:tc>
          <w:tcPr>
            <w:tcW w:w="2068" w:type="dxa"/>
            <w:tcBorders/>
            <w:shd w:fill="auto" w:val="clear"/>
            <w:tcMar>
              <w:left w:w="108" w:type="dxa"/>
            </w:tcMar>
          </w:tcPr>
          <w:p>
            <w:pPr>
              <w:pStyle w:val="ListParagraph"/>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Calibri"/>
                <w:i/>
                <w:i/>
                <w:iCs/>
              </w:rPr>
            </w:pPr>
            <w:r>
              <w:rPr>
                <w:rFonts w:eastAsia="Calibri" w:cs="Calibri"/>
                <w:i/>
                <w:iCs/>
              </w:rPr>
              <w:t>16</w:t>
            </w:r>
          </w:p>
        </w:tc>
        <w:tc>
          <w:tcPr>
            <w:tcW w:w="2307" w:type="dxa"/>
            <w:tcBorders/>
            <w:shd w:fill="auto" w:val="clear"/>
            <w:tcMar>
              <w:left w:w="108" w:type="dxa"/>
            </w:tcMar>
          </w:tcPr>
          <w:p>
            <w:pPr>
              <w:pStyle w:val="ListParagraph"/>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Calibri"/>
                <w:i/>
                <w:i/>
                <w:iCs/>
              </w:rPr>
            </w:pPr>
            <w:r>
              <w:rPr>
                <w:rFonts w:eastAsia="Calibri" w:cs="Calibri"/>
                <w:i/>
                <w:iCs/>
              </w:rPr>
              <w:t>16</w:t>
            </w:r>
          </w:p>
        </w:tc>
        <w:tc>
          <w:tcPr>
            <w:tcW w:w="2337" w:type="dxa"/>
            <w:tcBorders/>
            <w:shd w:fill="auto" w:val="clear"/>
            <w:tcMar>
              <w:left w:w="108" w:type="dxa"/>
            </w:tcMar>
          </w:tcPr>
          <w:p>
            <w:pPr>
              <w:pStyle w:val="ListParagraph"/>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Calibri"/>
                <w:i/>
                <w:i/>
                <w:iCs/>
              </w:rPr>
            </w:pPr>
            <w:r>
              <w:rPr>
                <w:rFonts w:eastAsia="Calibri" w:cs="Calibri"/>
                <w:i/>
                <w:iCs/>
              </w:rPr>
              <w:t>16</w:t>
            </w:r>
          </w:p>
        </w:tc>
      </w:tr>
      <w:tr>
        <w:trPr>
          <w:cnfStyle w:val="000000100000" w:firstRow="0" w:lastRow="0" w:firstColumn="0" w:lastColumn="0" w:oddVBand="0" w:evenVBand="0" w:oddHBand="1" w:evenHBand="0" w:firstRowFirstColumn="0" w:firstRowLastColumn="0" w:lastRowFirstColumn="0" w:lastRowLastColumn="0"/>
        </w:trPr>
        <w:tc>
          <w:tcPr>
            <w:tcW w:w="2637"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ListParagraph"/>
              <w:spacing w:lineRule="auto" w:line="240" w:before="0" w:after="0"/>
              <w:contextualSpacing/>
              <w:rPr>
                <w:rFonts w:ascii="Calibri" w:hAnsi="Calibri" w:eastAsia="Calibri" w:cs="Calibri"/>
                <w:i/>
                <w:i/>
                <w:iCs/>
              </w:rPr>
            </w:pPr>
            <w:r>
              <w:rPr>
                <w:rFonts w:eastAsia="Calibri" w:cs="Calibri"/>
                <w:b/>
                <w:bCs/>
                <w:i/>
                <w:iCs/>
              </w:rPr>
              <w:t>Nombre de vCPU</w:t>
            </w:r>
          </w:p>
        </w:tc>
        <w:tc>
          <w:tcPr>
            <w:tcW w:w="2068" w:type="dxa"/>
            <w:tcBorders/>
            <w:shd w:color="auto" w:fill="DEEAF6" w:themeFill="accent1" w:themeFillTint="33" w:val="clear"/>
            <w:tcMar>
              <w:left w:w="108" w:type="dxa"/>
            </w:tcMar>
          </w:tcPr>
          <w:p>
            <w:pPr>
              <w:pStyle w:val="ListParagraph"/>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Calibri"/>
                <w:i/>
                <w:i/>
                <w:iCs/>
              </w:rPr>
            </w:pPr>
            <w:r>
              <w:rPr>
                <w:rFonts w:eastAsia="Calibri" w:cs="Calibri"/>
                <w:i/>
                <w:iCs/>
              </w:rPr>
              <w:t>4</w:t>
            </w:r>
          </w:p>
        </w:tc>
        <w:tc>
          <w:tcPr>
            <w:tcW w:w="2307" w:type="dxa"/>
            <w:tcBorders/>
            <w:shd w:color="auto" w:fill="DEEAF6" w:themeFill="accent1" w:themeFillTint="33" w:val="clear"/>
            <w:tcMar>
              <w:left w:w="108" w:type="dxa"/>
            </w:tcMar>
          </w:tcPr>
          <w:p>
            <w:pPr>
              <w:pStyle w:val="ListParagraph"/>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Calibri"/>
                <w:i/>
                <w:i/>
                <w:iCs/>
              </w:rPr>
            </w:pPr>
            <w:r>
              <w:rPr>
                <w:rFonts w:eastAsia="Calibri" w:cs="Calibri"/>
                <w:i/>
                <w:iCs/>
              </w:rPr>
              <w:t>4</w:t>
            </w:r>
          </w:p>
        </w:tc>
        <w:tc>
          <w:tcPr>
            <w:tcW w:w="2337" w:type="dxa"/>
            <w:tcBorders/>
            <w:shd w:color="auto" w:fill="DEEAF6" w:themeFill="accent1" w:themeFillTint="33" w:val="clear"/>
            <w:tcMar>
              <w:left w:w="108" w:type="dxa"/>
            </w:tcMar>
          </w:tcPr>
          <w:p>
            <w:pPr>
              <w:pStyle w:val="ListParagraph"/>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Calibri"/>
                <w:i/>
                <w:i/>
                <w:iCs/>
              </w:rPr>
            </w:pPr>
            <w:r>
              <w:rPr>
                <w:rFonts w:eastAsia="Calibri" w:cs="Calibri"/>
                <w:i/>
                <w:iCs/>
              </w:rPr>
              <w:t>4</w:t>
            </w:r>
          </w:p>
        </w:tc>
      </w:tr>
      <w:tr>
        <w:trPr/>
        <w:tc>
          <w:tcPr>
            <w:tcW w:w="263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contextualSpacing/>
              <w:rPr>
                <w:rFonts w:ascii="Calibri" w:hAnsi="Calibri" w:eastAsia="Calibri" w:cs="Calibri"/>
                <w:i/>
                <w:i/>
                <w:iCs/>
              </w:rPr>
            </w:pPr>
            <w:r>
              <w:rPr>
                <w:rFonts w:eastAsia="Calibri" w:cs="Calibri"/>
                <w:b/>
                <w:bCs/>
                <w:i/>
                <w:iCs/>
              </w:rPr>
              <w:t>Disques</w:t>
            </w:r>
          </w:p>
        </w:tc>
        <w:tc>
          <w:tcPr>
            <w:tcW w:w="2068" w:type="dxa"/>
            <w:tcBorders/>
            <w:shd w:fill="auto" w:val="clear"/>
            <w:tcMar>
              <w:left w:w="108" w:type="dxa"/>
            </w:tcMar>
          </w:tcPr>
          <w:p>
            <w:pPr>
              <w:pStyle w:val="ListParagraph"/>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Calibri"/>
                <w:i/>
                <w:i/>
                <w:iCs/>
              </w:rPr>
            </w:pPr>
            <w:r>
              <w:rPr>
                <w:rFonts w:eastAsia="Calibri" w:cs="Calibri"/>
                <w:i/>
                <w:iCs/>
              </w:rPr>
              <w:t>300 go 10000 tr/mn</w:t>
            </w:r>
          </w:p>
        </w:tc>
        <w:tc>
          <w:tcPr>
            <w:tcW w:w="2307" w:type="dxa"/>
            <w:tcBorders/>
            <w:shd w:fill="auto" w:val="clear"/>
            <w:tcMar>
              <w:left w:w="108" w:type="dxa"/>
            </w:tcMar>
          </w:tcPr>
          <w:p>
            <w:pPr>
              <w:pStyle w:val="ListParagraph"/>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Calibri"/>
                <w:i/>
                <w:i/>
                <w:iCs/>
              </w:rPr>
            </w:pPr>
            <w:r>
              <w:rPr>
                <w:rFonts w:eastAsia="Calibri" w:cs="Calibri"/>
                <w:i/>
                <w:iCs/>
              </w:rPr>
              <w:t>300 go 10000 tr/mn</w:t>
            </w:r>
          </w:p>
        </w:tc>
        <w:tc>
          <w:tcPr>
            <w:tcW w:w="2337" w:type="dxa"/>
            <w:tcBorders/>
            <w:shd w:fill="auto" w:val="clear"/>
            <w:tcMar>
              <w:left w:w="108" w:type="dxa"/>
            </w:tcMar>
          </w:tcPr>
          <w:p>
            <w:pPr>
              <w:pStyle w:val="ListParagraph"/>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Calibri"/>
                <w:i/>
                <w:i/>
                <w:iCs/>
              </w:rPr>
            </w:pPr>
            <w:r>
              <w:rPr>
                <w:rFonts w:eastAsia="Calibri" w:cs="Calibri"/>
                <w:i/>
                <w:iCs/>
              </w:rPr>
              <w:t>300 go 10000 tr/mn</w:t>
            </w:r>
          </w:p>
        </w:tc>
      </w:tr>
      <w:tr>
        <w:trPr>
          <w:cnfStyle w:val="000000100000" w:firstRow="0" w:lastRow="0" w:firstColumn="0" w:lastColumn="0" w:oddVBand="0" w:evenVBand="0" w:oddHBand="1" w:evenHBand="0" w:firstRowFirstColumn="0" w:firstRowLastColumn="0" w:lastRowFirstColumn="0" w:lastRowLastColumn="0"/>
        </w:trPr>
        <w:tc>
          <w:tcPr>
            <w:tcW w:w="2637"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ListParagraph"/>
              <w:spacing w:lineRule="auto" w:line="240" w:before="0" w:after="0"/>
              <w:contextualSpacing/>
              <w:rPr>
                <w:rFonts w:ascii="Calibri" w:hAnsi="Calibri" w:eastAsia="Calibri" w:cs="Calibri"/>
                <w:i/>
                <w:i/>
                <w:iCs/>
              </w:rPr>
            </w:pPr>
            <w:r>
              <w:rPr>
                <w:rFonts w:eastAsia="Calibri" w:cs="Calibri"/>
                <w:b/>
                <w:bCs/>
                <w:i/>
                <w:iCs/>
              </w:rPr>
              <w:t>Interface réseau</w:t>
            </w:r>
          </w:p>
        </w:tc>
        <w:tc>
          <w:tcPr>
            <w:tcW w:w="2068" w:type="dxa"/>
            <w:tcBorders/>
            <w:shd w:color="auto" w:fill="DEEAF6" w:themeFill="accent1" w:themeFillTint="33" w:val="clear"/>
            <w:tcMar>
              <w:left w:w="108" w:type="dxa"/>
            </w:tcMar>
          </w:tcPr>
          <w:p>
            <w:pPr>
              <w:pStyle w:val="ListParagraph"/>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Calibri"/>
                <w:i/>
                <w:i/>
                <w:iCs/>
              </w:rPr>
            </w:pPr>
            <w:r>
              <w:rPr>
                <w:rFonts w:eastAsia="Calibri" w:cs="Calibri"/>
                <w:i/>
                <w:iCs/>
              </w:rPr>
              <w:t>eth0</w:t>
            </w:r>
          </w:p>
        </w:tc>
        <w:tc>
          <w:tcPr>
            <w:tcW w:w="2307" w:type="dxa"/>
            <w:tcBorders/>
            <w:shd w:color="auto" w:fill="DEEAF6" w:themeFill="accent1" w:themeFillTint="33" w:val="clear"/>
            <w:tcMar>
              <w:left w:w="108" w:type="dxa"/>
            </w:tcMar>
          </w:tcPr>
          <w:p>
            <w:pPr>
              <w:pStyle w:val="ListParagraph"/>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Calibri"/>
                <w:i/>
                <w:i/>
                <w:iCs/>
              </w:rPr>
            </w:pPr>
            <w:r>
              <w:rPr>
                <w:rFonts w:eastAsia="Calibri" w:cs="Calibri"/>
                <w:i/>
                <w:iCs/>
              </w:rPr>
              <w:t>eth0</w:t>
            </w:r>
          </w:p>
        </w:tc>
        <w:tc>
          <w:tcPr>
            <w:tcW w:w="2337" w:type="dxa"/>
            <w:tcBorders/>
            <w:shd w:color="auto" w:fill="DEEAF6" w:themeFill="accent1" w:themeFillTint="33" w:val="clear"/>
            <w:tcMar>
              <w:left w:w="108" w:type="dxa"/>
            </w:tcMar>
          </w:tcPr>
          <w:p>
            <w:pPr>
              <w:pStyle w:val="ListParagraph"/>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Calibri"/>
                <w:i/>
                <w:i/>
                <w:iCs/>
              </w:rPr>
            </w:pPr>
            <w:r>
              <w:rPr>
                <w:rFonts w:eastAsia="Calibri" w:cs="Calibri"/>
                <w:i/>
                <w:iCs/>
              </w:rPr>
              <w:t>eth0</w:t>
            </w:r>
          </w:p>
        </w:tc>
      </w:tr>
    </w:tbl>
    <w:p>
      <w:pPr>
        <w:pStyle w:val="Normal"/>
        <w:rPr>
          <w:rFonts w:ascii="Calibri" w:hAnsi="Calibri" w:eastAsia="Calibri" w:cs="Calibri"/>
          <w:i/>
          <w:i/>
          <w:iCs/>
        </w:rPr>
      </w:pPr>
      <w:r>
        <w:rPr>
          <w:rFonts w:eastAsia="Calibri" w:cs="Calibri"/>
          <w:i/>
          <w:iCs/>
        </w:rPr>
      </w:r>
    </w:p>
    <w:p>
      <w:pPr>
        <w:pStyle w:val="Normal"/>
        <w:rPr>
          <w:rFonts w:ascii="Calibri" w:hAnsi="Calibri" w:eastAsia="Calibri" w:cs="Calibri"/>
          <w:i/>
          <w:i/>
          <w:iCs/>
        </w:rPr>
      </w:pPr>
      <w:r>
        <w:rPr>
          <w:rFonts w:eastAsia="Calibri" w:cs="Calibri"/>
          <w:i/>
          <w:iCs/>
        </w:rPr>
        <w:t>Caractéristiques techniques des hyperviseurs ESXi</w:t>
      </w:r>
    </w:p>
    <w:p>
      <w:pPr>
        <w:pStyle w:val="Normal"/>
        <w:rPr>
          <w:rFonts w:ascii="Calibri" w:hAnsi="Calibri" w:eastAsia="Calibri" w:cs="Calibri"/>
          <w:i/>
          <w:i/>
          <w:iCs/>
        </w:rPr>
      </w:pPr>
      <w:r>
        <w:rPr>
          <w:rFonts w:eastAsia="Calibri" w:cs="Calibri"/>
          <w:i/>
          <w:iCs/>
        </w:rPr>
      </w:r>
    </w:p>
    <w:p>
      <w:pPr>
        <w:pStyle w:val="Normal"/>
        <w:rPr/>
      </w:pPr>
      <w:r>
        <w:rPr>
          <w:rFonts w:eastAsia="Calibri" w:cs="Calibri"/>
          <w:i/>
          <w:iCs/>
        </w:rPr>
        <w:t>Caractéristiques techniques du vCenter sur site primaire</w:t>
      </w:r>
    </w:p>
    <w:tbl>
      <w:tblPr>
        <w:tblStyle w:val="TableauGrille4-Accentuation1"/>
        <w:tblW w:w="4948" w:type="dxa"/>
        <w:jc w:val="left"/>
        <w:tblInd w:w="0" w:type="dxa"/>
        <w:tblCellMar>
          <w:top w:w="0" w:type="dxa"/>
          <w:left w:w="108" w:type="dxa"/>
          <w:bottom w:w="0" w:type="dxa"/>
          <w:right w:w="108" w:type="dxa"/>
        </w:tblCellMar>
        <w:tblLook w:val="04a0" w:noVBand="1" w:noHBand="0" w:lastColumn="0" w:firstColumn="1" w:lastRow="0" w:firstRow="1"/>
      </w:tblPr>
      <w:tblGrid>
        <w:gridCol w:w="2566"/>
        <w:gridCol w:w="2381"/>
      </w:tblGrid>
      <w:tr>
        <w:trPr>
          <w:cnfStyle w:val="100000000000" w:firstRow="1" w:lastRow="0" w:firstColumn="0" w:lastColumn="0" w:oddVBand="0" w:evenVBand="0" w:oddHBand="0" w:evenHBand="0" w:firstRowFirstColumn="0" w:firstRowLastColumn="0" w:lastRowFirstColumn="0" w:lastRowLastColumn="0"/>
        </w:trPr>
        <w:tc>
          <w:tcPr>
            <w:tcW w:w="256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rPr>
                <w:b/>
                <w:b/>
                <w:bCs/>
                <w:color w:val="FFFFFF" w:themeColor="background1"/>
              </w:rPr>
            </w:pPr>
            <w:r>
              <w:rPr>
                <w:b/>
                <w:bCs/>
                <w:color w:val="FFFFFF" w:themeColor="background1"/>
              </w:rPr>
              <w:t>vCenter</w:t>
            </w:r>
          </w:p>
        </w:tc>
        <w:tc>
          <w:tcPr>
            <w:tcW w:w="238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Site primaire</w:t>
            </w:r>
          </w:p>
        </w:tc>
      </w:tr>
      <w:tr>
        <w:trPr>
          <w:cnfStyle w:val="000000100000" w:firstRow="0" w:lastRow="0" w:firstColumn="0" w:lastColumn="0" w:oddVBand="0" w:evenVBand="0" w:oddHBand="1" w:evenHBand="0" w:firstRowFirstColumn="0" w:firstRowLastColumn="0" w:lastRowFirstColumn="0" w:lastRowLastColumn="0"/>
        </w:trPr>
        <w:tc>
          <w:tcPr>
            <w:tcW w:w="256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pPr>
            <w:r>
              <w:rPr>
                <w:rFonts w:eastAsia="Calibri" w:cs="Calibri"/>
                <w:b w:val="false"/>
                <w:bCs w:val="false"/>
              </w:rPr>
              <w:t>Mémoire</w:t>
            </w:r>
          </w:p>
        </w:tc>
        <w:tc>
          <w:tcPr>
            <w:tcW w:w="2381"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8GB</w:t>
            </w:r>
          </w:p>
        </w:tc>
      </w:tr>
      <w:tr>
        <w:trPr/>
        <w:tc>
          <w:tcPr>
            <w:tcW w:w="256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pPr>
            <w:r>
              <w:rPr>
                <w:rFonts w:eastAsia="Calibri" w:cs="Calibri"/>
                <w:b w:val="false"/>
                <w:bCs w:val="false"/>
              </w:rPr>
              <w:t>Nombre de vCPU</w:t>
            </w:r>
          </w:p>
        </w:tc>
        <w:tc>
          <w:tcPr>
            <w:tcW w:w="238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4</w:t>
            </w:r>
          </w:p>
        </w:tc>
      </w:tr>
      <w:tr>
        <w:trPr>
          <w:cnfStyle w:val="000000100000" w:firstRow="0" w:lastRow="0" w:firstColumn="0" w:lastColumn="0" w:oddVBand="0" w:evenVBand="0" w:oddHBand="1" w:evenHBand="0" w:firstRowFirstColumn="0" w:firstRowLastColumn="0" w:lastRowFirstColumn="0" w:lastRowLastColumn="0"/>
        </w:trPr>
        <w:tc>
          <w:tcPr>
            <w:tcW w:w="256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rFonts w:ascii="Calibri" w:hAnsi="Calibri" w:eastAsia="Calibri" w:cs="Calibri"/>
                <w:b w:val="false"/>
                <w:b w:val="false"/>
                <w:bCs w:val="false"/>
              </w:rPr>
            </w:pPr>
            <w:r>
              <w:rPr>
                <w:rFonts w:eastAsia="Calibri" w:cs="Calibri"/>
                <w:b w:val="false"/>
                <w:bCs w:val="false"/>
              </w:rPr>
              <w:t>Disque</w:t>
            </w:r>
          </w:p>
        </w:tc>
        <w:tc>
          <w:tcPr>
            <w:tcW w:w="2381"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1 000 go 7200 tr/mn</w:t>
            </w:r>
          </w:p>
        </w:tc>
      </w:tr>
      <w:tr>
        <w:trPr/>
        <w:tc>
          <w:tcPr>
            <w:tcW w:w="256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pPr>
            <w:r>
              <w:rPr>
                <w:rFonts w:eastAsia="Calibri" w:cs="Calibri"/>
                <w:b w:val="false"/>
                <w:bCs w:val="false"/>
              </w:rPr>
              <w:t>Interface réseau</w:t>
            </w:r>
          </w:p>
        </w:tc>
        <w:tc>
          <w:tcPr>
            <w:tcW w:w="238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Calibri" w:cs="Calibri"/>
              </w:rPr>
              <w:t>eth0</w:t>
            </w:r>
          </w:p>
        </w:tc>
      </w:tr>
    </w:tbl>
    <w:p>
      <w:pPr>
        <w:pStyle w:val="Normal"/>
        <w:rPr/>
      </w:pPr>
      <w:r>
        <w:rPr/>
      </w:r>
    </w:p>
    <w:p>
      <w:pPr>
        <w:pStyle w:val="Normal"/>
        <w:rPr/>
      </w:pPr>
      <w:r>
        <w:rPr/>
        <w:t>Pour le site secondaire, on utilise le client vSphere version 6 pour administrer les serveurs.</w:t>
      </w:r>
    </w:p>
    <w:p>
      <w:pPr>
        <w:pStyle w:val="Normal"/>
        <w:rPr/>
      </w:pPr>
      <w:r>
        <w:rPr/>
      </w:r>
    </w:p>
    <w:p>
      <w:pPr>
        <w:pStyle w:val="Heading2"/>
        <w:numPr>
          <w:ilvl w:val="1"/>
          <w:numId w:val="5"/>
        </w:numPr>
        <w:rPr/>
      </w:pPr>
      <w:bookmarkStart w:id="10" w:name="_Toc484772078"/>
      <w:bookmarkStart w:id="11" w:name="_Toc446411723"/>
      <w:bookmarkEnd w:id="10"/>
      <w:bookmarkEnd w:id="11"/>
      <w:r>
        <w:rPr/>
        <w:t>Actif directory</w:t>
      </w:r>
    </w:p>
    <w:p>
      <w:pPr>
        <w:pStyle w:val="ListParagraph"/>
        <w:ind w:left="3990" w:hanging="0"/>
        <w:rPr/>
      </w:pPr>
      <w:r>
        <w:rPr>
          <w:rFonts w:eastAsia="Calibri" w:cs="Calibri"/>
          <w:i/>
          <w:iCs/>
        </w:rPr>
        <w:t>Caractéristiques techniques du serveur actif directory</w:t>
      </w:r>
    </w:p>
    <w:tbl>
      <w:tblPr>
        <w:tblStyle w:val="TableauGrille4-Accentuation1"/>
        <w:tblW w:w="4948" w:type="dxa"/>
        <w:jc w:val="left"/>
        <w:tblInd w:w="0" w:type="dxa"/>
        <w:tblCellMar>
          <w:top w:w="0" w:type="dxa"/>
          <w:left w:w="108" w:type="dxa"/>
          <w:bottom w:w="0" w:type="dxa"/>
          <w:right w:w="108" w:type="dxa"/>
        </w:tblCellMar>
        <w:tblLook w:val="04a0" w:noVBand="1" w:noHBand="0" w:lastColumn="0" w:firstColumn="1" w:lastRow="0" w:firstRow="1"/>
      </w:tblPr>
      <w:tblGrid>
        <w:gridCol w:w="2566"/>
        <w:gridCol w:w="2381"/>
      </w:tblGrid>
      <w:tr>
        <w:trPr>
          <w:cnfStyle w:val="100000000000" w:firstRow="1" w:lastRow="0" w:firstColumn="0" w:lastColumn="0" w:oddVBand="0" w:evenVBand="0" w:oddHBand="0" w:evenHBand="0" w:firstRowFirstColumn="0" w:firstRowLastColumn="0" w:lastRowFirstColumn="0" w:lastRowLastColumn="0"/>
        </w:trPr>
        <w:tc>
          <w:tcPr>
            <w:tcW w:w="256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rPr>
                <w:b/>
                <w:b/>
                <w:bCs/>
                <w:color w:val="FFFFFF" w:themeColor="background1"/>
              </w:rPr>
            </w:pPr>
            <w:r>
              <w:rPr>
                <w:b/>
                <w:bCs/>
                <w:color w:val="FFFFFF" w:themeColor="background1"/>
              </w:rPr>
              <w:t>Actif directory</w:t>
            </w:r>
          </w:p>
        </w:tc>
        <w:tc>
          <w:tcPr>
            <w:tcW w:w="238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Site principal</w:t>
            </w:r>
          </w:p>
        </w:tc>
      </w:tr>
      <w:tr>
        <w:trPr>
          <w:cnfStyle w:val="000000100000" w:firstRow="0" w:lastRow="0" w:firstColumn="0" w:lastColumn="0" w:oddVBand="0" w:evenVBand="0" w:oddHBand="1" w:evenHBand="0" w:firstRowFirstColumn="0" w:firstRowLastColumn="0" w:lastRowFirstColumn="0" w:lastRowLastColumn="0"/>
        </w:trPr>
        <w:tc>
          <w:tcPr>
            <w:tcW w:w="256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pPr>
            <w:r>
              <w:rPr>
                <w:rFonts w:eastAsia="Calibri" w:cs="Calibri"/>
                <w:b w:val="false"/>
                <w:bCs w:val="false"/>
              </w:rPr>
              <w:t>Mémoire</w:t>
            </w:r>
          </w:p>
        </w:tc>
        <w:tc>
          <w:tcPr>
            <w:tcW w:w="2381"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4GB</w:t>
            </w:r>
          </w:p>
        </w:tc>
      </w:tr>
      <w:tr>
        <w:trPr/>
        <w:tc>
          <w:tcPr>
            <w:tcW w:w="256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pPr>
            <w:r>
              <w:rPr>
                <w:rFonts w:eastAsia="Calibri" w:cs="Calibri"/>
                <w:b w:val="false"/>
                <w:bCs w:val="false"/>
              </w:rPr>
              <w:t>Nombre de vCPU</w:t>
            </w:r>
          </w:p>
        </w:tc>
        <w:tc>
          <w:tcPr>
            <w:tcW w:w="238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4</w:t>
            </w:r>
          </w:p>
        </w:tc>
      </w:tr>
      <w:tr>
        <w:trPr>
          <w:cnfStyle w:val="000000100000" w:firstRow="0" w:lastRow="0" w:firstColumn="0" w:lastColumn="0" w:oddVBand="0" w:evenVBand="0" w:oddHBand="1" w:evenHBand="0" w:firstRowFirstColumn="0" w:firstRowLastColumn="0" w:lastRowFirstColumn="0" w:lastRowLastColumn="0"/>
        </w:trPr>
        <w:tc>
          <w:tcPr>
            <w:tcW w:w="256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rFonts w:ascii="Calibri" w:hAnsi="Calibri" w:eastAsia="Calibri" w:cs="Calibri"/>
                <w:b w:val="false"/>
                <w:b w:val="false"/>
                <w:bCs w:val="false"/>
              </w:rPr>
            </w:pPr>
            <w:r>
              <w:rPr>
                <w:rFonts w:eastAsia="Calibri" w:cs="Calibri"/>
                <w:b w:val="false"/>
                <w:bCs w:val="false"/>
              </w:rPr>
              <w:t>Disque</w:t>
            </w:r>
          </w:p>
        </w:tc>
        <w:tc>
          <w:tcPr>
            <w:tcW w:w="2381"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1 000 go 7200 tr/mn</w:t>
            </w:r>
          </w:p>
        </w:tc>
      </w:tr>
      <w:tr>
        <w:trPr/>
        <w:tc>
          <w:tcPr>
            <w:tcW w:w="256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pPr>
            <w:r>
              <w:rPr>
                <w:rFonts w:eastAsia="Calibri" w:cs="Calibri"/>
                <w:b w:val="false"/>
                <w:bCs w:val="false"/>
              </w:rPr>
              <w:t>Interface réseau</w:t>
            </w:r>
          </w:p>
        </w:tc>
        <w:tc>
          <w:tcPr>
            <w:tcW w:w="238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Calibri" w:cs="Calibri"/>
              </w:rPr>
              <w:t>eth0</w:t>
            </w:r>
          </w:p>
        </w:tc>
      </w:tr>
    </w:tbl>
    <w:p>
      <w:pPr>
        <w:pStyle w:val="Normal"/>
        <w:rPr/>
      </w:pPr>
      <w:r>
        <w:rPr/>
      </w:r>
    </w:p>
    <w:p>
      <w:pPr>
        <w:pStyle w:val="Normal"/>
        <w:rPr/>
      </w:pPr>
      <w:r>
        <w:rPr/>
      </w:r>
    </w:p>
    <w:p>
      <w:pPr>
        <w:pStyle w:val="Heading2"/>
        <w:numPr>
          <w:ilvl w:val="1"/>
          <w:numId w:val="5"/>
        </w:numPr>
        <w:rPr/>
      </w:pPr>
      <w:bookmarkStart w:id="12" w:name="_Toc484772079"/>
      <w:bookmarkEnd w:id="12"/>
      <w:r>
        <w:rPr/>
        <w:t>CDN</w:t>
      </w:r>
    </w:p>
    <w:p>
      <w:pPr>
        <w:pStyle w:val="Normal"/>
        <w:rPr/>
      </w:pPr>
      <w:r>
        <w:rPr/>
      </w:r>
    </w:p>
    <w:p>
      <w:pPr>
        <w:pStyle w:val="Normal"/>
        <w:rPr/>
      </w:pPr>
      <w:r>
        <w:rPr/>
        <w:t>Nous avons jugé plus utile de sous-traiter ce serveur à OVH qui est un groupe spécialisé dans l'hébergement. Notre offre nous revient à 10 € /mois avec un nom de domaine offert.</w:t>
      </w:r>
    </w:p>
    <w:p>
      <w:pPr>
        <w:pStyle w:val="Normal"/>
        <w:rPr/>
      </w:pPr>
      <w:r>
        <w:rPr/>
      </w:r>
    </w:p>
    <w:p>
      <w:pPr>
        <w:pStyle w:val="Normal"/>
        <w:rPr/>
      </w:pPr>
      <w:r>
        <w:rPr/>
        <w:drawing>
          <wp:inline distT="0" distB="0" distL="0" distR="0">
            <wp:extent cx="4572000" cy="226695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4572000" cy="2266950"/>
                    </a:xfrm>
                    <a:prstGeom prst="rect">
                      <a:avLst/>
                    </a:prstGeom>
                  </pic:spPr>
                </pic:pic>
              </a:graphicData>
            </a:graphic>
          </wp:inline>
        </w:drawing>
      </w:r>
    </w:p>
    <w:p>
      <w:pPr>
        <w:pStyle w:val="Normal"/>
        <w:rPr/>
      </w:pPr>
      <w:r>
        <w:rPr/>
      </w:r>
    </w:p>
    <w:p>
      <w:pPr>
        <w:pStyle w:val="Normal"/>
        <w:rPr/>
      </w:pPr>
      <w:r>
        <w:rPr/>
        <w:t>Nous pourrons ajouter nos serveurs en faisant du port forwarding et en mettant un nom de domaine à notre CDN. Pour plus de renseignement la procédure de d'ajout de serveurs back end, nous vous recommandons d'aller dans la FAQ du site OVH.</w:t>
      </w:r>
    </w:p>
    <w:p>
      <w:pPr>
        <w:pStyle w:val="Normal"/>
        <w:rPr/>
      </w:pPr>
      <w:r>
        <w:rPr/>
      </w:r>
    </w:p>
    <w:p>
      <w:pPr>
        <w:pStyle w:val="Normal"/>
        <w:rPr/>
      </w:pPr>
      <w:r>
        <w:rPr/>
      </w:r>
    </w:p>
    <w:p>
      <w:pPr>
        <w:pStyle w:val="Heading2"/>
        <w:numPr>
          <w:ilvl w:val="1"/>
          <w:numId w:val="5"/>
        </w:numPr>
        <w:rPr/>
      </w:pPr>
      <w:bookmarkStart w:id="13" w:name="_Toc484772080"/>
      <w:bookmarkStart w:id="14" w:name="_Toc446411724"/>
      <w:bookmarkEnd w:id="13"/>
      <w:bookmarkEnd w:id="14"/>
      <w:r>
        <w:rPr/>
        <w:t>Serveurs Web</w:t>
      </w:r>
    </w:p>
    <w:tbl>
      <w:tblPr>
        <w:tblStyle w:val="TableauGrille4-Accentuation1"/>
        <w:tblpPr w:bottomFromText="0" w:horzAnchor="margin" w:leftFromText="141" w:rightFromText="141" w:tblpX="0" w:tblpY="335" w:topFromText="0" w:vertAnchor="text"/>
        <w:tblW w:w="9350" w:type="dxa"/>
        <w:jc w:val="left"/>
        <w:tblInd w:w="108" w:type="dxa"/>
        <w:tblCellMar>
          <w:top w:w="0" w:type="dxa"/>
          <w:left w:w="103" w:type="dxa"/>
          <w:bottom w:w="0" w:type="dxa"/>
          <w:right w:w="108" w:type="dxa"/>
        </w:tblCellMar>
        <w:tblLook w:val="04a0" w:noVBand="1" w:noHBand="0" w:lastColumn="0" w:firstColumn="1" w:lastRow="0" w:firstRow="1"/>
      </w:tblPr>
      <w:tblGrid>
        <w:gridCol w:w="2264"/>
        <w:gridCol w:w="1841"/>
        <w:gridCol w:w="1843"/>
        <w:gridCol w:w="1559"/>
        <w:gridCol w:w="1843"/>
      </w:tblGrid>
      <w:tr>
        <w:trPr>
          <w:cnfStyle w:val="100000000000" w:firstRow="1" w:lastRow="0" w:firstColumn="0" w:lastColumn="0" w:oddVBand="0" w:evenVBand="0" w:oddHBand="0" w:evenHBand="0" w:firstRowFirstColumn="0" w:firstRowLastColumn="0" w:lastRowFirstColumn="0" w:lastRowLastColumn="0"/>
        </w:trPr>
        <w:tc>
          <w:tcPr>
            <w:tcW w:w="2264"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3" w:type="dxa"/>
            </w:tcMar>
          </w:tcPr>
          <w:p>
            <w:pPr>
              <w:pStyle w:val="Normal"/>
              <w:spacing w:lineRule="auto" w:line="240" w:before="0" w:after="0"/>
              <w:rPr>
                <w:b/>
                <w:b/>
                <w:bCs/>
                <w:color w:val="FFFFFF" w:themeColor="background1"/>
              </w:rPr>
            </w:pPr>
            <w:r>
              <w:rPr>
                <w:b/>
                <w:bCs/>
                <w:color w:val="FFFFFF" w:themeColor="background1"/>
              </w:rPr>
            </w:r>
          </w:p>
        </w:tc>
        <w:tc>
          <w:tcPr>
            <w:tcW w:w="3684" w:type="dxa"/>
            <w:gridSpan w:val="2"/>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b/>
                <w:bCs/>
                <w:color w:val="FFFFFF" w:themeColor="background1"/>
              </w:rPr>
              <w:t xml:space="preserve">Site </w:t>
            </w:r>
            <w:r>
              <w:rPr>
                <w:rFonts w:eastAsia="Calibri" w:cs="Calibri"/>
                <w:b/>
                <w:bCs/>
                <w:color w:val="FFFFFF" w:themeColor="background1"/>
              </w:rPr>
              <w:t>New York</w:t>
            </w:r>
          </w:p>
        </w:tc>
        <w:tc>
          <w:tcPr>
            <w:tcW w:w="3402" w:type="dxa"/>
            <w:gridSpan w:val="2"/>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Site </w:t>
            </w:r>
            <w:r>
              <w:rPr>
                <w:rFonts w:eastAsia="Calibri" w:cs="Calibri"/>
                <w:b/>
                <w:bCs/>
                <w:color w:val="FFFFFF" w:themeColor="background1"/>
              </w:rPr>
              <w:t>Dallas</w:t>
            </w:r>
          </w:p>
        </w:tc>
      </w:tr>
      <w:tr>
        <w:trPr>
          <w:cnfStyle w:val="000000100000" w:firstRow="0" w:lastRow="0" w:firstColumn="0" w:lastColumn="0" w:oddVBand="0" w:evenVBand="0" w:oddHBand="1" w:evenHBand="0" w:firstRowFirstColumn="0" w:firstRowLastColumn="0" w:lastRowFirstColumn="0" w:lastRowLastColumn="0"/>
        </w:trPr>
        <w:tc>
          <w:tcPr>
            <w:tcW w:w="226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3" w:type="dxa"/>
            </w:tcMar>
          </w:tcPr>
          <w:p>
            <w:pPr>
              <w:pStyle w:val="Normal"/>
              <w:spacing w:lineRule="auto" w:line="240" w:before="0" w:after="0"/>
              <w:rPr>
                <w:rFonts w:ascii="Calibri" w:hAnsi="Calibri" w:eastAsia="Calibri" w:cs="Calibri"/>
                <w:b w:val="false"/>
                <w:b w:val="false"/>
                <w:bCs w:val="false"/>
              </w:rPr>
            </w:pPr>
            <w:r>
              <w:rPr>
                <w:rFonts w:eastAsia="Calibri" w:cs="Calibri"/>
                <w:b w:val="false"/>
                <w:bCs w:val="false"/>
              </w:rPr>
              <w:t>Nom</w:t>
            </w:r>
          </w:p>
        </w:tc>
        <w:tc>
          <w:tcPr>
            <w:tcW w:w="1841" w:type="dxa"/>
            <w:tcBorders/>
            <w:shd w:color="auto" w:fill="DEEAF6"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Ny-webserver1</w:t>
            </w:r>
          </w:p>
        </w:tc>
        <w:tc>
          <w:tcPr>
            <w:tcW w:w="1843" w:type="dxa"/>
            <w:tcBorders/>
            <w:shd w:color="auto" w:fill="DEEAF6"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Ny-webserver2</w:t>
            </w:r>
          </w:p>
        </w:tc>
        <w:tc>
          <w:tcPr>
            <w:tcW w:w="1559" w:type="dxa"/>
            <w:tcBorders/>
            <w:shd w:color="auto" w:fill="DEEAF6"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Tx-webserver1</w:t>
            </w:r>
          </w:p>
        </w:tc>
        <w:tc>
          <w:tcPr>
            <w:tcW w:w="1843" w:type="dxa"/>
            <w:tcBorders/>
            <w:shd w:color="auto" w:fill="DEEAF6"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rPr>
              <w:t>Tx-webserver2</w:t>
            </w:r>
          </w:p>
        </w:tc>
      </w:tr>
      <w:tr>
        <w:trPr/>
        <w:tc>
          <w:tcPr>
            <w:tcW w:w="2264"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pPr>
            <w:r>
              <w:rPr>
                <w:rFonts w:eastAsia="Calibri" w:cs="Calibri"/>
                <w:b w:val="false"/>
                <w:bCs w:val="false"/>
              </w:rPr>
              <w:t>Hyperviseur</w:t>
            </w:r>
          </w:p>
        </w:tc>
        <w:tc>
          <w:tcPr>
            <w:tcW w:w="18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Calibri" w:cs="Calibri"/>
              </w:rPr>
              <w:t>ESXi1</w:t>
            </w:r>
          </w:p>
        </w:tc>
        <w:tc>
          <w:tcPr>
            <w:tcW w:w="1843"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ESXi2</w:t>
            </w:r>
          </w:p>
        </w:tc>
        <w:tc>
          <w:tcPr>
            <w:tcW w:w="1559"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ESXi1</w:t>
            </w:r>
          </w:p>
        </w:tc>
        <w:tc>
          <w:tcPr>
            <w:tcW w:w="1843"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ESXi2</w:t>
            </w:r>
          </w:p>
        </w:tc>
      </w:tr>
      <w:tr>
        <w:trPr>
          <w:cnfStyle w:val="000000100000" w:firstRow="0" w:lastRow="0" w:firstColumn="0" w:lastColumn="0" w:oddVBand="0" w:evenVBand="0" w:oddHBand="1" w:evenHBand="0" w:firstRowFirstColumn="0" w:firstRowLastColumn="0" w:lastRowFirstColumn="0" w:lastRowLastColumn="0"/>
        </w:trPr>
        <w:tc>
          <w:tcPr>
            <w:tcW w:w="226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3" w:type="dxa"/>
            </w:tcMar>
          </w:tcPr>
          <w:p>
            <w:pPr>
              <w:pStyle w:val="Normal"/>
              <w:spacing w:lineRule="auto" w:line="240" w:before="0" w:after="0"/>
              <w:rPr/>
            </w:pPr>
            <w:r>
              <w:rPr>
                <w:rFonts w:eastAsia="Calibri" w:cs="Calibri"/>
                <w:b w:val="false"/>
                <w:bCs w:val="false"/>
              </w:rPr>
              <w:t>Mémoire</w:t>
            </w:r>
          </w:p>
        </w:tc>
        <w:tc>
          <w:tcPr>
            <w:tcW w:w="1841" w:type="dxa"/>
            <w:tcBorders/>
            <w:shd w:color="auto" w:fill="DEEAF6"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4GB</w:t>
            </w:r>
          </w:p>
        </w:tc>
        <w:tc>
          <w:tcPr>
            <w:tcW w:w="1843" w:type="dxa"/>
            <w:tcBorders/>
            <w:shd w:color="auto" w:fill="DEEAF6"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4GB</w:t>
            </w:r>
          </w:p>
        </w:tc>
        <w:tc>
          <w:tcPr>
            <w:tcW w:w="1559" w:type="dxa"/>
            <w:tcBorders/>
            <w:shd w:color="auto" w:fill="DEEAF6"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4GB</w:t>
            </w:r>
          </w:p>
        </w:tc>
        <w:tc>
          <w:tcPr>
            <w:tcW w:w="1843" w:type="dxa"/>
            <w:tcBorders/>
            <w:shd w:color="auto" w:fill="DEEAF6"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4GB</w:t>
            </w:r>
          </w:p>
        </w:tc>
      </w:tr>
      <w:tr>
        <w:trPr/>
        <w:tc>
          <w:tcPr>
            <w:tcW w:w="2264"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pPr>
            <w:r>
              <w:rPr>
                <w:rFonts w:eastAsia="Calibri" w:cs="Calibri"/>
                <w:b w:val="false"/>
                <w:bCs w:val="false"/>
              </w:rPr>
              <w:t>Nombre de vCPU</w:t>
            </w:r>
          </w:p>
        </w:tc>
        <w:tc>
          <w:tcPr>
            <w:tcW w:w="18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w:t>
            </w:r>
          </w:p>
        </w:tc>
        <w:tc>
          <w:tcPr>
            <w:tcW w:w="1843"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w:t>
            </w:r>
          </w:p>
        </w:tc>
        <w:tc>
          <w:tcPr>
            <w:tcW w:w="1559"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w:t>
            </w:r>
          </w:p>
        </w:tc>
        <w:tc>
          <w:tcPr>
            <w:tcW w:w="1843"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226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3" w:type="dxa"/>
            </w:tcMar>
          </w:tcPr>
          <w:p>
            <w:pPr>
              <w:pStyle w:val="Normal"/>
              <w:spacing w:lineRule="auto" w:line="240" w:before="0" w:after="0"/>
              <w:rPr>
                <w:rFonts w:ascii="Calibri" w:hAnsi="Calibri" w:eastAsia="Calibri" w:cs="Calibri"/>
                <w:b w:val="false"/>
                <w:b w:val="false"/>
                <w:bCs w:val="false"/>
              </w:rPr>
            </w:pPr>
            <w:r>
              <w:rPr>
                <w:rFonts w:eastAsia="Calibri" w:cs="Calibri"/>
                <w:b w:val="false"/>
                <w:bCs w:val="false"/>
              </w:rPr>
              <w:t>Disque</w:t>
            </w:r>
          </w:p>
        </w:tc>
        <w:tc>
          <w:tcPr>
            <w:tcW w:w="1841" w:type="dxa"/>
            <w:tcBorders/>
            <w:shd w:color="auto" w:fill="DEEAF6"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40 GB</w:t>
            </w:r>
          </w:p>
        </w:tc>
        <w:tc>
          <w:tcPr>
            <w:tcW w:w="1843" w:type="dxa"/>
            <w:tcBorders/>
            <w:shd w:color="auto" w:fill="DEEAF6"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40 GB</w:t>
            </w:r>
          </w:p>
        </w:tc>
        <w:tc>
          <w:tcPr>
            <w:tcW w:w="1559" w:type="dxa"/>
            <w:tcBorders/>
            <w:shd w:color="auto" w:fill="DEEAF6"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40 GB</w:t>
            </w:r>
          </w:p>
        </w:tc>
        <w:tc>
          <w:tcPr>
            <w:tcW w:w="1843" w:type="dxa"/>
            <w:tcBorders/>
            <w:shd w:color="auto" w:fill="DEEAF6"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40 GB</w:t>
            </w:r>
          </w:p>
        </w:tc>
      </w:tr>
      <w:tr>
        <w:trPr/>
        <w:tc>
          <w:tcPr>
            <w:tcW w:w="2264"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pPr>
            <w:r>
              <w:rPr>
                <w:rFonts w:eastAsia="Calibri" w:cs="Calibri"/>
                <w:b w:val="false"/>
                <w:bCs w:val="false"/>
              </w:rPr>
              <w:t>Interface réseau</w:t>
            </w:r>
          </w:p>
        </w:tc>
        <w:tc>
          <w:tcPr>
            <w:tcW w:w="18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Calibri" w:cs="Calibri"/>
              </w:rPr>
              <w:t>eth0</w:t>
            </w:r>
          </w:p>
        </w:tc>
        <w:tc>
          <w:tcPr>
            <w:tcW w:w="1843"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eth0</w:t>
            </w:r>
          </w:p>
        </w:tc>
        <w:tc>
          <w:tcPr>
            <w:tcW w:w="1559"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eth0</w:t>
            </w:r>
          </w:p>
        </w:tc>
        <w:tc>
          <w:tcPr>
            <w:tcW w:w="1843"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rPr>
              <w:t>eth0</w:t>
            </w:r>
          </w:p>
        </w:tc>
      </w:tr>
    </w:tbl>
    <w:p>
      <w:pPr>
        <w:pStyle w:val="ListParagraph"/>
        <w:ind w:left="3990" w:firstLine="330"/>
        <w:rPr>
          <w:rFonts w:ascii="Calibri" w:hAnsi="Calibri" w:eastAsia="Calibri" w:cs="Calibri"/>
          <w:i/>
          <w:i/>
          <w:iCs/>
        </w:rPr>
      </w:pPr>
      <w:r>
        <w:rPr>
          <w:rFonts w:eastAsia="Calibri" w:cs="Calibri"/>
          <w:i/>
          <w:iCs/>
        </w:rPr>
        <w:t>Caractéristiques techniques des serveurs web nginx</w:t>
      </w:r>
    </w:p>
    <w:p>
      <w:pPr>
        <w:pStyle w:val="ListParagraph"/>
        <w:ind w:left="3990" w:firstLine="330"/>
        <w:rPr/>
      </w:pPr>
      <w:r>
        <w:rPr/>
      </w:r>
    </w:p>
    <w:p>
      <w:pPr>
        <w:pStyle w:val="Normal"/>
        <w:rPr/>
      </w:pPr>
      <w:r>
        <w:rPr/>
      </w:r>
    </w:p>
    <w:p>
      <w:pPr>
        <w:pStyle w:val="Normal"/>
        <w:rPr/>
      </w:pPr>
      <w:r>
        <w:rPr/>
      </w:r>
    </w:p>
    <w:p>
      <w:pPr>
        <w:pStyle w:val="Heading2"/>
        <w:numPr>
          <w:ilvl w:val="1"/>
          <w:numId w:val="5"/>
        </w:numPr>
        <w:rPr/>
      </w:pPr>
      <w:bookmarkStart w:id="15" w:name="_Toc484772081"/>
      <w:bookmarkStart w:id="16" w:name="_Toc446411725"/>
      <w:r>
        <w:rPr/>
        <w:t xml:space="preserve">Serveur </w:t>
      </w:r>
      <w:bookmarkEnd w:id="16"/>
      <w:bookmarkEnd w:id="15"/>
      <w:r>
        <w:rPr/>
        <w:t>MySQL</w:t>
      </w:r>
    </w:p>
    <w:p>
      <w:pPr>
        <w:pStyle w:val="Normal"/>
        <w:rPr/>
      </w:pPr>
      <w:r>
        <w:rPr/>
      </w:r>
    </w:p>
    <w:tbl>
      <w:tblPr>
        <w:tblStyle w:val="TableauGrille1Clair-Accentuation1"/>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b/>
                <w:b/>
                <w:bCs/>
              </w:rPr>
            </w:pPr>
            <w:r>
              <w:rPr>
                <w:b/>
                <w:bCs/>
              </w:rPr>
              <w:t>Nom</w:t>
            </w:r>
          </w:p>
        </w:tc>
        <w:tc>
          <w:tcPr>
            <w:tcW w:w="3117" w:type="dxa"/>
            <w:tcBorders>
              <w:bottom w:val="single" w:sz="12" w:space="0" w:color="9CC2E5"/>
              <w:insideH w:val="single" w:sz="12" w:space="0" w:color="9CC2E5"/>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MySQL</w:t>
            </w:r>
          </w:p>
        </w:tc>
        <w:tc>
          <w:tcPr>
            <w:tcW w:w="3117" w:type="dxa"/>
            <w:tcBorders>
              <w:bottom w:val="single" w:sz="12" w:space="0" w:color="9CC2E5"/>
              <w:insideH w:val="single" w:sz="12" w:space="0" w:color="9CC2E5"/>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tymysql</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Mémoire</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4GB</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4 GB</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Nombre de vCPU</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Disque</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 disque de 16 go + 1to (database)</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 disque de 16 go + 1to (database)</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Interface réseau</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eth0</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Eth0</w:t>
            </w:r>
          </w:p>
        </w:tc>
      </w:tr>
    </w:tbl>
    <w:p>
      <w:pPr>
        <w:pStyle w:val="Normal"/>
        <w:rPr/>
      </w:pPr>
      <w:r>
        <w:rPr/>
      </w:r>
    </w:p>
    <w:p>
      <w:pPr>
        <w:pStyle w:val="Heading1"/>
        <w:numPr>
          <w:ilvl w:val="0"/>
          <w:numId w:val="5"/>
        </w:numPr>
        <w:rPr/>
      </w:pPr>
      <w:bookmarkStart w:id="17" w:name="_Toc484772082"/>
      <w:bookmarkEnd w:id="17"/>
      <w:r>
        <w:rPr/>
        <w:t>Architecture logique</w:t>
      </w:r>
    </w:p>
    <w:p>
      <w:pPr>
        <w:pStyle w:val="Normal"/>
        <w:ind w:left="1440" w:hanging="0"/>
        <w:rPr>
          <w:rFonts w:ascii="Calibri" w:hAnsi="Calibri" w:eastAsia="Calibri" w:cs="Calibri"/>
          <w:i/>
          <w:i/>
          <w:iCs/>
        </w:rPr>
      </w:pPr>
      <w:r>
        <w:rPr>
          <w:rFonts w:eastAsia="Calibri" w:cs="Calibri"/>
          <w:i/>
          <w:iCs/>
        </w:rPr>
        <w:t>Cette solution définit l'architecture logique de la solution mise en place dans le cadre du projet haute disponibilité du site Qwirk</w:t>
      </w:r>
    </w:p>
    <w:p>
      <w:pPr>
        <w:pStyle w:val="Normal"/>
        <w:ind w:left="1440" w:hanging="0"/>
        <w:rPr/>
      </w:pPr>
      <w:r>
        <w:rPr/>
      </w:r>
    </w:p>
    <w:p>
      <w:pPr>
        <w:pStyle w:val="Heading2"/>
        <w:numPr>
          <w:ilvl w:val="1"/>
          <w:numId w:val="5"/>
        </w:numPr>
        <w:rPr/>
      </w:pPr>
      <w:bookmarkStart w:id="18" w:name="_Toc484772083"/>
      <w:bookmarkStart w:id="19" w:name="_Toc446411727"/>
      <w:bookmarkEnd w:id="18"/>
      <w:bookmarkEnd w:id="19"/>
      <w:r>
        <w:rPr/>
        <w:t>Versions logicielles</w:t>
      </w:r>
    </w:p>
    <w:p>
      <w:pPr>
        <w:pStyle w:val="Normal"/>
        <w:ind w:left="1440" w:firstLine="720"/>
        <w:rPr/>
      </w:pPr>
      <w:r>
        <w:rPr>
          <w:i/>
          <w:iCs/>
        </w:rPr>
        <w:t>Ce chapitre présente les caractéristiques logicielles des équipements utilisés</w:t>
      </w:r>
    </w:p>
    <w:p>
      <w:pPr>
        <w:pStyle w:val="Normal"/>
        <w:rPr/>
      </w:pPr>
      <w:r>
        <w:rPr/>
        <w:t>Les équipements sont installés avec les versions logicielles suivantes :</w:t>
      </w:r>
    </w:p>
    <w:p>
      <w:pPr>
        <w:pStyle w:val="Normal"/>
        <w:rPr/>
      </w:pPr>
      <w:r>
        <w:rPr/>
      </w:r>
    </w:p>
    <w:tbl>
      <w:tblPr>
        <w:tblStyle w:val="TableauGrille4-Accentuation1"/>
        <w:tblW w:w="9350" w:type="dxa"/>
        <w:jc w:val="left"/>
        <w:tblInd w:w="0" w:type="dxa"/>
        <w:tblCellMar>
          <w:top w:w="0" w:type="dxa"/>
          <w:left w:w="108" w:type="dxa"/>
          <w:bottom w:w="0" w:type="dxa"/>
          <w:right w:w="108" w:type="dxa"/>
        </w:tblCellMar>
        <w:tblLook w:val="04a0" w:noVBand="1" w:noHBand="0" w:lastColumn="0" w:firstColumn="1" w:lastRow="0" w:firstRow="1"/>
      </w:tblPr>
      <w:tblGrid>
        <w:gridCol w:w="2591"/>
        <w:gridCol w:w="3642"/>
        <w:gridCol w:w="3117"/>
      </w:tblGrid>
      <w:tr>
        <w:trPr>
          <w:cnfStyle w:val="100000000000" w:firstRow="1" w:lastRow="0" w:firstColumn="0" w:lastColumn="0" w:oddVBand="0" w:evenVBand="0" w:oddHBand="0" w:evenHBand="0" w:firstRowFirstColumn="0" w:firstRowLastColumn="0" w:lastRowFirstColumn="0" w:lastRowLastColumn="0"/>
        </w:trPr>
        <w:tc>
          <w:tcPr>
            <w:tcW w:w="259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jc w:val="center"/>
              <w:rPr>
                <w:b/>
                <w:b/>
                <w:bCs/>
                <w:color w:val="FFFFFF" w:themeColor="background1"/>
              </w:rPr>
            </w:pPr>
            <w:r>
              <w:rPr>
                <w:b/>
                <w:bCs/>
                <w:color w:val="FFFFFF" w:themeColor="background1"/>
              </w:rPr>
              <w:t>Service</w:t>
            </w:r>
          </w:p>
        </w:tc>
        <w:tc>
          <w:tcPr>
            <w:tcW w:w="36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Version</w:t>
            </w:r>
          </w:p>
        </w:tc>
        <w:tc>
          <w:tcPr>
            <w:tcW w:w="311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Site</w:t>
            </w:r>
          </w:p>
        </w:tc>
      </w:tr>
      <w:tr>
        <w:trPr>
          <w:cnfStyle w:val="000000100000" w:firstRow="0" w:lastRow="0" w:firstColumn="0" w:lastColumn="0" w:oddVBand="0" w:evenVBand="0" w:oddHBand="1" w:evenHBand="0" w:firstRowFirstColumn="0" w:firstRowLastColumn="0" w:lastRowFirstColumn="0" w:lastRowLastColumn="0"/>
        </w:trPr>
        <w:tc>
          <w:tcPr>
            <w:tcW w:w="2591"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val="false"/>
                <w:b w:val="false"/>
                <w:bCs w:val="false"/>
              </w:rPr>
            </w:pPr>
            <w:r>
              <w:rPr>
                <w:b w:val="false"/>
                <w:bCs w:val="false"/>
              </w:rPr>
              <w:t>Hyperviseur Type 1</w:t>
            </w:r>
          </w:p>
        </w:tc>
        <w:tc>
          <w:tcPr>
            <w:tcW w:w="3642"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Pr/>
              <w:t>ESXi 5.5</w:t>
            </w:r>
          </w:p>
        </w:tc>
        <w:tc>
          <w:tcPr>
            <w:tcW w:w="3117" w:type="dxa"/>
            <w:tcBorders/>
            <w:shd w:color="auto" w:fill="DEEAF6" w:themeFill="accent1"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Tous</w:t>
            </w:r>
          </w:p>
        </w:tc>
      </w:tr>
      <w:tr>
        <w:trPr/>
        <w:tc>
          <w:tcPr>
            <w:tcW w:w="259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bCs w:val="false"/>
              </w:rPr>
            </w:pPr>
            <w:r>
              <w:rPr>
                <w:b w:val="false"/>
                <w:bCs w:val="false"/>
              </w:rPr>
              <w:t>Serveur Web</w:t>
            </w:r>
          </w:p>
        </w:tc>
        <w:tc>
          <w:tcPr>
            <w:tcW w:w="364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Calibri" w:cs="Calibri"/>
                <w:color w:val="000000" w:themeColor="text1"/>
              </w:rPr>
              <w:t xml:space="preserve">Nginx </w:t>
            </w:r>
            <w:r>
              <w:rPr>
                <w:rFonts w:eastAsia="Calibri" w:cs="Calibri"/>
                <w:b/>
                <w:bCs/>
                <w:color w:val="222222"/>
              </w:rPr>
              <w:t>1.6.2-5</w:t>
            </w:r>
          </w:p>
        </w:tc>
        <w:tc>
          <w:tcPr>
            <w:tcW w:w="3117"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cs="Calibri"/>
              </w:rPr>
              <w:t>New York / Dallas</w:t>
            </w:r>
          </w:p>
        </w:tc>
      </w:tr>
      <w:tr>
        <w:trPr>
          <w:cnfStyle w:val="000000100000" w:firstRow="0" w:lastRow="0" w:firstColumn="0" w:lastColumn="0" w:oddVBand="0" w:evenVBand="0" w:oddHBand="1" w:evenHBand="0" w:firstRowFirstColumn="0" w:firstRowLastColumn="0" w:lastRowFirstColumn="0" w:lastRowLastColumn="0"/>
        </w:trPr>
        <w:tc>
          <w:tcPr>
            <w:tcW w:w="2591"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val="false"/>
                <w:b w:val="false"/>
                <w:bCs w:val="false"/>
              </w:rPr>
            </w:pPr>
            <w:r>
              <w:rPr>
                <w:b w:val="false"/>
                <w:bCs w:val="false"/>
              </w:rPr>
              <w:t>vCenter Server</w:t>
            </w:r>
          </w:p>
        </w:tc>
        <w:tc>
          <w:tcPr>
            <w:tcW w:w="3642"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Pr>
                <w:rFonts w:eastAsia="Calibri" w:cs="Calibri"/>
                <w:color w:val="000000" w:themeColor="text1"/>
              </w:rPr>
              <w:t>5.5</w:t>
            </w:r>
          </w:p>
        </w:tc>
        <w:tc>
          <w:tcPr>
            <w:tcW w:w="3117" w:type="dxa"/>
            <w:tcBorders/>
            <w:shd w:color="auto" w:fill="DEEAF6" w:themeFill="accent1"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Primaire</w:t>
            </w:r>
          </w:p>
        </w:tc>
      </w:tr>
    </w:tbl>
    <w:p>
      <w:pPr>
        <w:pStyle w:val="Normal"/>
        <w:rPr/>
      </w:pPr>
      <w:r>
        <w:rPr/>
      </w:r>
    </w:p>
    <w:p>
      <w:pPr>
        <w:pStyle w:val="Heading2"/>
        <w:numPr>
          <w:ilvl w:val="1"/>
          <w:numId w:val="5"/>
        </w:numPr>
        <w:rPr/>
      </w:pPr>
      <w:bookmarkStart w:id="20" w:name="_Toc484772084"/>
      <w:bookmarkStart w:id="21" w:name="_Toc446411728"/>
      <w:bookmarkEnd w:id="20"/>
      <w:bookmarkEnd w:id="21"/>
      <w:r>
        <w:rPr/>
        <w:t>Virtualisation</w:t>
      </w:r>
    </w:p>
    <w:p>
      <w:pPr>
        <w:pStyle w:val="Normal"/>
        <w:ind w:left="1440" w:hanging="0"/>
        <w:rPr/>
      </w:pPr>
      <w:r>
        <w:rPr>
          <w:i/>
          <w:iCs/>
        </w:rPr>
        <w:t>Ce chapitre présente les caractéristiques des plateformes de virtualisation mises en place</w:t>
      </w:r>
    </w:p>
    <w:p>
      <w:pPr>
        <w:pStyle w:val="Normal"/>
        <w:rPr>
          <w:rFonts w:ascii="Calibri" w:hAnsi="Calibri" w:eastAsia="Calibri" w:cs="Calibri"/>
        </w:rPr>
      </w:pPr>
      <w:r>
        <w:rPr>
          <w:rFonts w:eastAsia="Calibri" w:cs="Calibri"/>
        </w:rPr>
        <w:t xml:space="preserve">Nous mettons en place une plateforme de virtualisation réparties sur trois sites physiquement séparés. </w:t>
      </w:r>
    </w:p>
    <w:p>
      <w:pPr>
        <w:pStyle w:val="Normal"/>
        <w:rPr>
          <w:rFonts w:ascii="Calibri" w:hAnsi="Calibri" w:eastAsia="Calibri" w:cs="Calibri"/>
        </w:rPr>
      </w:pPr>
      <w:r>
        <w:rPr>
          <w:rFonts w:eastAsia="Calibri" w:cs="Calibri"/>
        </w:rPr>
        <w:t xml:space="preserve">Celle-ci est de type 1, c'est-à-dire installée directement sur la couche matérielle du serveur. Le choix s'est porté sur l'ESX Server de VMware. </w:t>
      </w:r>
    </w:p>
    <w:p>
      <w:pPr>
        <w:pStyle w:val="Normal"/>
        <w:rPr>
          <w:rFonts w:ascii="Calibri" w:hAnsi="Calibri" w:eastAsia="Calibri" w:cs="Calibri"/>
        </w:rPr>
      </w:pPr>
      <w:r>
        <w:rPr>
          <w:rFonts w:eastAsia="Calibri" w:cs="Calibri"/>
        </w:rPr>
      </w:r>
    </w:p>
    <w:p>
      <w:pPr>
        <w:pStyle w:val="Normal"/>
        <w:rPr/>
      </w:pPr>
      <w:r>
        <w:rPr>
          <w:rFonts w:eastAsia="Calibri" w:cs="Calibri"/>
        </w:rPr>
        <w:t>La virtualisation a plusieurs avantages par rapport aux machines physiques :</w:t>
      </w:r>
    </w:p>
    <w:p>
      <w:pPr>
        <w:pStyle w:val="ListParagraph"/>
        <w:numPr>
          <w:ilvl w:val="0"/>
          <w:numId w:val="4"/>
        </w:numPr>
        <w:rPr>
          <w:rFonts w:eastAsia="" w:eastAsiaTheme="minorEastAsia"/>
        </w:rPr>
      </w:pPr>
      <w:r>
        <w:rPr>
          <w:rFonts w:eastAsia="Calibri" w:cs="Calibri"/>
        </w:rPr>
        <w:t xml:space="preserve">Elle permet la gestion de plusieurs systèmes d'exploitation. </w:t>
      </w:r>
    </w:p>
    <w:p>
      <w:pPr>
        <w:pStyle w:val="ListParagraph"/>
        <w:numPr>
          <w:ilvl w:val="0"/>
          <w:numId w:val="4"/>
        </w:numPr>
        <w:rPr>
          <w:rFonts w:eastAsia="" w:eastAsiaTheme="minorEastAsia"/>
        </w:rPr>
      </w:pPr>
      <w:r>
        <w:rPr>
          <w:rFonts w:eastAsia="Calibri" w:cs="Calibri"/>
        </w:rPr>
        <w:t>Elle facilite les migrations de données entre sites.</w:t>
      </w:r>
    </w:p>
    <w:p>
      <w:pPr>
        <w:pStyle w:val="ListParagraph"/>
        <w:numPr>
          <w:ilvl w:val="0"/>
          <w:numId w:val="4"/>
        </w:numPr>
        <w:rPr>
          <w:rFonts w:eastAsia="" w:eastAsiaTheme="minorEastAsia"/>
        </w:rPr>
      </w:pPr>
      <w:r>
        <w:rPr>
          <w:rFonts w:eastAsia="Calibri" w:cs="Calibri"/>
        </w:rPr>
        <w:t>Elle permet de répartir la charge sur plusieurs serveurs en fonction du trafic.</w:t>
      </w:r>
    </w:p>
    <w:p>
      <w:pPr>
        <w:pStyle w:val="Normal"/>
        <w:rPr/>
      </w:pPr>
      <w:r>
        <w:rPr>
          <w:rFonts w:eastAsia="Calibri" w:cs="Calibri"/>
        </w:rPr>
        <w:t>Sur ces plateformes, nous avons mis en place trois Datacenters. Avoir 2 serveurs sur 2 sites permet donc une redondance de l'information, avec un risque de panne divisé par 2 x 2 = 4.</w:t>
      </w:r>
    </w:p>
    <w:p>
      <w:pPr>
        <w:pStyle w:val="Normal"/>
        <w:rPr/>
      </w:pPr>
      <w:r>
        <w:rPr>
          <w:rFonts w:eastAsia="Calibri" w:cs="Calibri"/>
        </w:rPr>
        <w:t>Sur deux des sites physiques, nous faisons travailler les deux serveurs web ensemble pour optimiser le temps de chargement des utilisateurs.</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Puis pour sauvegarder l'intégralité des machines virtuelles nous virtualisons une station dédiée à la sauvegarde des machines virtuelles via le logiciel VEAM.</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Nous verrons par la suite en détail les solutions utilisées.</w:t>
      </w:r>
    </w:p>
    <w:p>
      <w:pPr>
        <w:pStyle w:val="Normal"/>
        <w:rPr>
          <w:rFonts w:ascii="Calibri Light" w:hAnsi="Calibri Light" w:eastAsia="" w:cs="" w:asciiTheme="majorHAnsi" w:cstheme="majorBidi" w:eastAsiaTheme="majorEastAsia" w:hAnsiTheme="majorHAnsi"/>
          <w:b/>
          <w:b/>
          <w:bCs/>
          <w:sz w:val="24"/>
          <w:szCs w:val="24"/>
        </w:rPr>
      </w:pPr>
      <w:r>
        <w:rPr>
          <w:rFonts w:eastAsia="" w:cs="" w:cstheme="majorBidi" w:eastAsiaTheme="majorEastAsia" w:ascii="Calibri Light" w:hAnsi="Calibri Light"/>
          <w:b/>
          <w:bCs/>
          <w:sz w:val="24"/>
          <w:szCs w:val="24"/>
        </w:rPr>
      </w:r>
    </w:p>
    <w:p>
      <w:pPr>
        <w:pStyle w:val="Normal"/>
        <w:rPr>
          <w:rFonts w:ascii="Calibri Light" w:hAnsi="Calibri Light" w:eastAsia="" w:cs="" w:asciiTheme="majorHAnsi" w:cstheme="majorBidi" w:eastAsiaTheme="majorEastAsia" w:hAnsiTheme="majorHAnsi"/>
          <w:b/>
          <w:b/>
          <w:bCs/>
          <w:sz w:val="24"/>
          <w:szCs w:val="24"/>
        </w:rPr>
      </w:pPr>
      <w:r>
        <w:rPr>
          <w:rFonts w:eastAsia="" w:cs="" w:ascii="Calibri Light" w:hAnsi="Calibri Light" w:asciiTheme="majorHAnsi" w:cstheme="majorBidi" w:eastAsiaTheme="majorEastAsia" w:hAnsiTheme="majorHAnsi"/>
          <w:b/>
          <w:bCs/>
          <w:sz w:val="24"/>
          <w:szCs w:val="24"/>
        </w:rPr>
        <w:t>Capacités des machines virtuelles sous ESXi</w:t>
      </w:r>
    </w:p>
    <w:p>
      <w:pPr>
        <w:pStyle w:val="Normal"/>
        <w:rPr>
          <w:rFonts w:ascii="Calibri" w:hAnsi="Calibri" w:eastAsia="Calibri" w:cs="Calibri"/>
        </w:rPr>
      </w:pPr>
      <w:r>
        <w:rPr>
          <w:rFonts w:eastAsia="Calibri" w:cs="Calibri"/>
        </w:rPr>
        <w:t>Les machines virtuelles s’exécutant sur ESXi présentent les caractéristiques suivantes :</w:t>
      </w:r>
    </w:p>
    <w:p>
      <w:pPr>
        <w:pStyle w:val="ListParagraph"/>
        <w:numPr>
          <w:ilvl w:val="0"/>
          <w:numId w:val="4"/>
        </w:numPr>
        <w:rPr>
          <w:rFonts w:ascii="Calibri" w:hAnsi="Calibri" w:eastAsia="Calibri" w:cs="Calibri"/>
        </w:rPr>
      </w:pPr>
      <w:r>
        <w:rPr>
          <w:rFonts w:eastAsia="Calibri" w:cs="Calibri"/>
        </w:rPr>
        <w:t>Les machines virtuelles peuvent prendre en charge jusqu’à 128 CPU virtuels.</w:t>
      </w:r>
    </w:p>
    <w:p>
      <w:pPr>
        <w:pStyle w:val="ListParagraph"/>
        <w:numPr>
          <w:ilvl w:val="0"/>
          <w:numId w:val="4"/>
        </w:numPr>
        <w:rPr>
          <w:rFonts w:ascii="Calibri" w:hAnsi="Calibri" w:eastAsia="Calibri" w:cs="Calibri"/>
        </w:rPr>
      </w:pPr>
      <w:r>
        <w:rPr>
          <w:rFonts w:eastAsia="Calibri" w:cs="Calibri"/>
        </w:rPr>
        <w:t>Les machines virtuelles peuvent prendre en charge jusqu’à 4 To de RAM.</w:t>
      </w:r>
    </w:p>
    <w:p>
      <w:pPr>
        <w:pStyle w:val="ListParagraph"/>
        <w:numPr>
          <w:ilvl w:val="0"/>
          <w:numId w:val="4"/>
        </w:numPr>
        <w:rPr>
          <w:rFonts w:ascii="Calibri" w:hAnsi="Calibri" w:eastAsia="Calibri" w:cs="Calibri"/>
        </w:rPr>
      </w:pPr>
      <w:r>
        <w:rPr>
          <w:rFonts w:eastAsia="Calibri" w:cs="Calibri"/>
        </w:rPr>
        <w:t>Le contrôleur xHCI prend en charge les périphériques USB 3.0.</w:t>
      </w:r>
    </w:p>
    <w:p>
      <w:pPr>
        <w:pStyle w:val="ListParagraph"/>
        <w:numPr>
          <w:ilvl w:val="0"/>
          <w:numId w:val="4"/>
        </w:numPr>
        <w:rPr>
          <w:rFonts w:ascii="Calibri" w:hAnsi="Calibri" w:eastAsia="Calibri" w:cs="Calibri"/>
        </w:rPr>
      </w:pPr>
      <w:r>
        <w:rPr>
          <w:rFonts w:eastAsia="Calibri" w:cs="Calibri"/>
        </w:rPr>
        <w:t>L’interface AHCI (Advanced Host Controller Interface) prend en charge jusqu’à 120 périphériques par machine virtuelle.</w:t>
      </w:r>
    </w:p>
    <w:p>
      <w:pPr>
        <w:pStyle w:val="ListParagraph"/>
        <w:numPr>
          <w:ilvl w:val="0"/>
          <w:numId w:val="4"/>
        </w:numPr>
        <w:rPr>
          <w:rFonts w:ascii="Calibri" w:hAnsi="Calibri" w:eastAsia="Calibri" w:cs="Calibri"/>
        </w:rPr>
      </w:pPr>
      <w:r>
        <w:rPr>
          <w:rFonts w:eastAsia="Calibri" w:cs="Calibri"/>
        </w:rPr>
        <w:t>La taille maximum d’un disque de machine virtuelle est de 62 To.</w:t>
      </w:r>
    </w:p>
    <w:p>
      <w:pPr>
        <w:pStyle w:val="ListParagraph"/>
        <w:numPr>
          <w:ilvl w:val="0"/>
          <w:numId w:val="4"/>
        </w:numPr>
        <w:rPr>
          <w:rFonts w:ascii="Calibri" w:hAnsi="Calibri" w:eastAsia="Calibri" w:cs="Calibri"/>
        </w:rPr>
      </w:pPr>
      <w:r>
        <w:rPr>
          <w:rFonts w:eastAsia="Calibri" w:cs="Calibri"/>
        </w:rPr>
        <w:t>La fonctionnalité de récupération d’espace de stockage de l’OS client rend au pool de stockage l’espace disque libéré au sein de l’OS client.</w:t>
      </w:r>
    </w:p>
    <w:p>
      <w:pPr>
        <w:pStyle w:val="ListParagraph"/>
        <w:numPr>
          <w:ilvl w:val="0"/>
          <w:numId w:val="4"/>
        </w:numPr>
        <w:rPr>
          <w:rFonts w:ascii="Calibri" w:hAnsi="Calibri" w:eastAsia="Calibri" w:cs="Calibri"/>
        </w:rPr>
      </w:pPr>
      <w:r>
        <w:rPr>
          <w:rFonts w:eastAsia="Calibri" w:cs="Calibri"/>
        </w:rPr>
        <w:t>La virtualisation du CPU est optimisée, grâce à la présentation d’un plus grand nombre d’informations sur l’architecture du CPU hôte aux machines virtuelles. Cette meilleure exposition du CPU permet de déboguer, d’affiner et de dépanner plus facilement les systèmes d’exploitation et les applications dans la machine virtuelle.</w:t>
      </w:r>
    </w:p>
    <w:p>
      <w:pPr>
        <w:pStyle w:val="ListParagraph"/>
        <w:numPr>
          <w:ilvl w:val="0"/>
          <w:numId w:val="4"/>
        </w:numPr>
        <w:rPr>
          <w:rFonts w:ascii="Calibri" w:hAnsi="Calibri" w:eastAsia="Calibri" w:cs="Calibri"/>
        </w:rPr>
      </w:pPr>
      <w:r>
        <w:rPr>
          <w:rFonts w:eastAsia="Calibri" w:cs="Calibri"/>
        </w:rPr>
        <w:t>L’efficacité du CPU est accrue par la fonctionnalité LRO (Large Receive Offload) qui regroupe les paquets TCP entrants en un paquet unique plus important.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Light" w:hAnsi="Calibri Light" w:eastAsia="" w:cs="" w:asciiTheme="majorHAnsi" w:cstheme="majorBidi" w:eastAsiaTheme="majorEastAsia" w:hAnsiTheme="majorHAnsi"/>
          <w:b/>
          <w:b/>
          <w:bCs/>
          <w:sz w:val="24"/>
          <w:szCs w:val="24"/>
        </w:rPr>
      </w:pPr>
      <w:r>
        <w:rPr>
          <w:rFonts w:eastAsia="" w:cs="" w:ascii="Calibri Light" w:hAnsi="Calibri Light" w:asciiTheme="majorHAnsi" w:cstheme="majorBidi" w:eastAsiaTheme="majorEastAsia" w:hAnsiTheme="majorHAnsi"/>
          <w:b/>
          <w:bCs/>
          <w:sz w:val="24"/>
          <w:szCs w:val="24"/>
        </w:rPr>
        <w:t>Utilisation de vCenter Server</w:t>
      </w:r>
    </w:p>
    <w:p>
      <w:pPr>
        <w:pStyle w:val="Normal"/>
        <w:rPr>
          <w:rFonts w:ascii="Calibri" w:hAnsi="Calibri" w:eastAsia="Calibri" w:cs="Calibri"/>
        </w:rPr>
      </w:pPr>
      <w:r>
        <w:rPr>
          <w:rFonts w:eastAsia="Calibri" w:cs="Calibri"/>
        </w:rPr>
        <w:t> </w:t>
      </w:r>
      <w:r>
        <w:rPr>
          <w:rFonts w:eastAsia="Calibri" w:cs="Calibri"/>
        </w:rPr>
        <w:t>vCenter Server est le composant de gestion centralisé d’un Datacenter virtuel VMWare. Il joue le rôle d’administrateur des hôtes ESX/ESXi connectés au réseau, et des machines virtuelles présentes sur ces différents hôtes.</w:t>
      </w:r>
    </w:p>
    <w:p>
      <w:pPr>
        <w:pStyle w:val="Normal"/>
        <w:rPr>
          <w:rFonts w:ascii="Calibri" w:hAnsi="Calibri" w:eastAsia="Calibri" w:cs="Calibri"/>
        </w:rPr>
      </w:pPr>
      <w:r>
        <w:rPr>
          <w:rFonts w:eastAsia="Calibri" w:cs="Calibri"/>
        </w:rPr>
        <w:t>vCenter Server utilise un Système de Gestion de bases de données relationnelles de manière à stocker les informations relatives aux hôtes et configurations. Ici nous utilisons la version allégée du SGBDR Microsoft SQL Server 2005 Express packagée avec les fichiers d’installation de vCenter Server.</w:t>
      </w:r>
    </w:p>
    <w:p>
      <w:pPr>
        <w:pStyle w:val="Normal"/>
        <w:rPr/>
      </w:pPr>
      <w:r>
        <w:rPr/>
        <w:t>Ces composants supplémentaires sont installés sans notification lors de l'installation de vCenter Server :</w:t>
      </w:r>
    </w:p>
    <w:p>
      <w:pPr>
        <w:pStyle w:val="ListParagraph"/>
        <w:numPr>
          <w:ilvl w:val="0"/>
          <w:numId w:val="4"/>
        </w:numPr>
        <w:rPr>
          <w:rFonts w:ascii="Calibri" w:hAnsi="Calibri" w:eastAsia="Calibri" w:cs="Calibri"/>
        </w:rPr>
      </w:pPr>
      <w:r>
        <w:rPr>
          <w:rFonts w:eastAsia="Calibri" w:cs="Calibri"/>
        </w:rPr>
        <w:t>vCenter Inventory Service</w:t>
      </w:r>
    </w:p>
    <w:p>
      <w:pPr>
        <w:pStyle w:val="ListParagraph"/>
        <w:numPr>
          <w:ilvl w:val="0"/>
          <w:numId w:val="4"/>
        </w:numPr>
        <w:rPr>
          <w:rFonts w:ascii="Calibri" w:hAnsi="Calibri" w:eastAsia="Calibri" w:cs="Calibri"/>
        </w:rPr>
      </w:pPr>
      <w:r>
        <w:rPr>
          <w:rFonts w:eastAsia="Calibri" w:cs="Calibri"/>
        </w:rPr>
        <w:t>PostgreSQL</w:t>
      </w:r>
    </w:p>
    <w:p>
      <w:pPr>
        <w:pStyle w:val="ListParagraph"/>
        <w:numPr>
          <w:ilvl w:val="0"/>
          <w:numId w:val="4"/>
        </w:numPr>
        <w:rPr>
          <w:rFonts w:ascii="Calibri" w:hAnsi="Calibri" w:eastAsia="Calibri" w:cs="Calibri"/>
        </w:rPr>
      </w:pPr>
      <w:r>
        <w:rPr>
          <w:rFonts w:eastAsia="Calibri" w:cs="Calibri"/>
        </w:rPr>
        <w:t>vSphere Web Client</w:t>
      </w:r>
    </w:p>
    <w:p>
      <w:pPr>
        <w:pStyle w:val="ListParagraph"/>
        <w:numPr>
          <w:ilvl w:val="0"/>
          <w:numId w:val="4"/>
        </w:numPr>
        <w:rPr>
          <w:rFonts w:ascii="Calibri" w:hAnsi="Calibri" w:eastAsia="Calibri" w:cs="Calibri"/>
        </w:rPr>
      </w:pPr>
      <w:r>
        <w:rPr>
          <w:rFonts w:eastAsia="Calibri" w:cs="Calibri"/>
        </w:rPr>
        <w:t>vSphere ESXi Dump Collector</w:t>
      </w:r>
    </w:p>
    <w:p>
      <w:pPr>
        <w:pStyle w:val="ListParagraph"/>
        <w:numPr>
          <w:ilvl w:val="0"/>
          <w:numId w:val="4"/>
        </w:numPr>
        <w:rPr>
          <w:rFonts w:ascii="Calibri" w:hAnsi="Calibri" w:eastAsia="Calibri" w:cs="Calibri"/>
        </w:rPr>
      </w:pPr>
      <w:r>
        <w:rPr>
          <w:rFonts w:eastAsia="Calibri" w:cs="Calibri"/>
        </w:rPr>
        <w:t>VMware vSphere Syslog Collector</w:t>
      </w:r>
    </w:p>
    <w:p>
      <w:pPr>
        <w:pStyle w:val="ListParagraph"/>
        <w:numPr>
          <w:ilvl w:val="0"/>
          <w:numId w:val="4"/>
        </w:numPr>
        <w:rPr>
          <w:rFonts w:ascii="Calibri" w:hAnsi="Calibri" w:eastAsia="Calibri" w:cs="Calibri"/>
        </w:rPr>
      </w:pPr>
      <w:r>
        <w:rPr>
          <w:rFonts w:eastAsia="Calibri" w:cs="Calibri"/>
        </w:rPr>
        <w:t>Service VMware Syslog</w:t>
      </w:r>
    </w:p>
    <w:p>
      <w:pPr>
        <w:pStyle w:val="ListParagraph"/>
        <w:numPr>
          <w:ilvl w:val="0"/>
          <w:numId w:val="4"/>
        </w:numPr>
        <w:rPr>
          <w:rFonts w:ascii="Calibri" w:hAnsi="Calibri" w:eastAsia="Calibri" w:cs="Calibri"/>
        </w:rPr>
      </w:pPr>
      <w:r>
        <w:rPr>
          <w:rFonts w:eastAsia="Calibri" w:cs="Calibri"/>
        </w:rPr>
        <w:t>vSphere Auto Deploy</w:t>
      </w:r>
    </w:p>
    <w:p>
      <w:pPr>
        <w:pStyle w:val="Normal"/>
        <w:rPr>
          <w:rFonts w:ascii="Calibri Light" w:hAnsi="Calibri Light" w:eastAsia="" w:cs="" w:asciiTheme="majorHAnsi" w:cstheme="majorBidi" w:eastAsiaTheme="majorEastAsia" w:hAnsiTheme="majorHAnsi"/>
          <w:b/>
          <w:b/>
          <w:bCs/>
          <w:sz w:val="24"/>
          <w:szCs w:val="24"/>
        </w:rPr>
      </w:pPr>
      <w:r>
        <w:rPr>
          <w:rFonts w:eastAsia="" w:cs="" w:cstheme="majorBidi" w:eastAsiaTheme="majorEastAsia" w:ascii="Calibri Light" w:hAnsi="Calibri Light"/>
          <w:b/>
          <w:bCs/>
          <w:sz w:val="24"/>
          <w:szCs w:val="24"/>
        </w:rPr>
      </w:r>
    </w:p>
    <w:p>
      <w:pPr>
        <w:pStyle w:val="Normal"/>
        <w:rPr>
          <w:rFonts w:ascii="Calibri Light" w:hAnsi="Calibri Light" w:eastAsia="" w:cs="" w:asciiTheme="majorHAnsi" w:cstheme="majorBidi" w:eastAsiaTheme="majorEastAsia" w:hAnsiTheme="majorHAnsi"/>
          <w:b/>
          <w:b/>
          <w:bCs/>
          <w:sz w:val="24"/>
          <w:szCs w:val="24"/>
        </w:rPr>
      </w:pPr>
      <w:r>
        <w:rPr>
          <w:rFonts w:eastAsia="" w:cs="" w:cstheme="majorBidi" w:eastAsiaTheme="majorEastAsia" w:ascii="Calibri Light" w:hAnsi="Calibri Light"/>
          <w:b/>
          <w:bCs/>
          <w:sz w:val="24"/>
          <w:szCs w:val="24"/>
        </w:rPr>
      </w:r>
    </w:p>
    <w:p>
      <w:pPr>
        <w:pStyle w:val="Normal"/>
        <w:rPr>
          <w:rFonts w:ascii="Calibri Light" w:hAnsi="Calibri Light" w:eastAsia="" w:cs="" w:asciiTheme="majorHAnsi" w:cstheme="majorBidi" w:eastAsiaTheme="majorEastAsia" w:hAnsiTheme="majorHAnsi"/>
          <w:b/>
          <w:b/>
          <w:bCs/>
          <w:sz w:val="24"/>
          <w:szCs w:val="24"/>
        </w:rPr>
      </w:pPr>
      <w:r>
        <w:rPr>
          <w:rFonts w:eastAsia="" w:cs="" w:cstheme="majorBidi" w:eastAsiaTheme="majorEastAsia" w:ascii="Calibri Light" w:hAnsi="Calibri Light"/>
          <w:b/>
          <w:bCs/>
          <w:sz w:val="24"/>
          <w:szCs w:val="24"/>
        </w:rPr>
      </w:r>
    </w:p>
    <w:p>
      <w:pPr>
        <w:pStyle w:val="Normal"/>
        <w:rPr>
          <w:rFonts w:ascii="Calibri Light" w:hAnsi="Calibri Light" w:eastAsia="" w:cs="" w:asciiTheme="majorHAnsi" w:cstheme="majorBidi" w:eastAsiaTheme="majorEastAsia" w:hAnsiTheme="majorHAnsi"/>
          <w:b/>
          <w:b/>
          <w:bCs/>
          <w:sz w:val="24"/>
          <w:szCs w:val="24"/>
        </w:rPr>
      </w:pPr>
      <w:r>
        <w:rPr>
          <w:rFonts w:eastAsia="" w:cs="" w:ascii="Calibri Light" w:hAnsi="Calibri Light" w:asciiTheme="majorHAnsi" w:cstheme="majorBidi" w:eastAsiaTheme="majorEastAsia" w:hAnsiTheme="majorHAnsi"/>
          <w:b/>
          <w:bCs/>
          <w:sz w:val="24"/>
          <w:szCs w:val="24"/>
        </w:rPr>
        <w:t>Datastore</w:t>
      </w:r>
    </w:p>
    <w:p>
      <w:pPr>
        <w:pStyle w:val="Normal"/>
        <w:rPr>
          <w:rFonts w:ascii="Calibri" w:hAnsi="Calibri" w:eastAsia="Calibri" w:cs="Calibri"/>
        </w:rPr>
      </w:pPr>
      <w:r>
        <w:rPr>
          <w:rFonts w:eastAsia="Calibri" w:cs="Calibri"/>
        </w:rPr>
        <w:t xml:space="preserve">Les datastores, ou banque de données, sont des conteneurs logiques qui masquent les caractéristiques propres à chaque périphérique de stockage. Elles sont caractérisées par une partition d’un volume formaté en VMFS. Les limitations suivantes doivent-être respectées : </w:t>
      </w:r>
    </w:p>
    <w:p>
      <w:pPr>
        <w:pStyle w:val="ListParagraph"/>
        <w:numPr>
          <w:ilvl w:val="0"/>
          <w:numId w:val="4"/>
        </w:numPr>
        <w:rPr>
          <w:rFonts w:ascii="Calibri" w:hAnsi="Calibri" w:eastAsia="Calibri" w:cs="Calibri"/>
        </w:rPr>
      </w:pPr>
      <w:r>
        <w:rPr>
          <w:rFonts w:eastAsia="Calibri" w:cs="Calibri"/>
        </w:rPr>
        <w:t xml:space="preserve">1 banque de données = 1 seul système de fichiers. </w:t>
      </w:r>
    </w:p>
    <w:p>
      <w:pPr>
        <w:pStyle w:val="ListParagraph"/>
        <w:numPr>
          <w:ilvl w:val="0"/>
          <w:numId w:val="4"/>
        </w:numPr>
        <w:rPr>
          <w:rFonts w:ascii="Calibri" w:hAnsi="Calibri" w:eastAsia="Calibri" w:cs="Calibri"/>
        </w:rPr>
      </w:pPr>
      <w:r>
        <w:rPr>
          <w:rFonts w:eastAsia="Calibri" w:cs="Calibri"/>
        </w:rPr>
        <w:t xml:space="preserve">Jusqu’à 256 banques de données VMFS par système. </w:t>
      </w:r>
    </w:p>
    <w:p>
      <w:pPr>
        <w:pStyle w:val="ListParagraph"/>
        <w:numPr>
          <w:ilvl w:val="0"/>
          <w:numId w:val="4"/>
        </w:numPr>
        <w:rPr>
          <w:rFonts w:ascii="Calibri" w:hAnsi="Calibri" w:eastAsia="Calibri" w:cs="Calibri"/>
        </w:rPr>
      </w:pPr>
      <w:r>
        <w:rPr>
          <w:rFonts w:eastAsia="Calibri" w:cs="Calibri"/>
        </w:rPr>
        <w:t xml:space="preserve">8 Banques de données NFS par système. </w:t>
      </w:r>
    </w:p>
    <w:p>
      <w:pPr>
        <w:pStyle w:val="Normal"/>
        <w:rPr>
          <w:rFonts w:ascii="Calibri" w:hAnsi="Calibri" w:eastAsia="Calibri" w:cs="Calibri"/>
        </w:rPr>
      </w:pPr>
      <w:r>
        <w:rPr>
          <w:rFonts w:eastAsia="Calibri" w:cs="Calibri"/>
        </w:rPr>
        <w:t xml:space="preserve">Une banque de données peut contenir les fichiers des machines virtuelles (disques, méta datas, etc.) et également des images ISO de disques (pour l’installation d’OS par exemple). </w:t>
      </w:r>
    </w:p>
    <w:p>
      <w:pPr>
        <w:pStyle w:val="Normal"/>
        <w:rPr>
          <w:rFonts w:eastAsia="" w:eastAsiaTheme="minorEastAsia"/>
        </w:rPr>
      </w:pPr>
      <w:r>
        <w:rPr>
          <w:rFonts w:eastAsia="Calibri" w:cs="Calibri"/>
        </w:rPr>
        <w:t>Ici nous nous servons des disques durs par défaut intégré sur les serveurs ESXi.</w:t>
      </w:r>
      <w:r>
        <w:rPr/>
        <w:br/>
      </w:r>
    </w:p>
    <w:p>
      <w:pPr>
        <w:pStyle w:val="Heading2"/>
        <w:numPr>
          <w:ilvl w:val="1"/>
          <w:numId w:val="5"/>
        </w:numPr>
        <w:rPr/>
      </w:pPr>
      <w:bookmarkStart w:id="22" w:name="_Toc484772085"/>
      <w:bookmarkStart w:id="23" w:name="_Toc446411731"/>
      <w:bookmarkEnd w:id="22"/>
      <w:bookmarkEnd w:id="23"/>
      <w:r>
        <w:rPr/>
        <w:t>NGINX</w:t>
      </w:r>
    </w:p>
    <w:p>
      <w:pPr>
        <w:pStyle w:val="Normal"/>
        <w:ind w:left="1440" w:firstLine="720"/>
        <w:rPr/>
      </w:pPr>
      <w:r>
        <w:rPr>
          <w:i/>
          <w:iCs/>
        </w:rPr>
        <w:t>Ce chapitre présente les caractéristiques des reverse-proxies mis en place</w:t>
      </w:r>
    </w:p>
    <w:p>
      <w:pPr>
        <w:pStyle w:val="Normal"/>
        <w:rPr/>
      </w:pPr>
      <w:r>
        <w:rPr/>
      </w:r>
    </w:p>
    <w:p>
      <w:pPr>
        <w:pStyle w:val="Normal"/>
        <w:rPr/>
      </w:pPr>
      <w:r>
        <w:rPr/>
        <w:t>Le principal but de notre serveur est d'héberger des sites web. Pour cela on a besoin d'installer un serveur HTTP qui va être capable de comprendre les requêtes faites par le navigateur et de renvoyer les bonnes informations en fonction</w:t>
      </w:r>
    </w:p>
    <w:p>
      <w:pPr>
        <w:pStyle w:val="Normal"/>
        <w:rPr/>
      </w:pPr>
      <w:r>
        <w:rPr>
          <w:b/>
        </w:rPr>
        <w:t>Pourquoi nginx ?</w:t>
        <w:br/>
      </w:r>
      <w:r>
        <w:rPr/>
        <w:t>Nginx a été conçu conçu dans le but d'être capable de répondre à plus de 10 000 requêtes simultanées. Nginx est du coup plus performant lors d'un trafic importan. Là où Apache crée un processus par connexion, Nginx lance une série de workers qui vont chacun être capable de gérer de multiples connexions d'une manière non bloquante.</w:t>
      </w:r>
    </w:p>
    <w:p>
      <w:pPr>
        <w:pStyle w:val="Normal"/>
        <w:rPr/>
      </w:pPr>
      <w:r>
        <w:rPr/>
      </w:r>
    </w:p>
    <w:p>
      <w:pPr>
        <w:pStyle w:val="Normal"/>
        <w:rPr/>
      </w:pPr>
      <w:r>
        <w:rPr/>
      </w:r>
    </w:p>
    <w:p>
      <w:pPr>
        <w:pStyle w:val="Normal"/>
        <w:rPr/>
      </w:pPr>
      <w:r>
        <w:rPr/>
      </w:r>
    </w:p>
    <w:p>
      <w:pPr>
        <w:pStyle w:val="Normal"/>
        <w:rPr/>
      </w:pPr>
      <w:r>
        <w:rPr/>
        <w:t>Les Content Delivery Network sont assurés par des serveurs Nginx, qu’on appelle aussi dans ce cas des reverse proxy, ou serveur frontal.</w:t>
      </w:r>
    </w:p>
    <w:p>
      <w:pPr>
        <w:pStyle w:val="Normal"/>
        <w:rPr/>
      </w:pPr>
      <w:r>
        <w:rPr/>
        <w:t xml:space="preserve">Un CDN </w:t>
      </w:r>
      <w:r>
        <w:rPr>
          <w:rFonts w:eastAsia="Times New Roman" w:cs="Times New Roman"/>
          <w:lang w:eastAsia="fr-FR"/>
        </w:rPr>
        <w:t>permet de stocker des ressources sur de multiples serveurs externes. Le but est de pouvoir fournir à chaque internaute les fichiers dont il a besoin de la manière la plus rapide possible. Pour cela, le CDN se base sur plusieurs éléments :</w:t>
      </w:r>
    </w:p>
    <w:p>
      <w:pPr>
        <w:pStyle w:val="Normal"/>
        <w:numPr>
          <w:ilvl w:val="0"/>
          <w:numId w:val="8"/>
        </w:numPr>
        <w:spacing w:lineRule="auto" w:line="240" w:beforeAutospacing="1" w:afterAutospacing="1"/>
        <w:rPr>
          <w:rFonts w:eastAsia="Times New Roman" w:cs="Times New Roman"/>
          <w:lang w:eastAsia="fr-FR"/>
        </w:rPr>
      </w:pPr>
      <w:r>
        <w:rPr>
          <w:rFonts w:eastAsia="Times New Roman" w:cs="Times New Roman"/>
          <w:lang w:eastAsia="fr-FR"/>
        </w:rPr>
        <w:t>Chaque fichier est présent sur plusieurs serveurs, permettant de réduire l’encombrement du site lors de pics de trafic.</w:t>
      </w:r>
    </w:p>
    <w:p>
      <w:pPr>
        <w:pStyle w:val="Normal"/>
        <w:numPr>
          <w:ilvl w:val="0"/>
          <w:numId w:val="8"/>
        </w:numPr>
        <w:spacing w:lineRule="auto" w:line="240" w:beforeAutospacing="1" w:afterAutospacing="1"/>
        <w:rPr>
          <w:rFonts w:eastAsia="Times New Roman" w:cs="Times New Roman"/>
          <w:lang w:eastAsia="fr-FR"/>
        </w:rPr>
      </w:pPr>
      <w:r>
        <w:rPr>
          <w:rFonts w:eastAsia="Times New Roman" w:cs="Times New Roman"/>
          <w:lang w:eastAsia="fr-FR"/>
        </w:rPr>
        <w:t>Les CDN sont équitablement répartis géographiquement, réduisant la distance serveur-ordinateur.</w:t>
      </w:r>
    </w:p>
    <w:p>
      <w:pPr>
        <w:pStyle w:val="Normal"/>
        <w:numPr>
          <w:ilvl w:val="0"/>
          <w:numId w:val="8"/>
        </w:numPr>
        <w:spacing w:lineRule="auto" w:line="240" w:beforeAutospacing="1" w:afterAutospacing="1"/>
        <w:rPr>
          <w:rFonts w:eastAsia="Times New Roman" w:cs="Times New Roman"/>
          <w:lang w:eastAsia="fr-FR"/>
        </w:rPr>
      </w:pPr>
      <w:r>
        <w:rPr>
          <w:rFonts w:eastAsia="Times New Roman" w:cs="Times New Roman"/>
          <w:lang w:eastAsia="fr-FR"/>
        </w:rPr>
        <w:t>Ces serveurs sont sans cookies, permettant de réduire le poids de chaque transfert en enlevant ces données inutiles pour les ressources statiques.</w:t>
      </w:r>
    </w:p>
    <w:p>
      <w:pPr>
        <w:pStyle w:val="Normal"/>
        <w:numPr>
          <w:ilvl w:val="0"/>
          <w:numId w:val="8"/>
        </w:numPr>
        <w:spacing w:lineRule="auto" w:line="240" w:beforeAutospacing="1" w:afterAutospacing="1"/>
        <w:rPr>
          <w:rFonts w:eastAsia="Times New Roman" w:cs="Times New Roman"/>
          <w:lang w:eastAsia="fr-FR"/>
        </w:rPr>
      </w:pPr>
      <w:r>
        <w:rPr>
          <w:rFonts w:eastAsia="Times New Roman" w:cs="Times New Roman"/>
          <w:lang w:eastAsia="fr-FR"/>
        </w:rPr>
        <w:t>Certains fichiers étant sur des serveurs différents, cela augmente le nombre de connexions simultanées autorisées entre l’ordinateur et les fichiers à télécharger.</w:t>
      </w:r>
    </w:p>
    <w:p>
      <w:pPr>
        <w:pStyle w:val="Normal"/>
        <w:spacing w:lineRule="auto" w:line="240" w:beforeAutospacing="1" w:afterAutospacing="1"/>
        <w:rPr>
          <w:rFonts w:eastAsia="Times New Roman" w:cs="Times New Roman"/>
          <w:lang w:eastAsia="fr-FR"/>
        </w:rPr>
      </w:pPr>
      <w:r>
        <w:rPr>
          <w:rFonts w:eastAsia="Times New Roman" w:cs="Times New Roman"/>
          <w:lang w:eastAsia="fr-FR"/>
        </w:rPr>
        <w:t>Ces serveurs sont installés sur une base linux, Debian pour le site primaire et CentOS pour le site secondaire. La configuration des Nginx est la même sur les deux distributions.</w:t>
      </w:r>
    </w:p>
    <w:p>
      <w:pPr>
        <w:pStyle w:val="Normal"/>
        <w:spacing w:lineRule="auto" w:line="240" w:beforeAutospacing="1" w:afterAutospacing="1"/>
        <w:rPr>
          <w:rFonts w:eastAsia="Times New Roman" w:cs="Times New Roman"/>
          <w:lang w:eastAsia="fr-FR"/>
        </w:rPr>
      </w:pPr>
      <w:r>
        <w:rPr>
          <w:rFonts w:eastAsia="Times New Roman" w:cs="Times New Roman"/>
          <w:lang w:eastAsia="fr-FR"/>
        </w:rPr>
        <w:t xml:space="preserve">A la première requête au serveur, le CDN cache les ressources statiques dans un répertoire préalablement défini. </w:t>
      </w:r>
    </w:p>
    <w:p>
      <w:pPr>
        <w:pStyle w:val="ListParagraph"/>
        <w:rPr>
          <w:lang w:val="en-US"/>
        </w:rPr>
      </w:pPr>
      <w:r>
        <w:rPr>
          <w:lang w:val="en-US"/>
        </w:rPr>
      </w:r>
    </w:p>
    <w:p>
      <w:pPr>
        <w:pStyle w:val="ListParagraph"/>
        <w:rPr>
          <w:lang w:val="en-US"/>
        </w:rPr>
      </w:pPr>
      <w:r>
        <w:rPr>
          <w:lang w:val="en-US"/>
        </w:rPr>
      </w:r>
    </w:p>
    <w:p>
      <w:pPr>
        <w:pStyle w:val="ListParagraph"/>
        <w:rPr>
          <w:lang w:val="en-US"/>
        </w:rPr>
      </w:pPr>
      <w:r>
        <w:rPr>
          <w:lang w:val="en-US"/>
        </w:rPr>
      </w:r>
    </w:p>
    <w:p>
      <w:pPr>
        <w:pStyle w:val="Normal"/>
        <w:rPr>
          <w:lang w:val="en-US"/>
        </w:rPr>
      </w:pPr>
      <w:bookmarkStart w:id="24" w:name="_GoBack"/>
      <w:bookmarkStart w:id="25" w:name="_GoBack"/>
      <w:bookmarkEnd w:id="25"/>
      <w:r>
        <w:rPr>
          <w:lang w:val="en-US"/>
        </w:rPr>
      </w:r>
    </w:p>
    <w:p>
      <w:pPr>
        <w:pStyle w:val="Heading1"/>
        <w:numPr>
          <w:ilvl w:val="0"/>
          <w:numId w:val="5"/>
        </w:numPr>
        <w:rPr/>
      </w:pPr>
      <w:bookmarkStart w:id="26" w:name="_Toc484772086"/>
      <w:bookmarkEnd w:id="26"/>
      <w:r>
        <w:rPr/>
        <w:t>Sécurité</w:t>
      </w:r>
    </w:p>
    <w:p>
      <w:pPr>
        <w:pStyle w:val="Normal"/>
        <w:rPr/>
      </w:pPr>
      <w:r>
        <w:rPr/>
      </w:r>
    </w:p>
    <w:p>
      <w:pPr>
        <w:pStyle w:val="Heading2"/>
        <w:numPr>
          <w:ilvl w:val="1"/>
          <w:numId w:val="5"/>
        </w:numPr>
        <w:rPr/>
      </w:pPr>
      <w:bookmarkStart w:id="27" w:name="_Toc484772087"/>
      <w:bookmarkStart w:id="28" w:name="_Toc446411738"/>
      <w:bookmarkEnd w:id="27"/>
      <w:bookmarkEnd w:id="28"/>
      <w:r>
        <w:rPr/>
        <w:t>Renforcement de la sécurité ESXi</w:t>
      </w:r>
    </w:p>
    <w:p>
      <w:pPr>
        <w:pStyle w:val="Normal"/>
        <w:rPr/>
      </w:pPr>
      <w:r>
        <w:rPr/>
      </w:r>
    </w:p>
    <w:p>
      <w:pPr>
        <w:pStyle w:val="Normal"/>
        <w:rPr/>
      </w:pPr>
      <w:r>
        <w:rPr/>
        <w:t>L’optimisation de l’accès et du contrôle basés sur des rôles supprime la dépendance vis-à-vis d’un compte root partagé. Les utilisateurs et les groupes peuvent être dotés de droits d’administration complets. Il n’est pas nécessaire de partager un accès ni un compte super utilisateur commun pour pouvoir effectuer des tâches administratives.</w:t>
      </w:r>
    </w:p>
    <w:p>
      <w:pPr>
        <w:pStyle w:val="Normal"/>
        <w:rPr>
          <w:b/>
          <w:b/>
          <w:bCs/>
        </w:rPr>
      </w:pPr>
      <w:r>
        <w:rPr>
          <w:b/>
          <w:bCs/>
        </w:rPr>
        <w:t>Journaux et audits exhaustifs</w:t>
      </w:r>
    </w:p>
    <w:p>
      <w:pPr>
        <w:pStyle w:val="Normal"/>
        <w:rPr/>
      </w:pPr>
      <w:r>
        <w:rPr/>
        <w:t>vSphere ESXi enregistre toute l’activité des utilisateurs depuis le Shell et depuis l’interface utilisateur de console directe au titre du compte utilisateur. Cette journalisation garantit la responsabilisation et facilite les activités d’audit utilisateur.</w:t>
      </w:r>
    </w:p>
    <w:p>
      <w:pPr>
        <w:pStyle w:val="Normal"/>
        <w:rPr>
          <w:b/>
          <w:b/>
          <w:bCs/>
        </w:rPr>
      </w:pPr>
      <w:r>
        <w:rPr>
          <w:b/>
          <w:bCs/>
        </w:rPr>
        <w:t>vMotion</w:t>
      </w:r>
    </w:p>
    <w:p>
      <w:pPr>
        <w:pStyle w:val="Normal"/>
        <w:rPr/>
      </w:pPr>
      <w:r>
        <w:rPr/>
        <w:t xml:space="preserve">La migration à chaud de VMware vSphere vous permet de déplacer toute une machine virtuelle active d’un serveur physique à un autre, sans interruption de service. Les clients peuvent migrer les machines virtuelles actives entre les clusters, les commutateurs distribués et les instances vCenter sur de longues distances avec un temps de latence aller-retour jusqu’à 100 ms. </w:t>
      </w:r>
    </w:p>
    <w:p>
      <w:pPr>
        <w:pStyle w:val="Normal"/>
        <w:rPr>
          <w:b/>
          <w:b/>
          <w:bCs/>
        </w:rPr>
      </w:pPr>
      <w:r>
        <w:rPr>
          <w:b/>
          <w:bCs/>
        </w:rPr>
        <w:t>Pare-feu sans état</w:t>
      </w:r>
    </w:p>
    <w:p>
      <w:pPr>
        <w:pStyle w:val="Normal"/>
        <w:rPr/>
      </w:pPr>
      <w:r>
        <w:rPr/>
        <w:t xml:space="preserve">ESXi inclut un pare-feu sans état, orienté services. Ce pare-feu permet de définir des règles d’accès aux ports pour les services. Il permet aussi d’indiquer des plages d’adresses IP ou des adresses IP individuelles, qui peuvent se connecter à des services d’hôte. </w:t>
      </w:r>
    </w:p>
    <w:p>
      <w:pPr>
        <w:pStyle w:val="Normal"/>
        <w:rPr/>
      </w:pPr>
      <w:r>
        <w:rPr/>
      </w:r>
    </w:p>
    <w:p>
      <w:pPr>
        <w:pStyle w:val="Heading2"/>
        <w:numPr>
          <w:ilvl w:val="1"/>
          <w:numId w:val="5"/>
        </w:numPr>
        <w:rPr/>
      </w:pPr>
      <w:bookmarkStart w:id="29" w:name="_Toc484772088"/>
      <w:bookmarkStart w:id="30" w:name="_Toc446411739"/>
      <w:bookmarkEnd w:id="29"/>
      <w:bookmarkEnd w:id="30"/>
      <w:r>
        <w:rPr/>
        <w:t>Sécurité applicative pfSense</w:t>
      </w:r>
    </w:p>
    <w:p>
      <w:pPr>
        <w:pStyle w:val="Normal"/>
        <w:rPr/>
      </w:pPr>
      <w:r>
        <w:rPr/>
      </w:r>
    </w:p>
    <w:p>
      <w:pPr>
        <w:pStyle w:val="Normal"/>
        <w:rPr/>
      </w:pPr>
      <w:r>
        <w:rPr/>
        <w:t>La solution pfSense, étant le point d’entrée de l’infrastructure de chaque site, agit comme un véritable garant de la sécurité. Elle assure plusieurs niveaux de protection :</w:t>
      </w:r>
    </w:p>
    <w:p>
      <w:pPr>
        <w:pStyle w:val="ListParagraph"/>
        <w:numPr>
          <w:ilvl w:val="0"/>
          <w:numId w:val="3"/>
        </w:numPr>
        <w:spacing w:before="0" w:after="0"/>
        <w:rPr>
          <w:rFonts w:eastAsia="" w:eastAsiaTheme="minorEastAsia"/>
        </w:rPr>
      </w:pPr>
      <w:r>
        <w:rPr>
          <w:rFonts w:eastAsia="Calibri" w:cs="Calibri"/>
        </w:rPr>
        <w:t>Validation protocolaire (HTTP)</w:t>
      </w:r>
    </w:p>
    <w:p>
      <w:pPr>
        <w:pStyle w:val="ListParagraph"/>
        <w:numPr>
          <w:ilvl w:val="0"/>
          <w:numId w:val="3"/>
        </w:numPr>
        <w:spacing w:before="0" w:after="0"/>
        <w:rPr>
          <w:rFonts w:eastAsia="" w:eastAsiaTheme="minorEastAsia"/>
        </w:rPr>
      </w:pPr>
      <w:r>
        <w:rPr>
          <w:rFonts w:eastAsia="Calibri" w:cs="Calibri"/>
        </w:rPr>
        <w:t>Protection contre les attaques DoS, DDoS, vers, injections SQL, etc.</w:t>
      </w:r>
    </w:p>
    <w:p>
      <w:pPr>
        <w:pStyle w:val="ListParagraph"/>
        <w:numPr>
          <w:ilvl w:val="0"/>
          <w:numId w:val="3"/>
        </w:numPr>
        <w:spacing w:before="0" w:after="0"/>
        <w:rPr>
          <w:rFonts w:eastAsia="" w:eastAsiaTheme="minorEastAsia"/>
        </w:rPr>
      </w:pPr>
      <w:r>
        <w:rPr>
          <w:rFonts w:eastAsia="Calibri" w:cs="Calibri"/>
        </w:rPr>
        <w:t>Gestion des ACLs</w:t>
      </w:r>
    </w:p>
    <w:p>
      <w:pPr>
        <w:pStyle w:val="ListParagraph"/>
        <w:numPr>
          <w:ilvl w:val="0"/>
          <w:numId w:val="3"/>
        </w:numPr>
        <w:spacing w:before="0" w:after="0"/>
        <w:rPr>
          <w:rFonts w:eastAsia="" w:eastAsiaTheme="minorEastAsia"/>
        </w:rPr>
      </w:pPr>
      <w:r>
        <w:rPr>
          <w:rFonts w:eastAsia="Calibri" w:cs="Calibri"/>
        </w:rPr>
        <w:t>Gestion des listes noires / blanches</w:t>
      </w:r>
    </w:p>
    <w:p>
      <w:pPr>
        <w:pStyle w:val="ListParagraph"/>
        <w:numPr>
          <w:ilvl w:val="0"/>
          <w:numId w:val="3"/>
        </w:numPr>
        <w:spacing w:before="0" w:after="0"/>
        <w:rPr>
          <w:rFonts w:eastAsia="" w:eastAsiaTheme="minorEastAsia"/>
        </w:rPr>
      </w:pPr>
      <w:r>
        <w:rPr>
          <w:rFonts w:eastAsia="Calibri" w:cs="Calibri"/>
        </w:rPr>
        <w:t>Filtrage des URLs et la possibilité de restreindre l'accès par un système d'authentification</w:t>
      </w:r>
    </w:p>
    <w:p>
      <w:pPr>
        <w:pStyle w:val="ListParagraph"/>
        <w:numPr>
          <w:ilvl w:val="0"/>
          <w:numId w:val="3"/>
        </w:numPr>
        <w:spacing w:before="0" w:after="0"/>
        <w:rPr>
          <w:rFonts w:eastAsia="" w:eastAsiaTheme="minorEastAsia"/>
        </w:rPr>
      </w:pPr>
      <w:r>
        <w:rPr>
          <w:rFonts w:eastAsia="Calibri" w:cs="Calibri"/>
        </w:rPr>
        <w:t>Blocage des fuites d'information</w:t>
      </w:r>
    </w:p>
    <w:p>
      <w:pPr>
        <w:pStyle w:val="ListParagraph"/>
        <w:numPr>
          <w:ilvl w:val="0"/>
          <w:numId w:val="3"/>
        </w:numPr>
        <w:spacing w:before="0" w:after="0"/>
        <w:rPr>
          <w:rFonts w:eastAsia="" w:eastAsiaTheme="minorEastAsia"/>
        </w:rPr>
      </w:pPr>
      <w:r>
        <w:rPr>
          <w:rFonts w:eastAsia="Calibri" w:cs="Calibri"/>
        </w:rPr>
        <w:t xml:space="preserve">Filtrage des requêtes et des réponses HTTP/HTTPS </w:t>
      </w:r>
    </w:p>
    <w:p>
      <w:pPr>
        <w:pStyle w:val="Normal"/>
        <w:rPr/>
      </w:pPr>
      <w:r>
        <w:rPr/>
      </w:r>
    </w:p>
    <w:p>
      <w:pPr>
        <w:pStyle w:val="Heading2"/>
        <w:numPr>
          <w:ilvl w:val="1"/>
          <w:numId w:val="5"/>
        </w:numPr>
        <w:rPr/>
      </w:pPr>
      <w:bookmarkStart w:id="31" w:name="_Toc484772089"/>
      <w:bookmarkStart w:id="32" w:name="_Toc446411740"/>
      <w:bookmarkEnd w:id="31"/>
      <w:bookmarkEnd w:id="32"/>
      <w:r>
        <w:rPr/>
        <w:t>Sécurisation de la couche Données</w:t>
      </w:r>
    </w:p>
    <w:p>
      <w:pPr>
        <w:pStyle w:val="Normal"/>
        <w:rPr/>
      </w:pPr>
      <w:r>
        <w:rPr/>
        <w:t>La base de données SQL Microsoft Azure offre des mesures de sécurité à tous niveaux :</w:t>
      </w:r>
    </w:p>
    <w:p>
      <w:pPr>
        <w:pStyle w:val="ListParagraph"/>
        <w:numPr>
          <w:ilvl w:val="0"/>
          <w:numId w:val="7"/>
        </w:numPr>
        <w:rPr>
          <w:b/>
          <w:b/>
          <w:bCs/>
        </w:rPr>
      </w:pPr>
      <w:r>
        <w:rPr>
          <w:b/>
          <w:bCs/>
        </w:rPr>
        <w:t>Sécurité de la connexion :</w:t>
      </w:r>
    </w:p>
    <w:p>
      <w:pPr>
        <w:pStyle w:val="ListParagraph"/>
        <w:rPr/>
      </w:pPr>
      <w:r>
        <w:rPr/>
        <w:t>On crée une règle de pare-feu au niveau du portail de Microsoft Azure pour refuser toute tentative de connexion d’une adresse IP qui ne serait pas celle du site primaire ou celle du site secondaire.</w:t>
      </w:r>
    </w:p>
    <w:p>
      <w:pPr>
        <w:pStyle w:val="ListParagraph"/>
        <w:rPr/>
      </w:pPr>
      <w:r>
        <w:rPr/>
        <w:t xml:space="preserve">Toutes les données en transit depuis et vers la base de données sont chiffrées (SSL/TLS). Dans la chaîne de connexion de l’application, on spécifie les paramètres </w:t>
      </w:r>
      <w:r>
        <w:rPr>
          <w:rStyle w:val="Strong"/>
        </w:rPr>
        <w:t>Encrypt = True</w:t>
      </w:r>
      <w:r>
        <w:rPr/>
        <w:t xml:space="preserve"> et </w:t>
      </w:r>
      <w:r>
        <w:rPr>
          <w:rStyle w:val="Strong"/>
        </w:rPr>
        <w:t xml:space="preserve">TrustServerCertificate = False, </w:t>
      </w:r>
      <w:r>
        <w:rPr/>
        <w:t>permettant de chiffrer la connexion et de ne pas accepter le certificat du serveur. Sans cela, la connexion ne vérifie pas l’identité du serveur et peut faire la cible d’attaques de types PITM.</w:t>
      </w:r>
    </w:p>
    <w:p>
      <w:pPr>
        <w:pStyle w:val="ListParagraph"/>
        <w:rPr/>
      </w:pPr>
      <w:r>
        <w:rPr/>
      </w:r>
    </w:p>
    <w:p>
      <w:pPr>
        <w:pStyle w:val="ListParagraph"/>
        <w:numPr>
          <w:ilvl w:val="0"/>
          <w:numId w:val="7"/>
        </w:numPr>
        <w:rPr>
          <w:b/>
          <w:b/>
          <w:bCs/>
        </w:rPr>
      </w:pPr>
      <w:r>
        <w:rPr>
          <w:b/>
          <w:bCs/>
        </w:rPr>
        <w:t>Authentification :</w:t>
      </w:r>
    </w:p>
    <w:p>
      <w:pPr>
        <w:pStyle w:val="ListParagraph"/>
        <w:rPr/>
      </w:pPr>
      <w:r>
        <w:rPr/>
        <w:t>Il s’agit du processus de validation de son identité lorsqu’on se connecte à la base de données. Pour le master, on utilise l’authentification SQL qui utilise un nom et un mot de passe. On ajoute un autre administrateur de serveur qui utilise des identités gérées par Azure Active Directory et est prise en charge pour des domaines gérés et intégrés. Cet administrateur peut effectuer toutes les opérations de l’administrateur master. On utilise cet utilisateur depuis l’application. Cela permet de limiter les autorisations accordées à l’application et de réduire les risques d’activité malveillante comme les attaques par injection de code SQL.</w:t>
      </w:r>
    </w:p>
    <w:p>
      <w:pPr>
        <w:pStyle w:val="ListParagraph"/>
        <w:rPr/>
      </w:pPr>
      <w:r>
        <w:rPr/>
      </w:r>
    </w:p>
    <w:p>
      <w:pPr>
        <w:pStyle w:val="ListParagraph"/>
        <w:numPr>
          <w:ilvl w:val="0"/>
          <w:numId w:val="7"/>
        </w:numPr>
        <w:rPr>
          <w:b/>
          <w:b/>
          <w:bCs/>
        </w:rPr>
      </w:pPr>
      <w:r>
        <w:rPr>
          <w:b/>
          <w:bCs/>
        </w:rPr>
        <w:t>Autorisation :</w:t>
      </w:r>
    </w:p>
    <w:p>
      <w:pPr>
        <w:pStyle w:val="ListParagraph"/>
        <w:rPr/>
      </w:pPr>
      <w:r>
        <w:rPr/>
        <w:t>Les actions que l’on peut exécuter dans  la base de données sont contrôlées par les permissions et l’appartenance au rôle du compte utilisateur. Pour limiter le nombre d’actions que peut réaliser un utilisateur, nous définissons des autorisations granulaires, c’est-à-dire que certaines colonnes sont accessibles en lecture seule, d’autres en lecture écriture et d’autres en lecture écriture et modification.</w:t>
      </w:r>
    </w:p>
    <w:p>
      <w:pPr>
        <w:pStyle w:val="ListParagraph"/>
        <w:rPr/>
      </w:pPr>
      <w:r>
        <w:rPr/>
      </w:r>
    </w:p>
    <w:p>
      <w:pPr>
        <w:pStyle w:val="ListParagraph"/>
        <w:rPr/>
      </w:pPr>
      <w:r>
        <w:rPr/>
      </w:r>
    </w:p>
    <w:p>
      <w:pPr>
        <w:pStyle w:val="ListParagraph"/>
        <w:numPr>
          <w:ilvl w:val="0"/>
          <w:numId w:val="7"/>
        </w:numPr>
        <w:rPr>
          <w:b/>
          <w:b/>
          <w:bCs/>
        </w:rPr>
      </w:pPr>
      <w:r>
        <w:rPr>
          <w:b/>
          <w:bCs/>
        </w:rPr>
        <w:t>Chiffrement :</w:t>
      </w:r>
    </w:p>
    <w:p>
      <w:pPr>
        <w:pStyle w:val="ListParagraph"/>
        <w:rPr/>
      </w:pPr>
      <w:r>
        <w:rPr/>
        <w:t>Vos données « au repos » ou stockées dans des fichiers de base de données et des sauvegardes sont chiffrées en AES 256B. Il est possible aussi de chiffrer vos données au niveau des cellules ou bien via un module de sécurité matériel.</w:t>
      </w:r>
    </w:p>
    <w:p>
      <w:pPr>
        <w:pStyle w:val="ListParagraph"/>
        <w:rPr/>
      </w:pPr>
      <w:r>
        <w:rPr/>
      </w:r>
    </w:p>
    <w:p>
      <w:pPr>
        <w:pStyle w:val="ListParagraph"/>
        <w:numPr>
          <w:ilvl w:val="0"/>
          <w:numId w:val="7"/>
        </w:numPr>
        <w:rPr>
          <w:b/>
          <w:b/>
          <w:bCs/>
        </w:rPr>
      </w:pPr>
      <w:r>
        <w:rPr>
          <w:b/>
          <w:bCs/>
        </w:rPr>
        <w:t>Audit :</w:t>
      </w:r>
    </w:p>
    <w:p>
      <w:pPr>
        <w:pStyle w:val="ListParagraph"/>
        <w:rPr/>
      </w:pPr>
      <w:r>
        <w:rPr/>
        <w:t>La fonction d’audit permet d’enregistrer les évènements survenus dans la base de données dans un journal d’audit au sein de votre compte Microsoft Azure Storage. Elle permet aussi d’en sortir des rapports et des analyses.</w:t>
      </w:r>
    </w:p>
    <w:p>
      <w:pPr>
        <w:pStyle w:val="ListParagraph"/>
        <w:rPr/>
      </w:pPr>
      <w:r>
        <w:rPr/>
      </w:r>
    </w:p>
    <w:p>
      <w:pPr>
        <w:pStyle w:val="ListParagraph"/>
        <w:numPr>
          <w:ilvl w:val="0"/>
          <w:numId w:val="7"/>
        </w:numPr>
        <w:rPr>
          <w:b/>
          <w:b/>
          <w:bCs/>
        </w:rPr>
      </w:pPr>
      <w:r>
        <w:rPr>
          <w:b/>
          <w:bCs/>
        </w:rPr>
        <w:t>Conformité :</w:t>
      </w:r>
    </w:p>
    <w:p>
      <w:pPr>
        <w:pStyle w:val="ListParagraph"/>
        <w:rPr/>
      </w:pPr>
      <w:r>
        <w:rPr/>
        <w:t>Elle participe à des audits de sécurité régulier et est certifiée conforme avec de nombreuses normes.</w:t>
      </w:r>
    </w:p>
    <w:p>
      <w:pPr>
        <w:pStyle w:val="ListParagraph"/>
        <w:rPr/>
      </w:pPr>
      <w:r>
        <w:rPr/>
      </w:r>
    </w:p>
    <w:p>
      <w:pPr>
        <w:pStyle w:val="ListParagraph"/>
        <w:numPr>
          <w:ilvl w:val="0"/>
          <w:numId w:val="7"/>
        </w:numPr>
        <w:rPr>
          <w:b/>
          <w:b/>
          <w:bCs/>
        </w:rPr>
      </w:pPr>
      <w:r>
        <w:rPr>
          <w:b/>
          <w:bCs/>
        </w:rPr>
        <w:t>Backup intégré :</w:t>
      </w:r>
    </w:p>
    <w:p>
      <w:pPr>
        <w:pStyle w:val="ListParagraph"/>
        <w:rPr/>
      </w:pPr>
      <w:bookmarkStart w:id="33" w:name="_Toc446411741"/>
      <w:bookmarkEnd w:id="33"/>
      <w:r>
        <w:rPr/>
        <w:t>Les bases de données sont automatiquement sauvegardées dans les partitions partagées des deux serveurs mysql. Cette sauvegarde à lieux tous les jours à minuit pour des raisons de sécurité.</w:t>
      </w:r>
    </w:p>
    <w:p>
      <w:pPr>
        <w:pStyle w:val="ListParagraph"/>
        <w:rPr>
          <w:rFonts w:ascii="Calibri" w:hAnsi="Calibri" w:eastAsia="Calibri" w:cs="Calibri"/>
        </w:rPr>
      </w:pPr>
      <w:r>
        <w:rPr>
          <w:rFonts w:eastAsia="Calibri" w:cs="Calibri"/>
        </w:rPr>
      </w:r>
    </w:p>
    <w:p>
      <w:pPr>
        <w:pStyle w:val="Heading1"/>
        <w:numPr>
          <w:ilvl w:val="0"/>
          <w:numId w:val="5"/>
        </w:numPr>
        <w:rPr/>
      </w:pPr>
      <w:bookmarkStart w:id="34" w:name="_Toc484772090"/>
      <w:bookmarkEnd w:id="34"/>
      <w:r>
        <w:rPr/>
        <w:t>Administration</w:t>
      </w:r>
    </w:p>
    <w:p>
      <w:pPr>
        <w:pStyle w:val="Normal"/>
        <w:ind w:left="2160" w:hanging="0"/>
        <w:rPr/>
      </w:pPr>
      <w:r>
        <w:rPr>
          <w:i/>
          <w:iCs/>
        </w:rPr>
        <w:t xml:space="preserve">Cette section définit les modes d'administration de la solution dans le cadre du projet </w:t>
      </w:r>
      <w:r>
        <w:rPr>
          <w:rFonts w:eastAsia="Calibri" w:cs="Calibri"/>
          <w:i/>
          <w:iCs/>
        </w:rPr>
        <w:t>haute disponibilité du site Qwirk</w:t>
      </w:r>
    </w:p>
    <w:p>
      <w:pPr>
        <w:pStyle w:val="Heading2"/>
        <w:numPr>
          <w:ilvl w:val="1"/>
          <w:numId w:val="5"/>
        </w:numPr>
        <w:rPr/>
      </w:pPr>
      <w:bookmarkStart w:id="35" w:name="_Toc484772091"/>
      <w:bookmarkStart w:id="36" w:name="_Toc446411743"/>
      <w:bookmarkEnd w:id="35"/>
      <w:bookmarkEnd w:id="36"/>
      <w:r>
        <w:rPr/>
        <w:t>Accès à l'équipement</w:t>
      </w:r>
    </w:p>
    <w:p>
      <w:pPr>
        <w:pStyle w:val="Normal"/>
        <w:rPr/>
      </w:pPr>
      <w:r>
        <w:rPr/>
      </w:r>
    </w:p>
    <w:p>
      <w:pPr>
        <w:pStyle w:val="Normal"/>
        <w:rPr/>
      </w:pPr>
      <w:r>
        <w:rPr/>
        <w:t xml:space="preserve">Les serveurs sont stockés dans des environnements adaptés et sécurisés dont l’accès est restreint aux personnes responsables. </w:t>
      </w:r>
    </w:p>
    <w:p>
      <w:pPr>
        <w:pStyle w:val="Normal"/>
        <w:rPr/>
      </w:pPr>
      <w:r>
        <w:rPr/>
        <w:t>Pour toute action nécessitant une intervention physique sur nos serveurs, nous faisons appel à nos équipes sur place.</w:t>
      </w:r>
    </w:p>
    <w:p>
      <w:pPr>
        <w:pStyle w:val="Normal"/>
        <w:widowControl/>
        <w:bidi w:val="0"/>
        <w:spacing w:lineRule="auto" w:line="259" w:before="0" w:after="160"/>
        <w:jc w:val="left"/>
        <w:rPr/>
      </w:pPr>
      <w:r>
        <w:rPr/>
        <w:t>Pour l’accès à distance, nous nous connectons en RDP (port standard sécurisé 3389) sur le serveur VCenter.</w:t>
      </w:r>
    </w:p>
    <w:sectPr>
      <w:headerReference w:type="default" r:id="rId4"/>
      <w:footerReference w:type="default" r:id="rId5"/>
      <w:type w:val="nextPage"/>
      <w:pgSz w:w="12240" w:h="15840"/>
      <w:pgMar w:left="1440" w:right="1440" w:header="720" w:top="1440" w:footer="720" w:bottom="1440" w:gutter="0"/>
      <w:pgNumType w:start="0"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val="04a0" w:noVBand="1" w:noHBand="0" w:firstRow="1" w:lastRow="0" w:firstColumn="1" w:lastColumn="0"/>
    </w:tblPr>
    <w:tblGrid>
      <w:gridCol w:w="5953"/>
      <w:gridCol w:w="286"/>
      <w:gridCol w:w="3120"/>
    </w:tblGrid>
    <w:tr>
      <w:trPr/>
      <w:tc>
        <w:tcPr>
          <w:tcW w:w="5953" w:type="dxa"/>
          <w:tcBorders/>
          <w:shd w:fill="auto" w:val="clear"/>
        </w:tcPr>
        <w:p>
          <w:pPr>
            <w:pStyle w:val="Footer"/>
            <w:pBdr>
              <w:top w:val="single" w:sz="6" w:space="1" w:color="666699"/>
            </w:pBdr>
            <w:rPr>
              <w:color w:val="5B9BD5" w:themeColor="accent1"/>
            </w:rPr>
          </w:pPr>
          <w:r>
            <w:rPr>
              <w:color w:val="5B9BD5" w:themeColor="accent1"/>
            </w:rPr>
            <w:t>Toute reproduction ou diffusion à un tiers est interdite sans l'autorisation de WhatSup ou de Qwirk</w:t>
          </w:r>
        </w:p>
      </w:tc>
      <w:tc>
        <w:tcPr>
          <w:tcW w:w="286" w:type="dxa"/>
          <w:tcBorders/>
          <w:shd w:fill="auto" w:val="clear"/>
        </w:tcPr>
        <w:p>
          <w:pPr>
            <w:pStyle w:val="Header"/>
            <w:jc w:val="center"/>
            <w:rPr>
              <w:color w:val="5B9BD5" w:themeColor="accent1"/>
            </w:rPr>
          </w:pPr>
          <w:r>
            <w:rPr>
              <w:color w:val="5B9BD5" w:themeColor="accent1"/>
            </w:rPr>
          </w:r>
        </w:p>
      </w:tc>
      <w:tc>
        <w:tcPr>
          <w:tcW w:w="3120" w:type="dxa"/>
          <w:tcBorders/>
          <w:shd w:fill="auto" w:val="clear"/>
        </w:tcPr>
        <w:p>
          <w:pPr>
            <w:pStyle w:val="Header"/>
            <w:ind w:right="-115" w:hanging="0"/>
            <w:jc w:val="right"/>
            <w:rPr/>
          </w:pPr>
          <w:r>
            <w:rPr>
              <w:color w:val="5B9BD5" w:themeColor="accent1"/>
            </w:rPr>
            <w:fldChar w:fldCharType="begin"/>
          </w:r>
          <w:r>
            <w:instrText> PAGE </w:instrText>
          </w:r>
          <w:r>
            <w:fldChar w:fldCharType="separate"/>
          </w:r>
          <w:r>
            <w:t>13</w:t>
          </w:r>
          <w:r>
            <w:fldChar w:fldCharType="end"/>
          </w:r>
        </w:p>
      </w:tc>
    </w:tr>
  </w:tbl>
  <w:p>
    <w:pPr>
      <w:pStyle w:val="Footer"/>
      <w:rPr>
        <w:color w:val="5B9BD5" w:themeColor="accent1"/>
      </w:rPr>
    </w:pPr>
    <w:r>
      <w:rPr>
        <w:color w:val="5B9BD5" w:themeColor="accent1"/>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val="04a0" w:noVBand="1" w:noHBand="0" w:firstRow="1" w:lastRow="0" w:firstColumn="1" w:lastColumn="0"/>
    </w:tblPr>
    <w:tblGrid>
      <w:gridCol w:w="3119"/>
      <w:gridCol w:w="3120"/>
      <w:gridCol w:w="3120"/>
    </w:tblGrid>
    <w:tr>
      <w:trPr/>
      <w:tc>
        <w:tcPr>
          <w:tcW w:w="3119" w:type="dxa"/>
          <w:tcBorders/>
          <w:shd w:fill="auto" w:val="clear"/>
        </w:tcPr>
        <w:p>
          <w:pPr>
            <w:pStyle w:val="Header"/>
            <w:ind w:left="-115"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3"/>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lvl w:ilvl="0">
      <w:start w:val="2"/>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next w:val="Normal"/>
    <w:link w:val="Titre1C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Titre4Car"/>
    <w:uiPriority w:val="9"/>
    <w:unhideWhenUsed/>
    <w:qFormat/>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Titre5Car"/>
    <w:uiPriority w:val="9"/>
    <w:semiHidden/>
    <w:unhideWhenUsed/>
    <w:qFormat/>
    <w:rsid w:val="00452457"/>
    <w:pPr>
      <w:keepNext/>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Pr>
      <w:rFonts w:ascii="Calibri Light" w:hAnsi="Calibri Light" w:eastAsia="" w:cs="" w:asciiTheme="majorHAnsi" w:cstheme="majorBidi" w:eastAsiaTheme="majorEastAsia" w:hAnsiTheme="majorHAnsi"/>
      <w:spacing w:val="-10"/>
      <w:sz w:val="56"/>
      <w:szCs w:val="56"/>
    </w:rPr>
  </w:style>
  <w:style w:type="character" w:styleId="Titre1Car" w:customStyle="1">
    <w:name w:val="Titre 1 Car"/>
    <w:basedOn w:val="DefaultParagraphFont"/>
    <w:link w:val="Titre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EntteCar" w:customStyle="1">
    <w:name w:val="En-tête Car"/>
    <w:basedOn w:val="DefaultParagraphFont"/>
    <w:link w:val="En-tte"/>
    <w:uiPriority w:val="99"/>
    <w:qFormat/>
    <w:rPr/>
  </w:style>
  <w:style w:type="character" w:styleId="PieddepageCar" w:customStyle="1">
    <w:name w:val="Pied de page Car"/>
    <w:basedOn w:val="DefaultParagraphFont"/>
    <w:link w:val="Pieddepage"/>
    <w:qFormat/>
    <w:rPr/>
  </w:style>
  <w:style w:type="character" w:styleId="Titre2Car" w:customStyle="1">
    <w:name w:val="Titre 2 Car"/>
    <w:basedOn w:val="DefaultParagraphFont"/>
    <w:link w:val="Titre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Pr>
      <w:color w:val="0563C1" w:themeColor="hyperlink"/>
      <w:u w:val="single"/>
    </w:rPr>
  </w:style>
  <w:style w:type="character" w:styleId="Titre4Car" w:customStyle="1">
    <w:name w:val="Titre 4 Car"/>
    <w:basedOn w:val="DefaultParagraphFont"/>
    <w:link w:val="Titre4"/>
    <w:uiPriority w:val="9"/>
    <w:qFormat/>
    <w:rPr>
      <w:rFonts w:ascii="Calibri Light" w:hAnsi="Calibri Light" w:eastAsia="" w:cs="" w:asciiTheme="majorHAnsi" w:cstheme="majorBidi" w:eastAsiaTheme="majorEastAsia" w:hAnsiTheme="majorHAnsi"/>
      <w:i/>
      <w:iCs/>
      <w:color w:val="2E74B5" w:themeColor="accent1" w:themeShade="bf"/>
    </w:rPr>
  </w:style>
  <w:style w:type="character" w:styleId="SansinterligneCar" w:customStyle="1">
    <w:name w:val="Sans interligne Car"/>
    <w:basedOn w:val="DefaultParagraphFont"/>
    <w:link w:val="Sansinterligne"/>
    <w:uiPriority w:val="1"/>
    <w:qFormat/>
    <w:rsid w:val="009c2997"/>
    <w:rPr>
      <w:rFonts w:eastAsia="" w:eastAsiaTheme="minorEastAsia"/>
      <w:lang w:val="fr-FR" w:eastAsia="fr-FR"/>
    </w:rPr>
  </w:style>
  <w:style w:type="character" w:styleId="SoustitreCar" w:customStyle="1">
    <w:name w:val="Sous-titre Car"/>
    <w:basedOn w:val="DefaultParagraphFont"/>
    <w:link w:val="Sous-titre"/>
    <w:uiPriority w:val="11"/>
    <w:qFormat/>
    <w:rsid w:val="009c2997"/>
    <w:rPr>
      <w:rFonts w:eastAsia="" w:cs="Times New Roman" w:eastAsiaTheme="minorEastAsia"/>
      <w:color w:val="5A5A5A" w:themeColor="text1" w:themeTint="a5"/>
      <w:spacing w:val="15"/>
      <w:lang w:val="fr-FR" w:eastAsia="fr-FR"/>
    </w:rPr>
  </w:style>
  <w:style w:type="character" w:styleId="Strong">
    <w:name w:val="Strong"/>
    <w:basedOn w:val="DefaultParagraphFont"/>
    <w:uiPriority w:val="22"/>
    <w:qFormat/>
    <w:rsid w:val="001b28fe"/>
    <w:rPr>
      <w:b/>
      <w:bCs/>
    </w:rPr>
  </w:style>
  <w:style w:type="character" w:styleId="Pagenumber">
    <w:name w:val="page number"/>
    <w:basedOn w:val="DefaultParagraphFont"/>
    <w:uiPriority w:val="99"/>
    <w:qFormat/>
    <w:rsid w:val="00591bc7"/>
    <w:rPr>
      <w:rFonts w:cs="Times New Roman"/>
    </w:rPr>
  </w:style>
  <w:style w:type="character" w:styleId="Description" w:customStyle="1">
    <w:name w:val="description"/>
    <w:basedOn w:val="DefaultParagraphFont"/>
    <w:qFormat/>
    <w:rsid w:val="004d6b00"/>
    <w:rPr/>
  </w:style>
  <w:style w:type="character" w:styleId="Emphasis">
    <w:name w:val="Emphasis"/>
    <w:basedOn w:val="DefaultParagraphFont"/>
    <w:uiPriority w:val="20"/>
    <w:qFormat/>
    <w:rsid w:val="001d032c"/>
    <w:rPr>
      <w:i/>
      <w:iCs/>
    </w:rPr>
  </w:style>
  <w:style w:type="character" w:styleId="Titre5Car" w:customStyle="1">
    <w:name w:val="Titre 5 Car"/>
    <w:basedOn w:val="DefaultParagraphFont"/>
    <w:link w:val="Titre5"/>
    <w:uiPriority w:val="9"/>
    <w:semiHidden/>
    <w:qFormat/>
    <w:rsid w:val="00452457"/>
    <w:rPr>
      <w:rFonts w:ascii="Calibri Light" w:hAnsi="Calibri Light" w:eastAsia="" w:cs="" w:asciiTheme="majorHAnsi" w:cstheme="majorBidi" w:eastAsiaTheme="majorEastAsia" w:hAnsiTheme="majorHAnsi"/>
      <w:color w:val="2E74B5" w:themeColor="accent1" w:themeShade="bf"/>
      <w:lang w:val="fr-FR"/>
    </w:rPr>
  </w:style>
  <w:style w:type="character" w:styleId="TextedebullesCar" w:customStyle="1">
    <w:name w:val="Texte de bulles Car"/>
    <w:basedOn w:val="DefaultParagraphFont"/>
    <w:link w:val="Textedebulles"/>
    <w:uiPriority w:val="99"/>
    <w:semiHidden/>
    <w:qFormat/>
    <w:rsid w:val="00af1939"/>
    <w:rPr>
      <w:rFonts w:ascii="Segoe UI" w:hAnsi="Segoe UI" w:cs="Segoe UI"/>
      <w:sz w:val="18"/>
      <w:szCs w:val="18"/>
      <w:lang w:val="fr-F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rFonts w:eastAsia="Calibri" w:cs=""/>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Title">
    <w:name w:val="Title"/>
    <w:basedOn w:val="Normal"/>
    <w:next w:val="Normal"/>
    <w:link w:val="TitreC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Header">
    <w:name w:val="Header"/>
    <w:basedOn w:val="Normal"/>
    <w:link w:val="En-tteCar"/>
    <w:uiPriority w:val="99"/>
    <w:unhideWhenUsed/>
    <w:pPr>
      <w:tabs>
        <w:tab w:val="center" w:pos="4680" w:leader="none"/>
        <w:tab w:val="right" w:pos="9360" w:leader="none"/>
      </w:tabs>
      <w:spacing w:lineRule="auto" w:line="240" w:before="0" w:after="0"/>
    </w:pPr>
    <w:rPr/>
  </w:style>
  <w:style w:type="paragraph" w:styleId="Footer">
    <w:name w:val="Footer"/>
    <w:basedOn w:val="Normal"/>
    <w:link w:val="PieddepageCar"/>
    <w:unhideWhenUsed/>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dd70da"/>
    <w:pPr/>
    <w:rPr>
      <w:lang w:eastAsia="fr-FR"/>
    </w:rPr>
  </w:style>
  <w:style w:type="paragraph" w:styleId="Contents2">
    <w:name w:val="TOC 2"/>
    <w:basedOn w:val="Normal"/>
    <w:next w:val="Normal"/>
    <w:autoRedefine/>
    <w:uiPriority w:val="39"/>
    <w:unhideWhenUsed/>
    <w:rsid w:val="009c2997"/>
    <w:pPr>
      <w:tabs>
        <w:tab w:val="left" w:pos="880" w:leader="none"/>
        <w:tab w:val="right" w:pos="9350" w:leader="dot"/>
      </w:tabs>
      <w:spacing w:before="40" w:after="40"/>
      <w:ind w:left="221" w:hanging="0"/>
    </w:pPr>
    <w:rPr/>
  </w:style>
  <w:style w:type="paragraph" w:styleId="Contents1">
    <w:name w:val="TOC 1"/>
    <w:basedOn w:val="Normal"/>
    <w:next w:val="Normal"/>
    <w:autoRedefine/>
    <w:uiPriority w:val="39"/>
    <w:unhideWhenUsed/>
    <w:rsid w:val="009c2997"/>
    <w:pPr>
      <w:tabs>
        <w:tab w:val="left" w:pos="440" w:leader="none"/>
        <w:tab w:val="right" w:pos="9350" w:leader="dot"/>
      </w:tabs>
      <w:spacing w:before="0" w:after="0"/>
    </w:pPr>
    <w:rPr/>
  </w:style>
  <w:style w:type="paragraph" w:styleId="NoSpacing">
    <w:name w:val="No Spacing"/>
    <w:link w:val="SansinterligneCar"/>
    <w:uiPriority w:val="1"/>
    <w:qFormat/>
    <w:rsid w:val="009c2997"/>
    <w:pPr>
      <w:widowControl/>
      <w:bidi w:val="0"/>
      <w:spacing w:lineRule="auto" w:line="240" w:before="0" w:after="0"/>
      <w:jc w:val="left"/>
    </w:pPr>
    <w:rPr>
      <w:rFonts w:eastAsia="" w:eastAsiaTheme="minorEastAsia" w:ascii="Calibri" w:hAnsi="Calibri" w:cs=""/>
      <w:color w:val="auto"/>
      <w:sz w:val="22"/>
      <w:szCs w:val="22"/>
      <w:lang w:val="fr-FR" w:eastAsia="fr-FR" w:bidi="ar-SA"/>
    </w:rPr>
  </w:style>
  <w:style w:type="paragraph" w:styleId="Subtitle">
    <w:name w:val="Subtitle"/>
    <w:basedOn w:val="Normal"/>
    <w:next w:val="Normal"/>
    <w:link w:val="Sous-titreCar"/>
    <w:uiPriority w:val="11"/>
    <w:qFormat/>
    <w:rsid w:val="009c2997"/>
    <w:pPr/>
    <w:rPr>
      <w:rFonts w:eastAsia="" w:cs="Times New Roman" w:eastAsiaTheme="minorEastAsia"/>
      <w:color w:val="5A5A5A" w:themeColor="text1" w:themeTint="a5"/>
      <w:spacing w:val="15"/>
      <w:lang w:eastAsia="fr-FR"/>
    </w:rPr>
  </w:style>
  <w:style w:type="paragraph" w:styleId="NormalWeb">
    <w:name w:val="Normal (Web)"/>
    <w:basedOn w:val="Normal"/>
    <w:uiPriority w:val="99"/>
    <w:semiHidden/>
    <w:unhideWhenUsed/>
    <w:qFormat/>
    <w:rsid w:val="002a658e"/>
    <w:pPr>
      <w:spacing w:lineRule="auto" w:line="240" w:beforeAutospacing="1" w:afterAutospacing="1"/>
    </w:pPr>
    <w:rPr>
      <w:rFonts w:ascii="Times New Roman" w:hAnsi="Times New Roman" w:eastAsia="Times New Roman" w:cs="Times New Roman"/>
      <w:sz w:val="24"/>
      <w:szCs w:val="24"/>
      <w:lang w:eastAsia="fr-FR"/>
    </w:rPr>
  </w:style>
  <w:style w:type="paragraph" w:styleId="Cbody" w:customStyle="1">
    <w:name w:val="c-body"/>
    <w:basedOn w:val="Normal"/>
    <w:qFormat/>
    <w:rsid w:val="00452457"/>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TextedebullesCar"/>
    <w:uiPriority w:val="99"/>
    <w:semiHidden/>
    <w:unhideWhenUsed/>
    <w:qFormat/>
    <w:rsid w:val="00af1939"/>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auGrille4-Accentuation1">
    <w:name w:val="Grid Table 4 Accent 1"/>
    <w:basedOn w:val="Tableau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TableauGrille7Couleur-Accentuation1">
    <w:name w:val="Grid Table 7 Colorful Accent 1"/>
    <w:basedOn w:val="TableauNormal"/>
    <w:uiPriority w:val="52"/>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TableauGrille6Couleur-Accentuation1">
    <w:name w:val="Grid Table 6 Colorful Accent 1"/>
    <w:basedOn w:val="TableauNormal"/>
    <w:uiPriority w:val="51"/>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42DFD95F-7BF9-43AC-AE8F-B17F9DE2452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LibreOffice/5.1.6.2$Linux_X86_64 LibreOffice_project/10m0$Build-2</Application>
  <Pages>14</Pages>
  <Words>2573</Words>
  <Characters>13982</Characters>
  <CharactersWithSpaces>16208</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fr-FR</dc:language>
  <cp:lastModifiedBy/>
  <cp:lastPrinted>2016-03-22T11:32:00Z</cp:lastPrinted>
  <dcterms:modified xsi:type="dcterms:W3CDTF">2017-06-09T14:00:03Z</dcterms:modified>
  <cp:revision>52</cp:revision>
  <dc:subject>Qwirk</dc:subject>
  <dc:title>Dossier d'architecture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