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Title:</w:t>
      </w:r>
      <w:r>
        <w:t xml:space="preserve"> AI-Delirium Guard: An AI Predictive Model for Anesthesia Postoperative Delirium in Older Adults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Objective:</w:t>
      </w:r>
      <w:r>
        <w:t xml:space="preserve"> Develop an AI-based predictive model to identify the risk of postoperative delirium in individuals aged 65 years and older who undergo anesthesia for surgical procedures.</w:t>
      </w:r>
      <w:r/>
    </w:p>
    <w:p>
      <w:pPr>
        <w:ind w:left="0" w:right="0" w:firstLine="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Project Workflow: </w:t>
      </w:r>
      <w:r>
        <w:rPr>
          <w:b/>
          <w:bCs/>
        </w:rPr>
      </w:r>
    </w:p>
    <w:p>
      <w:pPr>
        <w:pStyle w:val="621"/>
        <w:numPr>
          <w:ilvl w:val="0"/>
          <w:numId w:val="2"/>
        </w:numPr>
        <w:ind w:right="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Data Collection</w:t>
      </w:r>
      <w:r>
        <w:rPr>
          <w:b/>
          <w:bCs/>
        </w:rPr>
      </w:r>
    </w:p>
    <w:p>
      <w:pPr>
        <w:pStyle w:val="621"/>
        <w:numPr>
          <w:ilvl w:val="1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Gather a comprehensive dataset from electronic health records and  anesthesia databases, focusing on older adults (aged 65 years and above)  who underwent surgery with anesthesia. (20,000?)</w:t>
      </w:r>
      <w:r/>
    </w:p>
    <w:p>
      <w:pPr>
        <w:pStyle w:val="621"/>
        <w:numPr>
          <w:ilvl w:val="1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Include data on patient demographics like age, sex etc., diabetes,  hypertension, cardiovascular diseases, preexisting dementia, psychiatric  diseases, preoperative delirium, type of surgery, duration of surgery,  pain medications, anesthesia agents used, </w:t>
      </w:r>
      <w:r>
        <w:t xml:space="preserve">anesthesia duration, doses of  anesthesia, all the medications used, preoperative health status and  postoperative delirium occurrence.</w:t>
      </w:r>
      <w:r/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21"/>
        <w:numPr>
          <w:ilvl w:val="0"/>
          <w:numId w:val="2"/>
        </w:numPr>
        <w:ind w:right="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Exploring data</w:t>
      </w:r>
      <w:r>
        <w:rPr>
          <w:b/>
          <w:bCs/>
        </w:rPr>
      </w:r>
    </w:p>
    <w:p>
      <w:pPr>
        <w:pStyle w:val="621"/>
        <w:numPr>
          <w:ilvl w:val="1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explore the data and gain more information about collected data.</w:t>
      </w:r>
      <w:r/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21"/>
        <w:numPr>
          <w:ilvl w:val="0"/>
          <w:numId w:val="2"/>
        </w:numPr>
        <w:ind w:right="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Cleansing and Preprocessing</w:t>
      </w:r>
      <w:r>
        <w:rPr>
          <w:b/>
          <w:bCs/>
        </w:rPr>
      </w:r>
    </w:p>
    <w:p>
      <w:pPr>
        <w:pStyle w:val="621"/>
        <w:numPr>
          <w:ilvl w:val="1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Handle missing values, outliers, and standardize data to ensure consistency and quality.</w:t>
      </w:r>
      <w:r/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21"/>
        <w:numPr>
          <w:ilvl w:val="0"/>
          <w:numId w:val="2"/>
        </w:numPr>
        <w:ind w:right="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Feature Selection</w:t>
      </w:r>
      <w:r>
        <w:rPr>
          <w:b/>
          <w:bCs/>
        </w:rPr>
      </w:r>
    </w:p>
    <w:p>
      <w:pPr>
        <w:pStyle w:val="621"/>
        <w:numPr>
          <w:ilvl w:val="1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Define postoperative delirium based on standardized diagnostic  criteria, such as the Confusion Assessment Method (CAM) or the  Diagnostic and Statistical Manual of Mental Disorders (DSM-5) criteria.</w:t>
      </w:r>
      <w:r/>
    </w:p>
    <w:p>
      <w:pPr>
        <w:pStyle w:val="621"/>
        <w:numPr>
          <w:ilvl w:val="1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Identify relevant features and risk factors associated with  postoperative delirium, such as age, preoperative cognitive function,  comorbidities, type of surgery, and anesthesia medications used.</w:t>
      </w:r>
      <w:r/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21"/>
        <w:numPr>
          <w:ilvl w:val="0"/>
          <w:numId w:val="2"/>
        </w:numPr>
        <w:ind w:right="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Build a Model</w:t>
      </w:r>
      <w:r>
        <w:rPr>
          <w:b/>
          <w:bCs/>
        </w:rPr>
      </w:r>
    </w:p>
    <w:p>
      <w:pPr>
        <w:pStyle w:val="621"/>
        <w:numPr>
          <w:ilvl w:val="1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Utilize machine learning algorithms to build the predictive model.</w:t>
      </w:r>
      <w:r/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21"/>
        <w:numPr>
          <w:ilvl w:val="0"/>
          <w:numId w:val="2"/>
        </w:numPr>
        <w:ind w:right="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Model Training and Validation </w:t>
      </w:r>
      <w:r>
        <w:rPr>
          <w:b/>
          <w:bCs/>
        </w:rPr>
      </w:r>
    </w:p>
    <w:p>
      <w:pPr>
        <w:pStyle w:val="621"/>
        <w:numPr>
          <w:ilvl w:val="1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Divide the dataset into training and validation sets and use  cross-validation techniques to evaluate the model performance and  optimize hyperparameters.</w:t>
      </w:r>
      <w:r/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21"/>
        <w:numPr>
          <w:ilvl w:val="0"/>
          <w:numId w:val="2"/>
        </w:numPr>
        <w:ind w:right="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Model Testing</w:t>
      </w:r>
      <w:r>
        <w:rPr>
          <w:b/>
          <w:bCs/>
        </w:rPr>
      </w:r>
    </w:p>
    <w:p>
      <w:pPr>
        <w:pStyle w:val="621"/>
        <w:numPr>
          <w:ilvl w:val="1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Test the model with new data samples that model didn't see before to measure performance on new data and test generalizability.</w:t>
      </w:r>
      <w:r/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21"/>
        <w:numPr>
          <w:ilvl w:val="0"/>
          <w:numId w:val="2"/>
        </w:numPr>
        <w:ind w:right="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Model Deployment</w:t>
      </w:r>
      <w:r>
        <w:rPr>
          <w:b/>
          <w:bCs/>
        </w:rPr>
      </w:r>
    </w:p>
    <w:p>
      <w:pPr>
        <w:pStyle w:val="621"/>
        <w:numPr>
          <w:ilvl w:val="1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Deploy a model and create api and user interface to put the model into production.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2023-08-22T16:16:39Z</dcterms:modified>
</cp:coreProperties>
</file>