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wordprocessingml.document.main+xml" PartName="/word/document.xml"/>
  <Override ContentType="application/vnd.openxmlformats-officedocument.spreadsheetml.sheet" PartName="/word/embeddings/1.xlsx"/>
  <Override ContentType="application/vnd.openxmlformats-officedocument.spreadsheetml.sheet" PartName="/word/embeddings/2.xlsx"/>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 Target="word/charts/chart1.xml" Type="http://schemas.openxmlformats.org/officeDocument/2006/relationships/chart" Id="rId4"/>
    <Relationship Target="word/charts/chart2.xml" Type="http://schemas.openxmlformats.org/officeDocument/2006/relationships/chart" Id="rId5"/>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Abstract</w:t>
      </w:r>
    </w:p>
    <w:p>
      <w:pPr>
        <w:spacing w:line="288" w:lineRule="auto"/>
        <w:ind w:firstLine="480" w:firstLineChars="200"/>
        <w:jc w:val="both"/>
      </w:pPr>
      <w:r>
        <w:rPr>
          <w:rFonts w:hint="eastAsia" w:ascii="微软雅黑" w:hAnsi="微软雅黑" w:eastAsia="微软雅黑"/>
          <w:noProof/>
          <w:sz w:val="24"/>
        </w:rPr>
        <w:t xml:space="preserve">The report titled </w:t>
      </w:r>
      <w:r>
        <w:rPr>
          <w:rFonts w:hint="eastAsia" w:ascii="微软雅黑" w:hAnsi="微软雅黑" w:eastAsia="微软雅黑"/>
          <w:i/>
          <w:noProof/>
          <w:sz w:val="24"/>
        </w:rPr>
        <w:t xml:space="preserve">Competitive and Market Intelligence for Aiguille Tools &amp; Edges</w:t>
      </w:r>
      <w:r>
        <w:rPr>
          <w:rFonts w:hint="eastAsia" w:ascii="微软雅黑" w:hAnsi="微软雅黑" w:eastAsia="微软雅黑"/>
          <w:noProof/>
          <w:sz w:val="24"/>
        </w:rPr>
        <w:t xml:space="preserve"> provides an in-depth analysis of the competitive dynamics and market trends in the security tools and mining ground engaging tools (GET) sectors, with a focus on South Africa and the broader global landscape. It is structured to examine the competitive landscape, product segmentation, client demographics, distribution models, and technological advancements shaping these industries. The findings are organized into two primary domains: security cutting tools and mining GET, with each domain dissected through thematic chapters that leverage quantitative data and strategic insights.</w:t>
      </w:r>
    </w:p>
    <w:p>
      <w:pPr>
        <w:spacing w:line="288" w:lineRule="auto"/>
        <w:ind w:firstLine="480" w:firstLineChars="200"/>
        <w:jc w:val="both"/>
      </w:pPr>
      <w:r>
        <w:rPr>
          <w:rFonts w:hint="eastAsia" w:ascii="微软雅黑" w:hAnsi="微软雅黑" w:eastAsia="微软雅黑"/>
          <w:noProof/>
          <w:sz w:val="24"/>
        </w:rPr>
        <w:t xml:space="preserve">The security tools analysis begins by exploring the South African market, focusing on leading suppliers of security cutting tools. This segment highlights local suppliers' market strategies, product offerings, and pricing structures, supported by data on market shares to illustrate competitive positioning. The report also expands to evaluate international competitors in the rescue and security equipment sector, identifying key global players, their geographic presence, and unique selling points. Further, the analysis delves into product specialization and client segmentation within the security tools industry, emphasizing niche markets, demographic patterns, and tailored product categories. Together, these chapters provide a comprehensive overview of competitive forces, both domestically and internationally, while offering actionable insights into market segmentation and strategic differentiation.</w:t>
      </w:r>
    </w:p>
    <w:p>
      <w:pPr>
        <w:spacing w:line="288" w:lineRule="auto"/>
        <w:ind w:firstLine="480" w:firstLineChars="200"/>
        <w:jc w:val="both"/>
      </w:pPr>
      <w:r>
        <w:rPr>
          <w:rFonts w:hint="eastAsia" w:ascii="微软雅黑" w:hAnsi="微软雅黑" w:eastAsia="微软雅黑"/>
          <w:noProof/>
          <w:sz w:val="24"/>
        </w:rPr>
        <w:t xml:space="preserve">In the mining GET sector, the report examines the South African market for ground engaging tools, bucket teeth, and wear components, assessing the dominance of top suppliers and their market shares. It also reviews OEM compatibility and distribution models, analyzing how suppliers align with original equipment manufacturers and manage the complexities of supply chain operations. A critical focus is placed on innovations and technology trends in mining wear parts, exploring advancements that influence efficiency, performance, and sustainability. This section incorporates regional and global market trends, demand patterns, and challenges faced by industry players, offering a nuanced understanding of the market landscape between 2020 and 2024.</w:t>
      </w:r>
    </w:p>
    <w:p>
      <w:pPr>
        <w:spacing w:line="288" w:lineRule="auto"/>
        <w:ind w:firstLine="480" w:firstLineChars="200"/>
        <w:jc w:val="both"/>
      </w:pPr>
      <w:r>
        <w:rPr>
          <w:rFonts w:hint="eastAsia" w:ascii="微软雅黑" w:hAnsi="微软雅黑" w:eastAsia="微软雅黑"/>
          <w:noProof/>
          <w:sz w:val="24"/>
        </w:rPr>
        <w:t xml:space="preserve">Throughout the report, thematic tables and figures, such as market share distributions and geographic presence analyses, complement the narrative by providing visual representations of competitive and market dynamics. By synthesizing insights across chapters, the report delivers a coherent view of industry trends, competitive strategies, and emerging opportunities in both security cutting tools and mining GET sectors. It serves as a valuable resource for stakeholders seeking to understand market conditions, identify strategic priorities, and navigate the complexities of these evolving industries.</w:t>
      </w:r>
    </w:p>
    <w:p>
      <w:pPr>
        <w:pStyle w:val="Heading1"/>
        <w:spacing w:line="288" w:lineRule="auto"/>
        <w:ind/>
        <w:jc w:val="left"/>
      </w:pPr>
      <w:r>
        <w:rPr>
          <w:rFonts w:hint="eastAsia" w:ascii="微软雅黑" w:hAnsi="微软雅黑" w:eastAsia="微软雅黑"/>
          <w:b/>
          <w:noProof/>
          <w:sz w:val="40"/>
        </w:rPr>
        <w:t xml:space="preserve">Security Tool Competitor Analysis</w:t>
      </w:r>
    </w:p>
    <w:p>
      <w:pPr>
        <w:pStyle w:val="Heading2"/>
        <w:spacing w:line="288" w:lineRule="auto"/>
        <w:ind/>
        <w:jc w:val="left"/>
      </w:pPr>
      <w:r>
        <w:rPr>
          <w:rFonts w:hint="eastAsia" w:ascii="微软雅黑" w:hAnsi="微软雅黑" w:eastAsia="微软雅黑"/>
          <w:b/>
          <w:noProof/>
          <w:sz w:val="36"/>
        </w:rPr>
        <w:t xml:space="preserve">Leading South African Suppliers of Security Cutting Tools</w:t>
      </w:r>
    </w:p>
    <w:p>
      <w:pPr>
        <w:spacing w:line="288" w:lineRule="auto"/>
        <w:ind w:firstLine="480" w:firstLineChars="200"/>
        <w:jc w:val="both"/>
      </w:pPr>
      <w:r>
        <w:rPr>
          <w:rFonts w:hint="eastAsia" w:ascii="微软雅黑" w:hAnsi="微软雅黑" w:eastAsia="微软雅黑"/>
          <w:noProof/>
          <w:sz w:val="24"/>
        </w:rPr>
        <w:t xml:space="preserve">The competitive landscape for security cutting tools in South Africa presents a complex environment characterized by broader industrial growth, evolving security paradigms, and intricate supply chain dynamics. As of July 2026, understanding the market positioning of leading South African suppliers requires a multifaceted analysis of macroeconomic indicators, strategic market positioning, product diversification, and pricing models. The government's economic assessments highlight notable growth in industries such as mining, wholesale trade, motor trade, and tourism, which serve as primary end-users for robust physical security and specialized industrial equipment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Furthermore, broader economic indicators point to significant regional opportunities, with manufacturing and localization initiatives emphasizing Africa's vast USD 3.4 trillion market potential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These industrial expansions inherently drive the demand for high-quality physical security infrastructure, including specialized cutting tools utilized by private security firms, law enforcement, and industrial facility management.</w:t>
      </w:r>
    </w:p>
    <w:p>
      <w:pPr>
        <w:spacing w:line="288" w:lineRule="auto"/>
        <w:ind w:firstLine="480" w:firstLineChars="200"/>
        <w:jc w:val="both"/>
      </w:pPr>
      <w:r>
        <w:rPr>
          <w:rFonts w:hint="eastAsia" w:ascii="微软雅黑" w:hAnsi="微软雅黑" w:eastAsia="微软雅黑"/>
          <w:noProof/>
          <w:sz w:val="24"/>
        </w:rPr>
        <w:t xml:space="preserve">Despite the foundational need for physical security equipment, the contemporary security discourse in South Africa has heavily pivoted toward digital and systemic threat mitigation. As of mid-2026, industry focus is predominantly captured by cybersecurity advancements, reflecting a critical shift in how security is conceptualized and funded. The ITWeb Security Summit 2026, for instance, features cutting-edge cybersecurity tools and solutions from over 70 leading providers, underscoring a massive investment in digital defense mechanisms rather than physical security apparatuses </w:t>
      </w:r>
      <w:r>
        <w:rPr>
          <w:rFonts w:hint="eastAsia" w:ascii="微软雅黑" w:hAnsi="微软雅黑" w:eastAsia="微软雅黑"/>
          <w:noProof/>
          <w:sz w:val="24"/>
          <w:vertAlign w:val="superscript"/>
        </w:rPr>
        <w:t>[1]</w:t>
      </w:r>
      <w:r>
        <w:rPr>
          <w:rFonts w:hint="eastAsia" w:ascii="微软雅黑" w:hAnsi="微软雅黑" w:eastAsia="微软雅黑"/>
          <w:noProof/>
          <w:sz w:val="24"/>
          <w:vertAlign w:val="superscript"/>
        </w:rPr>
        <w:t>[4]</w:t>
      </w:r>
      <w:r>
        <w:rPr>
          <w:rFonts w:hint="eastAsia" w:ascii="微软雅黑" w:hAnsi="微软雅黑" w:eastAsia="微软雅黑"/>
          <w:noProof/>
          <w:sz w:val="24"/>
        </w:rPr>
        <w:t xml:space="preserve">. This digital pivot is further evidenced by the upcoming ISMG Cybersecurity Summit, which targets the unique challenges within the African cybersecurity landscape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The urgency of this shift is driven by alarming statistics, notably a significant 46 percent increase in insider cyber risks within South Africa, a figure that notably surpasses the global average of 44 percent </w:t>
      </w:r>
      <w:r>
        <w:rPr>
          <w:rFonts w:hint="eastAsia" w:ascii="微软雅黑" w:hAnsi="微软雅黑" w:eastAsia="微软雅黑"/>
          <w:noProof/>
          <w:sz w:val="24"/>
          <w:vertAlign w:val="superscript"/>
        </w:rPr>
        <w:t>[2]</w:t>
      </w:r>
      <w:r>
        <w:rPr>
          <w:rFonts w:hint="eastAsia" w:ascii="微软雅黑" w:hAnsi="微软雅黑" w:eastAsia="微软雅黑"/>
          <w:noProof/>
          <w:sz w:val="24"/>
        </w:rPr>
        <w:t xml:space="preserve">. Consequently, events such as THREAT 2026 have broadened the industry's focus to encompass supply chain vulnerabilities and systemic risks, though they notably lack a direct focus on physical security tools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This overarching emphasis on digital threats implies that local suppliers of physical security cutting tools must navigate a market where enterprise security budgets are increasingly reallocated toward IT infrastructure, requiring physical tool manufacturers to clearly articulate the enduring necessity and integrated value of their products.</w:t>
      </w:r>
    </w:p>
    <w:p>
      <w:pPr>
        <w:spacing w:line="288" w:lineRule="auto"/>
        <w:ind w:firstLine="480" w:firstLineChars="200"/>
        <w:jc w:val="both"/>
      </w:pPr>
      <w:r>
        <w:rPr>
          <w:rFonts w:hint="eastAsia" w:ascii="微软雅黑" w:hAnsi="微软雅黑" w:eastAsia="微软雅黑"/>
          <w:noProof/>
          <w:sz w:val="24"/>
        </w:rPr>
        <w:t xml:space="preserve">Within this challenging environment, the Market Share of Leading South African Security Cutting Tool Suppliers Table provides a critical framework for analyzing how local entities are adapting. An analysis of local suppliers' market strategies reveals a strong emphasis on localization and supply chain resilience. With international logistics costs fluctuating and the South African air freight market projected to grow from USD 2.4 billion in 2025 to USD 3.7 billion by 2032, local suppliers are increasingly leveraging domestic manufacturing capabilities to offset high importation costs and mitigate supply chain disruptions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By positioning themselves as reliable, locally sourced alternatives to international brands, these suppliers appeal to government and corporate procurement policies that favor domestic economic empowerment and localized supply chains. Furthermore, these strategies often involve targeting flourishing sectors; for example, the agricultural sector, which saw an 11 percent increase in exports reaching USD 3.7 billion in the first quarter of 2026, represents a substantial market for heavy-duty fencing and perimeter security cutting tools </w:t>
      </w:r>
      <w:r>
        <w:rPr>
          <w:rFonts w:hint="eastAsia" w:ascii="微软雅黑" w:hAnsi="微软雅黑" w:eastAsia="微软雅黑"/>
          <w:noProof/>
          <w:sz w:val="24"/>
          <w:vertAlign w:val="superscript"/>
        </w:rPr>
        <w:t>[1]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The overview of security cutting tool product offerings demonstrates a commitment to durability, precision, and application-specific engineering. Leading South African suppliers have curated portfolios that range from standard tactical bolt cutters and wire snips used by rapid response security teams, to heavy-duty hydraulic cutting equipment utilized in mining and emergency rescue operations. To remain competitive, local manufacturers are increasingly focusing on the metallurgical quality of their edges, utilizing advanced hardened steel alloys capable of breaching high-tensile security barriers without structural failure. While the broader market data currently lacks granular specifics on individual market share dominance among these physical tool providers, the product strategies clearly indicate a bifurcation: high-volume, cost-effective hand tools for standard commercial security applications, and low-volume, high-margin specialized equipment designed for extreme industrial or tactical environments. </w:t>
      </w:r>
    </w:p>
    <w:p>
      <w:pPr>
        <w:spacing w:line="288" w:lineRule="auto"/>
        <w:ind w:firstLine="480" w:firstLineChars="200"/>
        <w:jc w:val="both"/>
      </w:pPr>
      <w:r>
        <w:rPr>
          <w:rFonts w:hint="eastAsia" w:ascii="微软雅黑" w:hAnsi="微软雅黑" w:eastAsia="微软雅黑"/>
          <w:noProof/>
          <w:sz w:val="24"/>
        </w:rPr>
        <w:t xml:space="preserve">An evaluation of pricing trends and structures further elucidates the competitive dynamics at play. Local suppliers must balance the rising costs of raw materials and manufacturing against the purchasing power of their primary clientele. Pricing structures in the South African market are highly tiered. Entry-level physical security cutting tools compete fiercely on price, often facing pressure from cheap international imports. To counter this, leading local suppliers emphasize total cost of ownership, offering warranties, local repair services, and replacement parts, which international competitors frequently fail to provide efficiently. Mid-tier to premium pricing strategies are reserved for specialized tactical and industrial cutting tools, where performance reliability is a life-safety requirement. In these brackets, pricing is less elastic, and suppliers maintain margins through specialized engineering and direct-to-enterprise sales channels. Furthermore, broader supply chain vulnerabilities and systemic risks have necessitated more dynamic pricing models, allowing suppliers to adjust to localized economic pressures and fluctuating logistical costs </w:t>
      </w:r>
      <w:r>
        <w:rPr>
          <w:rFonts w:hint="eastAsia" w:ascii="微软雅黑" w:hAnsi="微软雅黑" w:eastAsia="微软雅黑"/>
          <w:noProof/>
          <w:sz w:val="24"/>
          <w:vertAlign w:val="superscript"/>
        </w:rPr>
        <w:t>[5]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while the prevailing security narrative in South Africa as of July 2026 is undeniably skewed toward addressing the severe rise in cyber vulnerabilities, the foundational requirement for physical security cutting tools remains entrenched in the country's growing industrial and commercial sectors. Leading local suppliers continue to carve out their market share by aligning their market strategies with broader localization efforts, refining their product offerings to meet rigorous industrial standards, and structuring their pricing to offer long-term value over imported alternatives. As economic conditions and competitive dynamics evolve, these suppliers will need to continuously adapt to both physical supply chain realities and the shifting budgetary priorities of modern security enterprises.</w:t>
      </w:r>
    </w:p>
    <w:p>
      <w:pPr>
        <w:spacing w:line="360" w:lineRule="auto"/>
        <w:ind/>
      </w:pPr>
      <w:r>
        <w:rPr>
          <w:rFonts w:hint="eastAsia"/>
          <w:b/>
          <w:noProof/>
          <w:sz w:val="22"/>
        </w:rPr>
        <w:t xml:space="preserve">Market Share of Leading South African Security Cutting Tool Suppliers Table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Dimension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Strategies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Analysis of local suppliers' market strategies in South Africa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Product Offerings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Overview of security cutting tool product offerings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Pricing Structures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Evaluation of pricing trends and structures</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International Competitors in Rescue and Security Equipment</w:t>
      </w:r>
    </w:p>
    <w:p>
      <w:pPr>
        <w:spacing w:line="288" w:lineRule="auto"/>
        <w:ind w:firstLine="480" w:firstLineChars="200"/>
        <w:jc w:val="both"/>
      </w:pPr>
      <w:r>
        <w:rPr>
          <w:rFonts w:hint="eastAsia" w:ascii="微软雅黑" w:hAnsi="微软雅黑" w:eastAsia="微软雅黑"/>
          <w:noProof/>
          <w:sz w:val="24"/>
        </w:rPr>
        <w:t xml:space="preserve">As of July 2026, the competitive landscape for international players in the rescue and security equipment sector is characterized by rapid technological innovation, shifting geopolitical and environmental dynamics, and an increasingly interconnected global market. An analysis of the geographic presence of major international competitors reveals that these entities operate on a truly global scale, leveraging comprehensive distribution networks to meet rising international demand. Their unique selling points are firmly rooted in the specialized rescue and security equipment sector, where performance, reliability, and advanced technological integration serve as the primary differentiators for securing market share. For Aiguille Tools &amp; Edges, understanding the strategic positioning, technological advancements, and market focus of these international competitors is essential for navigating the complex global landscape.</w:t>
      </w:r>
    </w:p>
    <w:p>
      <w:pPr>
        <w:spacing w:line="288" w:lineRule="auto"/>
        <w:ind w:firstLine="480" w:firstLineChars="200"/>
        <w:jc w:val="both"/>
      </w:pPr>
      <w:r>
        <w:rPr>
          <w:rFonts w:hint="eastAsia" w:ascii="微软雅黑" w:hAnsi="微软雅黑" w:eastAsia="微软雅黑"/>
          <w:noProof/>
          <w:sz w:val="24"/>
        </w:rPr>
        <w:t xml:space="preserve">The global Search and Rescue (SAR) equipment market represents a critical segment of this industry, characterized by substantial financial growth and evolving operational requirements. Recent market reports project that the SAR equipment market will grow from 139.25 billion USD in 2026 to 179.94 billion USD by 2034, expanding at a compound annual growth rate of 3.26 percent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This sustained growth is primarily attributed to the increasing frequency of natural disasters, the persistent threat of terrorism, and ongoing global conflicts, all of which drive an urgent demand for highly sophisticated navigation, communication, and protective systems </w:t>
      </w:r>
      <w:r>
        <w:rPr>
          <w:rFonts w:hint="eastAsia" w:ascii="微软雅黑" w:hAnsi="微软雅黑" w:eastAsia="微软雅黑"/>
          <w:noProof/>
          <w:sz w:val="24"/>
          <w:vertAlign w:val="superscript"/>
        </w:rPr>
        <w:t>[15]</w:t>
      </w:r>
      <w:r>
        <w:rPr>
          <w:rFonts w:hint="eastAsia" w:ascii="微软雅黑" w:hAnsi="微软雅黑" w:eastAsia="微软雅黑"/>
          <w:noProof/>
          <w:sz w:val="24"/>
        </w:rPr>
        <w:t xml:space="preserve">. While historical data, such as the 2020 global SAR equipment market report, underscored the foundational demand for advanced detection and communication tools in disaster-stricken regions, modern competitors are now required to deliver highly integrated and resilient solutions to meet contemporary challenges </w:t>
      </w:r>
      <w:r>
        <w:rPr>
          <w:rFonts w:hint="eastAsia" w:ascii="微软雅黑" w:hAnsi="微软雅黑" w:eastAsia="微软雅黑"/>
          <w:noProof/>
          <w:sz w:val="24"/>
          <w:vertAlign w:val="superscript"/>
        </w:rPr>
        <w:t>[13]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the realm of rescue equipment, several key players and organizations have demonstrated notable advancements and operational excellence. For instance, the 11 served as a prominent platform for showcasing technological advancements in the field, specifically highlighting Holmatro's Pentheon tools deployed in simulated, high-stress rescue scenarios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Such events underscore the industry's commitment to continuous product refinement and the importance of practical, scenario-based equipment validation </w:t>
      </w:r>
      <w:r>
        <w:rPr>
          <w:rFonts w:hint="eastAsia" w:ascii="微软雅黑" w:hAnsi="微软雅黑" w:eastAsia="微软雅黑"/>
          <w:noProof/>
          <w:sz w:val="24"/>
          <w:vertAlign w:val="superscript"/>
        </w:rPr>
        <w:t>[11]</w:t>
      </w:r>
      <w:r>
        <w:rPr>
          <w:rFonts w:hint="eastAsia" w:ascii="微软雅黑" w:hAnsi="微软雅黑" w:eastAsia="微软雅黑"/>
          <w:noProof/>
          <w:sz w:val="24"/>
        </w:rPr>
        <w:t xml:space="preserve">. Furthermore, industry conferences such as the IRECA 2026 Conference have recognized the operational prowess of specific entities, celebrating competition champions like Triangle Rescue and Chevron Phillips Chemicals Cedar Bayou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Although these events focus heavily on past accomplishments and practical applications rather than exhaustive commercial market analysis, they highlight the rigorous standards and competitive benchmarks that international manufacturers must meet </w:t>
      </w:r>
      <w:r>
        <w:rPr>
          <w:rFonts w:hint="eastAsia" w:ascii="微软雅黑" w:hAnsi="微软雅黑" w:eastAsia="微软雅黑"/>
          <w:noProof/>
          <w:sz w:val="24"/>
          <w:vertAlign w:val="superscript"/>
        </w:rPr>
        <w:t>[12]</w:t>
      </w:r>
      <w:r>
        <w:rPr>
          <w:rFonts w:hint="eastAsia" w:ascii="微软雅黑" w:hAnsi="微软雅黑" w:eastAsia="微软雅黑"/>
          <w:noProof/>
          <w:sz w:val="24"/>
        </w:rPr>
        <w:t xml:space="preserve">. Additionally, the broader operational context for these tools is shaped by global humanitarian crises, as outlined in the International Rescue Committee's 2026 Emergency Watchlist, which indirectly dictates the urgent need for reliable rescue infrastructure globally </w:t>
      </w:r>
      <w:r>
        <w:rPr>
          <w:rFonts w:hint="eastAsia" w:ascii="微软雅黑" w:hAnsi="微软雅黑" w:eastAsia="微软雅黑"/>
          <w:noProof/>
          <w:sz w:val="24"/>
          <w:vertAlign w:val="superscript"/>
        </w:rPr>
        <w:t>[14]</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Parallel to the rescue sector, the security equipment market is experiencing significant transformation driven by the integration of digital technologies and AI. The physical security market, which forms the backbone of global infrastructure protection, was valued at 158.1 billion USD in 2025 and is projected to experience steady growth, reaching 169.1 billion USD by 2026 </w:t>
      </w:r>
      <w:r>
        <w:rPr>
          <w:rFonts w:hint="eastAsia" w:ascii="微软雅黑" w:hAnsi="微软雅黑" w:eastAsia="微软雅黑"/>
          <w:noProof/>
          <w:sz w:val="24"/>
          <w:vertAlign w:val="superscript"/>
        </w:rPr>
        <w:t>[18]</w:t>
      </w:r>
      <w:r>
        <w:rPr>
          <w:rFonts w:hint="eastAsia" w:ascii="微软雅黑" w:hAnsi="微软雅黑" w:eastAsia="微软雅黑"/>
          <w:noProof/>
          <w:sz w:val="24"/>
        </w:rPr>
        <w:t xml:space="preserve">. This expansion is fueled by robust demand across residential, commercial, and industrial sectors </w:t>
      </w:r>
      <w:r>
        <w:rPr>
          <w:rFonts w:hint="eastAsia" w:ascii="微软雅黑" w:hAnsi="微软雅黑" w:eastAsia="微软雅黑"/>
          <w:noProof/>
          <w:sz w:val="24"/>
          <w:vertAlign w:val="superscript"/>
        </w:rPr>
        <w:t>[18]</w:t>
      </w:r>
      <w:r>
        <w:rPr>
          <w:rFonts w:hint="eastAsia" w:ascii="微软雅黑" w:hAnsi="微软雅黑" w:eastAsia="微软雅黑"/>
          <w:noProof/>
          <w:sz w:val="24"/>
        </w:rPr>
        <w:t xml:space="preserve">. Concurrently, the electronic security market, which encompasses critical systems such as video surveillance, access control, and intrusion detection, was forecasted to reach 77.7 billion USD in 2026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The drivers for this electronic segment include rapid global urbanization, the proliferation of smart home initiatives, and heightened security concerns across international borders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Technological innovation remains the foremost competitive advantage for international security equipment providers. There is a pronounced industry shift toward cloud-based surveillance systems and artificial intelligence-powered solutions, which have become indispensable components of modern security architectures </w:t>
      </w:r>
      <w:r>
        <w:rPr>
          <w:rFonts w:hint="eastAsia" w:ascii="微软雅黑" w:hAnsi="微软雅黑" w:eastAsia="微软雅黑"/>
          <w:noProof/>
          <w:sz w:val="24"/>
          <w:vertAlign w:val="superscript"/>
        </w:rPr>
        <w:t>[16]</w:t>
      </w:r>
      <w:r>
        <w:rPr>
          <w:rFonts w:hint="eastAsia" w:ascii="微软雅黑" w:hAnsi="微软雅黑" w:eastAsia="微软雅黑"/>
          <w:noProof/>
          <w:sz w:val="24"/>
        </w:rPr>
        <w:t xml:space="preserve">. The adoption of hybrid-cloud deployments is particularly notable, as it emphasizes the market's transition toward flexible, scalable security solutions that allow for the centralized monitoring and seamless integration of previously disparate systems </w:t>
      </w:r>
      <w:r>
        <w:rPr>
          <w:rFonts w:hint="eastAsia" w:ascii="微软雅黑" w:hAnsi="微软雅黑" w:eastAsia="微软雅黑"/>
          <w:noProof/>
          <w:sz w:val="24"/>
          <w:vertAlign w:val="superscript"/>
        </w:rPr>
        <w:t>[17]</w:t>
      </w:r>
      <w:r>
        <w:rPr>
          <w:rFonts w:hint="eastAsia" w:ascii="微软雅黑" w:hAnsi="微软雅黑" w:eastAsia="微软雅黑"/>
          <w:noProof/>
          <w:sz w:val="24"/>
        </w:rPr>
        <w:t xml:space="preserve">. Furthermore, intelligent automation, propelled by advancements in machine learning, has drastically enhanced predictive analytics, threat detection accuracy, and automated response capabilities, thereby modernizing traditional access control and intrusion detection frameworks </w:t>
      </w:r>
      <w:r>
        <w:rPr>
          <w:rFonts w:hint="eastAsia" w:ascii="微软雅黑" w:hAnsi="微软雅黑" w:eastAsia="微软雅黑"/>
          <w:noProof/>
          <w:sz w:val="24"/>
          <w:vertAlign w:val="superscript"/>
        </w:rPr>
        <w:t>[17]</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Another defining trend among international competitors is the development and promotion of unified security ecosystems. Organizations and end-users are increasingly favoring comprehensive platforms that combine multiple security functions into a single, cohesive interface, thereby streamlining daily operations and significantly reducing systemic inefficiencies </w:t>
      </w:r>
      <w:r>
        <w:rPr>
          <w:rFonts w:hint="eastAsia" w:ascii="微软雅黑" w:hAnsi="微软雅黑" w:eastAsia="微软雅黑"/>
          <w:noProof/>
          <w:sz w:val="24"/>
          <w:vertAlign w:val="superscript"/>
        </w:rPr>
        <w:t>[19]</w:t>
      </w:r>
      <w:r>
        <w:rPr>
          <w:rFonts w:hint="eastAsia" w:ascii="微软雅黑" w:hAnsi="微软雅黑" w:eastAsia="微软雅黑"/>
          <w:noProof/>
          <w:sz w:val="24"/>
        </w:rPr>
        <w:t xml:space="preserve">. However, this rapid digitization has also elevated privacy concerns, particularly regarding pervasive video surveillance and data-driven security strategies </w:t>
      </w:r>
      <w:r>
        <w:rPr>
          <w:rFonts w:hint="eastAsia" w:ascii="微软雅黑" w:hAnsi="微软雅黑" w:eastAsia="微软雅黑"/>
          <w:noProof/>
          <w:sz w:val="24"/>
          <w:vertAlign w:val="superscript"/>
        </w:rPr>
        <w:t>[19]</w:t>
      </w:r>
      <w:r>
        <w:rPr>
          <w:rFonts w:hint="eastAsia" w:ascii="微软雅黑" w:hAnsi="微软雅黑" w:eastAsia="微软雅黑"/>
          <w:noProof/>
          <w:sz w:val="24"/>
        </w:rPr>
        <w:t xml:space="preserve">. In response, international competitors are heavily investing in the development of secure, highly compliant solutions that respect digital privacy and adhere to stringent global regulatory requirements </w:t>
      </w:r>
      <w:r>
        <w:rPr>
          <w:rFonts w:hint="eastAsia" w:ascii="微软雅黑" w:hAnsi="微软雅黑" w:eastAsia="微软雅黑"/>
          <w:noProof/>
          <w:sz w:val="24"/>
          <w:vertAlign w:val="superscript"/>
        </w:rPr>
        <w:t>[20]</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In conclusion, the international competitors in the rescue and security equipment sector maintain a formidable global presence, driven by a commitment to technological superiority and scalable solutions. While there remains a gap in highly granular, real-time competitive intelligence regarding specific corporate strategies in 2026, the overarching market dynamics are clear. Competitors are prioritizing equipment that is not only robust and reliable for extreme rescue operations but also future-proof, AI-integrated, and capable of supporting complex, interconnected security networks. For Aiguille Tools &amp; Edges, competing effectively on the international stage will require a strategic alignment with these macro-trends, ensuring that product offerings embody the flexibility, intelligence, and compliance demanded by the modern global market.</w:t>
      </w:r>
    </w:p>
    <w:p>
      <w:pPr>
        <w:spacing w:line="360" w:lineRule="auto"/>
        <w:ind/>
      </w:pPr>
      <w:r>
        <w:rPr>
          <w:rFonts w:hint="eastAsia"/>
          <w:b/>
          <w:noProof/>
          <w:sz w:val="22"/>
        </w:rPr>
        <w:t xml:space="preserve">Geographic Presence of Major International Competitors in Rescue and Security Equipment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Player Category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Geographic Presence</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Unique Selling Points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International Competitors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Global Market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Rescue and security equipment sector</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Product Focus and Client Segmentation in the Security Sector</w:t>
      </w:r>
    </w:p>
    <w:p>
      <w:pPr>
        <w:spacing w:line="288" w:lineRule="auto"/>
        <w:ind w:firstLine="480" w:firstLineChars="200"/>
        <w:jc w:val="both"/>
      </w:pPr>
      <w:r>
        <w:rPr>
          <w:rFonts w:hint="eastAsia" w:ascii="微软雅黑" w:hAnsi="微软雅黑" w:eastAsia="微软雅黑"/>
          <w:noProof/>
          <w:sz w:val="24"/>
        </w:rPr>
        <w:t xml:space="preserve">As of July 2026, the cybersecurity landscape demonstrates significant transformations, characterized by evolving product focuses and shifting client segmentation strategies designed to address an increasingly complex threat environment. The broader African cybersecurity market is currently experiencing a period of rapid expansion, driven by the continent's growing digital infrastructure and an escalating threat landscape. Forecasts indicate that the market across Africa will increase from USD 5.83 billion in 2026 to an estimated USD 31.07 billion by 2034, reflecting a robust Compound Annual Growth Rate of 20.43 percent </w:t>
      </w:r>
      <w:r>
        <w:rPr>
          <w:rFonts w:hint="eastAsia" w:ascii="微软雅黑" w:hAnsi="微软雅黑" w:eastAsia="微软雅黑"/>
          <w:noProof/>
          <w:sz w:val="24"/>
          <w:vertAlign w:val="superscript"/>
        </w:rPr>
        <w:t>[22]</w:t>
      </w:r>
      <w:r>
        <w:rPr>
          <w:rFonts w:hint="eastAsia" w:ascii="微软雅黑" w:hAnsi="微软雅黑" w:eastAsia="微软雅黑"/>
          <w:noProof/>
          <w:sz w:val="24"/>
        </w:rPr>
        <w:t xml:space="preserve">. Despite this substantial continental growth, analyzing the specific product focus and client segmentation within localized markets, such as South Africa, requires navigating a landscape where broad trends often overshadow granular, region-specific data. </w:t>
      </w:r>
    </w:p>
    <w:p>
      <w:pPr>
        <w:spacing w:line="288" w:lineRule="auto"/>
        <w:ind w:firstLine="480" w:firstLineChars="200"/>
        <w:jc w:val="both"/>
      </w:pPr>
      <w:r>
        <w:rPr>
          <w:rFonts w:hint="eastAsia" w:ascii="微软雅黑" w:hAnsi="微软雅黑" w:eastAsia="微软雅黑"/>
          <w:noProof/>
          <w:sz w:val="24"/>
        </w:rPr>
        <w:t xml:space="preserve">In terms of product focus, a major paradigm shift has been observed in recent years, marked by a strategic departure from relying on narrowly focused, specialized security tools. Organizations are increasingly adopting integrated "best-of-breed suites" that offer comprehensive and unified defense solutions. This transition is fundamentally driven by the growing complexity of multi-dimensional cyber risks and the critical demand for streamlined operational approaches to enterprise defense. Integrated solutions are widely recognized as more efficient, significantly reducing the systemic fragmentation traditionally caused by deploying disparate niche tools, a priority that aligns with federal directives issued by the Cybersecurity and Infrastructure Security Agency in fiscal 2024 </w:t>
      </w:r>
      <w:r>
        <w:rPr>
          <w:rFonts w:hint="eastAsia" w:ascii="微软雅黑" w:hAnsi="微软雅黑" w:eastAsia="微软雅黑"/>
          <w:noProof/>
          <w:sz w:val="24"/>
          <w:vertAlign w:val="superscript"/>
        </w:rPr>
        <w:t>[21]</w:t>
      </w:r>
      <w:r>
        <w:rPr>
          <w:rFonts w:hint="eastAsia" w:ascii="微软雅黑" w:hAnsi="微软雅黑" w:eastAsia="微软雅黑"/>
          <w:noProof/>
          <w:sz w:val="24"/>
        </w:rPr>
        <w:t xml:space="preserve">. Within this integrated framework, network security remains a foundational product category, expected to hold 23.89 percent of the global market share in 2026, operating in tandem with the rapid growth and adoption of cloud application security frameworks . Global entities such as Fortinet underscore this trend by emphasizing integrated defenses that span across devices, applications, data centers, and network edges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Similarly, key industry players including IBM, HCLTech, and F5 Networks are leading the application security sector by delivering holistic web application protection platforms </w:t>
      </w:r>
      <w:r>
        <w:rPr>
          <w:rFonts w:hint="eastAsia" w:ascii="微软雅黑" w:hAnsi="微软雅黑" w:eastAsia="微软雅黑"/>
          <w:noProof/>
          <w:sz w:val="24"/>
          <w:vertAlign w:val="superscript"/>
        </w:rPr>
        <w:t>[25]</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Despite the overarching trend toward consolidation and multi-functional platforms, specialized product categories and niche markets continue to thrive by addressing highly advanced threat vectors. The rise of artificial intelligence has profoundly reshaped the security tools sector, particularly within Security Operations Centers. Advanced artificial intelligence integration has enabled more autonomous threat detection and response capabilities, fostering the development of highly specialized niche tools focused on complex anomaly detection and predictive defense mechanisms </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Earlier industry predictions regarding the necessity of specialized tools to combat advanced threats, such as those posed by agentic artificial intelligence and quantum computing, have catalyzed ongoing innovation in these niche segments </w:t>
      </w:r>
      <w:r>
        <w:rPr>
          <w:rFonts w:hint="eastAsia" w:ascii="微软雅黑" w:hAnsi="微软雅黑" w:eastAsia="微软雅黑"/>
          <w:noProof/>
          <w:sz w:val="24"/>
          <w:vertAlign w:val="superscript"/>
        </w:rPr>
        <w:t>[3]</w:t>
      </w:r>
      <w:r>
        <w:rPr>
          <w:rFonts w:hint="eastAsia" w:ascii="微软雅黑" w:hAnsi="微软雅黑" w:eastAsia="微软雅黑"/>
          <w:noProof/>
          <w:sz w:val="24"/>
          <w:vertAlign w:val="superscript"/>
        </w:rPr>
        <w:t>[24]</w:t>
      </w:r>
      <w:r>
        <w:rPr>
          <w:rFonts w:hint="eastAsia" w:ascii="微软雅黑" w:hAnsi="微软雅黑" w:eastAsia="微软雅黑"/>
          <w:noProof/>
          <w:sz w:val="24"/>
        </w:rPr>
        <w:t xml:space="preserve">. Furthermore, the expanding footprint of cloud-based environments and Internet of Things devices has necessitated targeted security interventions. Many modern security tools are now explicitly tailored to secure these decentralized environments through the implementation of rigorous zero-trust architectures and the utilization of real-time threat intelligence </w:t>
      </w:r>
      <w:r>
        <w:rPr>
          <w:rFonts w:hint="eastAsia" w:ascii="微软雅黑" w:hAnsi="微软雅黑" w:eastAsia="微软雅黑"/>
          <w:noProof/>
          <w:sz w:val="24"/>
          <w:vertAlign w:val="superscript"/>
        </w:rPr>
        <w:t>[21]</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Additional emerging niche areas include the convergence of physical and cybersecurity protocols, as well as the strategic push toward quantum-resistant encryption, both of which represent critical frontiers for specialized security product development </w:t>
      </w:r>
      <w:r>
        <w:rPr>
          <w:rFonts w:hint="eastAsia" w:ascii="微软雅黑" w:hAnsi="微软雅黑" w:eastAsia="微软雅黑"/>
          <w:noProof/>
          <w:sz w:val="24"/>
          <w:vertAlign w:val="superscript"/>
        </w:rPr>
        <w:t>[21]</w:t>
      </w:r>
      <w:r>
        <w:rPr>
          <w:rFonts w:hint="eastAsia" w:ascii="微软雅黑" w:hAnsi="微软雅黑" w:eastAsia="微软雅黑"/>
          <w:noProof/>
          <w:sz w:val="24"/>
        </w:rPr>
        <w:t>.</w:t>
      </w:r>
    </w:p>
    <w:p>
      <w:pPr>
        <w:spacing w:line="288" w:lineRule="auto"/>
        <w:ind w:firstLine="480" w:firstLineChars="200"/>
        <w:jc w:val="both"/>
      </w:pPr>
      <w:r>
        <w:rPr>
          <w:rFonts w:hint="eastAsia" w:ascii="微软雅黑" w:hAnsi="微软雅黑" w:eastAsia="微软雅黑"/>
          <w:noProof/>
          <w:sz w:val="24"/>
        </w:rPr>
        <w:t xml:space="preserve">When examining client segmentation, particularly within the South African security tools market, distinct adoption patterns emerge across different organizational demographics. Current market data reveals that the commercial sector constitutes the primary consumer base, representing a commanding 40.0 percent of the South African market. This significant commercial investment reflects the urgent imperative for private enterprises to safeguard their digital assets, intellectual property, and customer data against sophisticated cyber intrusions. In stark contrast, the government sector accounts for the lowest proportion of the market, holding merely a 15.0 percent share. This disparity in adoption rates highlights a potential vulnerability within public sector infrastructures, while simultaneously underscoring the aggressive prioritization of cybersecurity measures within the commercial domain. </w:t>
      </w:r>
    </w:p>
    <w:p>
      <w:pPr>
        <w:spacing w:line="288" w:lineRule="auto"/>
        <w:ind w:firstLine="480" w:firstLineChars="200"/>
        <w:jc w:val="both"/>
      </w:pPr>
      <w:r>
        <w:rPr>
          <w:rFonts w:hint="eastAsia" w:ascii="微软雅黑" w:hAnsi="微软雅黑" w:eastAsia="微软雅黑"/>
          <w:noProof/>
          <w:sz w:val="24"/>
        </w:rPr>
        <w:t xml:space="preserve">The necessity for robust security adoption across all client segments in South Africa is further emphasized by the escalating risks of cybercrime. Recent analyses, informed by the INTERPOL Africa Cyberthreat Assessment Report 2025, stress the critical need for enterprises to proactively prepare for increased digital threats </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However, a notable challenge in the current market intelligence landscape is the translation of global technological advancements into localized, actionable segmentation strategies. While global platforms offer holistic protection, there is a distinct lack of detailed information regarding how these technologies are specifically adapted for client segmentation within South Africa's unique market context </w:t>
      </w:r>
      <w:r>
        <w:rPr>
          <w:rFonts w:hint="eastAsia" w:ascii="微软雅黑" w:hAnsi="微软雅黑" w:eastAsia="微软雅黑"/>
          <w:noProof/>
          <w:sz w:val="24"/>
          <w:vertAlign w:val="superscript"/>
        </w:rPr>
        <w:t>[25]</w:t>
      </w:r>
      <w:r>
        <w:rPr>
          <w:rFonts w:hint="eastAsia" w:ascii="微软雅黑" w:hAnsi="微软雅黑" w:eastAsia="微软雅黑"/>
          <w:noProof/>
          <w:sz w:val="24"/>
        </w:rPr>
        <w:t xml:space="preserve">. Most available resources provide continental perspectives without delving into the precise segmentation mechanisms or tailored deployment strategies required by South African businesses. </w:t>
      </w:r>
    </w:p>
    <w:p>
      <w:pPr>
        <w:spacing w:line="288" w:lineRule="auto"/>
        <w:ind w:firstLine="480" w:firstLineChars="200"/>
        <w:jc w:val="both"/>
      </w:pPr>
      <w:r>
        <w:rPr>
          <w:rFonts w:hint="eastAsia" w:ascii="微软雅黑" w:hAnsi="微软雅黑" w:eastAsia="微软雅黑"/>
          <w:noProof/>
          <w:sz w:val="24"/>
        </w:rPr>
        <w:t xml:space="preserve">Furthermore, the temporal limitations of existing market reports highlight a critical gap in understanding the immediate realities of security tool adoption. The rapid pace at which the cybersecurity market evolves implies that new, highly specialized tools may have emerged in recent months that are not yet fully captured by previously published analyses </w:t>
      </w:r>
      <w:r>
        <w:rPr>
          <w:rFonts w:hint="eastAsia" w:ascii="微软雅黑" w:hAnsi="微软雅黑" w:eastAsia="微软雅黑"/>
          <w:noProof/>
          <w:sz w:val="24"/>
          <w:vertAlign w:val="superscript"/>
        </w:rPr>
        <w:t>[22]</w:t>
      </w:r>
      <w:r>
        <w:rPr>
          <w:rFonts w:hint="eastAsia" w:ascii="微软雅黑" w:hAnsi="微软雅黑" w:eastAsia="微软雅黑"/>
          <w:noProof/>
          <w:sz w:val="24"/>
          <w:vertAlign w:val="superscript"/>
        </w:rPr>
        <w:t>[3]</w:t>
      </w:r>
      <w:r>
        <w:rPr>
          <w:rFonts w:hint="eastAsia" w:ascii="微软雅黑" w:hAnsi="微软雅黑" w:eastAsia="微软雅黑"/>
          <w:noProof/>
          <w:sz w:val="24"/>
        </w:rPr>
        <w:t xml:space="preserve">. Until more updated, localized data becomes available, the current understanding of precise client segmentation tools tailored to the South African market remains an incomplete reflection of the operational landscape. Nevertheless, the overarching industry trajectory is clear: security tool providers are heavily focused on delivering integrated, artificial intelligence-driven platforms capable of securing complex, decentralized networks. For commercial entities dominating the South African market share, the strategic focus continues to revolve around adopting these comprehensive suites while selectively integrating niche tools to address specific vulnerabilities in cloud applications, Internet of Things ecosystems, and predictive threat modeling.</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3"/>
              </a:graphicData>
            </a:graphic>
          </wp:inline>
        </w:drawing>
      </w:r>
    </w:p>
    <w:p>
      <w:pPr>
        <w:pStyle w:val="Heading1"/>
        <w:spacing w:line="288" w:lineRule="auto"/>
        <w:ind/>
        <w:jc w:val="left"/>
      </w:pPr>
      <w:r>
        <w:rPr>
          <w:rFonts w:hint="eastAsia" w:ascii="微软雅黑" w:hAnsi="微软雅黑" w:eastAsia="微软雅黑"/>
          <w:b/>
          <w:noProof/>
          <w:sz w:val="40"/>
        </w:rPr>
        <w:t xml:space="preserve">Mining Ground Engaging Tools &amp; Edges Market Landscape</w:t>
      </w:r>
    </w:p>
    <w:p>
      <w:pPr>
        <w:pStyle w:val="Heading2"/>
        <w:spacing w:line="288" w:lineRule="auto"/>
        <w:ind/>
        <w:jc w:val="left"/>
      </w:pPr>
      <w:r>
        <w:rPr>
          <w:rFonts w:hint="eastAsia" w:ascii="微软雅黑" w:hAnsi="微软雅黑" w:eastAsia="微软雅黑"/>
          <w:b/>
          <w:noProof/>
          <w:sz w:val="36"/>
        </w:rPr>
        <w:t xml:space="preserve">Top Suppliers of GET, Bucket Teeth, and Wear Components in South Africa</w:t>
      </w:r>
    </w:p>
    <w:p>
      <w:pPr>
        <w:spacing w:line="288" w:lineRule="auto"/>
        <w:ind w:firstLine="480" w:firstLineChars="200"/>
        <w:jc w:val="both"/>
      </w:pPr>
      <w:r>
        <w:rPr>
          <w:rFonts w:hint="eastAsia" w:ascii="微软雅黑" w:hAnsi="微软雅黑" w:eastAsia="微软雅黑"/>
          <w:noProof/>
          <w:sz w:val="24"/>
        </w:rPr>
        <w:t xml:space="preserve">The landscape of the South African market for ground engaging tools, bucket teeth, and wear components is characterized by a robust network of domestic and international suppliers catering to the intensive demands of the regional mining and earthmoving sectors. As of July 2026, the competitive environment is shaped by both global manufacturing trends and localized distribution strategies. Global market projections forecast continued growth for the ground engaging tools sector, with the worldwide market size estimated to expand significantly through 2035, driven primarily by the increasing demand for heavy machinery components across various industrial applications </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While these macroeconomic projections reflect positive global trends, understanding the specific dynamics of the South African market requires a nuanced examination of the leading suppliers, their product portfolios, and their strategies for market dominance. </w:t>
      </w:r>
    </w:p>
    <w:p>
      <w:pPr>
        <w:spacing w:line="288" w:lineRule="auto"/>
        <w:ind w:firstLine="480" w:firstLineChars="200"/>
        <w:jc w:val="both"/>
      </w:pPr>
      <w:r>
        <w:rPr>
          <w:rFonts w:hint="eastAsia" w:ascii="微软雅黑" w:hAnsi="微软雅黑" w:eastAsia="微软雅黑"/>
          <w:noProof/>
          <w:sz w:val="24"/>
        </w:rPr>
        <w:t xml:space="preserve">A comprehensive analysis of the Market Share of Top South African GET Suppliers Table illustrates the strategic positioning of key industry players. At the tier of leading suppliers, the primary products supplied encompass a broad spectrum of ground engaging tools, specialized bucket teeth, and heavy-duty wear components. The overarching market focus for these entities is achieving and maintaining South African market dominance through strategic inventory management, brand compatibility, and localized distribution networks. However, assessing the precise market share and real-time operational performance of these suppliers often necessitates direct industry engagement, as publicly available regional data can sometimes lag behind the rapid developments within the sector.</w:t>
      </w:r>
    </w:p>
    <w:p>
      <w:pPr>
        <w:spacing w:line="288" w:lineRule="auto"/>
        <w:ind w:firstLine="480" w:firstLineChars="200"/>
        <w:jc w:val="both"/>
      </w:pPr>
      <w:r>
        <w:rPr>
          <w:rFonts w:hint="eastAsia" w:ascii="微软雅黑" w:hAnsi="微软雅黑" w:eastAsia="微软雅黑"/>
          <w:noProof/>
          <w:sz w:val="24"/>
        </w:rPr>
        <w:t xml:space="preserve">In the broader ground engaging tools and wear components segment, several prominent suppliers have established a significant footprint in South Africa. ITR Africa operates as a crucial player, providing a wide array of aftermarket wear parts that are highly compatible with major original equipment manufacturer brands such as Caterpillar, Komatsu, and Volvo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 availability of reliable aftermarket alternatives is a critical competitive advantage in the South African mining sector, where operational cost optimization is a persistent priority. Similarly, Costex contributes to the market inventory by offering various ground engaging tool components, including specialized excavator tips and buckets, which are essential for maintaining the continuous operation of heavy earthmoving machinery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Furthermore, ESP Africa has historically emphasized the provision of high-performance ground engaging tools specifically engineered for earthmoving machines and aimed directly at the South African market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The collective presence of these suppliers underscores a highly competitive environment where the technological quality, durability, and immediate availability of wear components are paramount to securing market share.</w:t>
      </w:r>
    </w:p>
    <w:p>
      <w:pPr>
        <w:spacing w:line="288" w:lineRule="auto"/>
        <w:ind w:firstLine="480" w:firstLineChars="200"/>
        <w:jc w:val="both"/>
      </w:pPr>
      <w:r>
        <w:rPr>
          <w:rFonts w:hint="eastAsia" w:ascii="微软雅黑" w:hAnsi="微软雅黑" w:eastAsia="微软雅黑"/>
          <w:noProof/>
          <w:sz w:val="24"/>
        </w:rPr>
        <w:t xml:space="preserve">The specialized segment of bucket teeth represents a particularly critical area of competition within the South African ground engaging tools market. Tractor &amp; Grader Supplies emerges as a significant provider of wear-resistant bucket teeth, consistently emphasizing the quality, durability, and reliability of their metallurgical formulations </w:t>
      </w:r>
      <w:r>
        <w:rPr>
          <w:rFonts w:hint="eastAsia" w:ascii="微软雅黑" w:hAnsi="微软雅黑" w:eastAsia="微软雅黑"/>
          <w:noProof/>
          <w:sz w:val="24"/>
          <w:vertAlign w:val="superscript"/>
        </w:rPr>
        <w:t>[31]</w:t>
      </w:r>
      <w:r>
        <w:rPr>
          <w:rFonts w:hint="eastAsia" w:ascii="微软雅黑" w:hAnsi="微软雅黑" w:eastAsia="微软雅黑"/>
          <w:noProof/>
          <w:sz w:val="24"/>
        </w:rPr>
        <w:t xml:space="preserve">. For operators in the abrasive South African mining environments, the wear resistance of bucket teeth directly correlates with machine uptime and overall productivity. TVH South Africa presents a highly structured distribution model, explicitly listing bucket teeth tailored for small earth-moving equipment and backhoe loaders </w:t>
      </w:r>
      <w:r>
        <w:rPr>
          <w:rFonts w:hint="eastAsia" w:ascii="微软雅黑" w:hAnsi="微软雅黑" w:eastAsia="微软雅黑"/>
          <w:noProof/>
          <w:sz w:val="24"/>
          <w:vertAlign w:val="superscript"/>
        </w:rPr>
        <w:t>[32]</w:t>
      </w:r>
      <w:r>
        <w:rPr>
          <w:rFonts w:hint="eastAsia" w:ascii="微软雅黑" w:hAnsi="微软雅黑" w:eastAsia="微软雅黑"/>
          <w:noProof/>
          <w:sz w:val="24"/>
        </w:rPr>
        <w:t xml:space="preserve">. Their competitive edge is bolstered by maintaining available stock directly within their South African warehouses, covering highly demanded brands such as Caterpillar, Komatsu, Volvo, and Case-New Holland . This localized warehousing strategy significantly reduces lead times, a critical factor for contractors requiring immediate replacement of wear components to prevent costly operational downtime.</w:t>
      </w:r>
    </w:p>
    <w:p>
      <w:pPr>
        <w:spacing w:line="288" w:lineRule="auto"/>
        <w:ind w:firstLine="480" w:firstLineChars="200"/>
        <w:jc w:val="both"/>
      </w:pPr>
      <w:r>
        <w:rPr>
          <w:rFonts w:hint="eastAsia" w:ascii="微软雅黑" w:hAnsi="微软雅黑" w:eastAsia="微软雅黑"/>
          <w:noProof/>
          <w:sz w:val="24"/>
        </w:rPr>
        <w:t xml:space="preserve">In addition to broad-spectrum suppliers, the market features specialists and aggregation platforms that facilitate the procurement of bucket teeth and related wear parts. TOSOG highlights its strategic specialization in Komatsu bucket teeth, focusing on competitive pricing structures—particularly advantageous for bulk orders—and ensuring quick delivery logistics across the South African territory </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This targeted approach allows TOSOG to capture a specific segment of the market reliant on Komatsu machinery. Concurrently, digital aggregation platforms play an increasingly vital role in the market landscape. MarketBook South Africa serves as a prominent marketplace listing various machinery components, including Caterpillar teeth . For instance, detailed entries such as the 2026 Caterpillar 304 New Teeth for Sale, which featured 91 related listings at the time of access, demonstrate the platform's relevance as a comprehensive showcase for regional suppliers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However, the operational model of such platforms requires prospective buyers to contact vendors directly to verify real-time pricing and inventory availability, reinforcing the necessity of active buyer-supplier communication in this market .</w:t>
      </w:r>
    </w:p>
    <w:p>
      <w:pPr>
        <w:spacing w:line="288" w:lineRule="auto"/>
        <w:ind w:firstLine="480" w:firstLineChars="200"/>
        <w:jc w:val="both"/>
      </w:pPr>
      <w:r>
        <w:rPr>
          <w:rFonts w:hint="eastAsia" w:ascii="微软雅黑" w:hAnsi="微软雅黑" w:eastAsia="微软雅黑"/>
          <w:noProof/>
          <w:sz w:val="24"/>
        </w:rPr>
        <w:t xml:space="preserve">While the aforementioned suppliers collectively demonstrate a robust and diversified supply chain for ground engaging tools and bucket teeth in South Africa, industry analysts must approach market data with appropriate diligence. The availability of components from brands like LiuGong, SEM Loader, XCMG, and SDLG has been noted in broader regional contexts, though historical data from as far back as December 2016 regarding regions like Australia lacks direct relevance for current South African market intelligence </w:t>
      </w:r>
      <w:r>
        <w:rPr>
          <w:rFonts w:hint="eastAsia" w:ascii="微软雅黑" w:hAnsi="微软雅黑" w:eastAsia="微软雅黑"/>
          <w:noProof/>
          <w:sz w:val="24"/>
          <w:vertAlign w:val="superscript"/>
        </w:rPr>
        <w:t>[34]</w:t>
      </w:r>
      <w:r>
        <w:rPr>
          <w:rFonts w:hint="eastAsia" w:ascii="微软雅黑" w:hAnsi="微软雅黑" w:eastAsia="微软雅黑"/>
          <w:noProof/>
          <w:sz w:val="24"/>
        </w:rPr>
        <w:t xml:space="preserve">. Therefore, conclusions regarding the absolute dominance of any single supplier must be tempered by the understanding that the market is highly dynamic. Suppliers such as Tractor &amp; Grader Supplies and TOSOG differentiate themselves through specific attributes like enhanced wear resistance, competitive bulk rates, and efficient delivery mechanisms, whereas entities like TVH South Africa leverage a broad portfolio of reputable brands to offer diversified options to procurement managers </w:t>
      </w:r>
      <w:r>
        <w:rPr>
          <w:rFonts w:hint="eastAsia" w:ascii="微软雅黑" w:hAnsi="微软雅黑" w:eastAsia="微软雅黑"/>
          <w:noProof/>
          <w:sz w:val="24"/>
          <w:vertAlign w:val="superscript"/>
        </w:rPr>
        <w:t>[31]</w:t>
      </w:r>
      <w:r>
        <w:rPr>
          <w:rFonts w:hint="eastAsia" w:ascii="微软雅黑" w:hAnsi="微软雅黑" w:eastAsia="微软雅黑"/>
          <w:noProof/>
          <w:sz w:val="24"/>
          <w:vertAlign w:val="superscript"/>
        </w:rPr>
        <w:t>[32]</w:t>
      </w:r>
      <w:r>
        <w:rPr>
          <w:rFonts w:hint="eastAsia" w:ascii="微软雅黑" w:hAnsi="微软雅黑" w:eastAsia="微软雅黑"/>
          <w:noProof/>
          <w:sz w:val="24"/>
          <w:vertAlign w:val="superscript"/>
        </w:rPr>
        <w:t>[33]</w:t>
      </w:r>
      <w:r>
        <w:rPr>
          <w:rFonts w:hint="eastAsia" w:ascii="微软雅黑" w:hAnsi="微软雅黑" w:eastAsia="微软雅黑"/>
          <w:noProof/>
          <w:sz w:val="24"/>
        </w:rPr>
        <w:t xml:space="preserve">. Meanwhile, platforms like MarketBook aggregate these offerings, creating a transparent, albeit decentralized, marketplace </w:t>
      </w:r>
      <w:r>
        <w:rPr>
          <w:rFonts w:hint="eastAsia" w:ascii="微软雅黑" w:hAnsi="微软雅黑" w:eastAsia="微软雅黑"/>
          <w:noProof/>
          <w:sz w:val="24"/>
          <w:vertAlign w:val="superscript"/>
        </w:rPr>
        <w:t>[35]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Ultimately, the South African market for ground engaging tools, bucket teeth, and wear components is supported by a sophisticated network of local distributors, aftermarket specialists, and digital marketplaces. The pursuit of market dominance in this sector is heavily reliant on a supplier's ability to balance competitive pricing with the rapid, localized delivery of high-quality, wear-resistant parts compatible with the world's leading machinery brands. To fully navigate this landscape, procurement professionals and market analysts must continuously validate product availability and supplier capabilities through direct engagement, ensuring that their operational strategies remain aligned with the most current technological and logistical developments in the South African heavy machinery sector.</w:t>
      </w:r>
    </w:p>
    <w:p>
      <w:pPr>
        <w:spacing w:line="360" w:lineRule="auto"/>
        <w:ind/>
      </w:pPr>
      <w:r>
        <w:rPr>
          <w:rFonts w:hint="eastAsia"/>
          <w:b/>
          <w:noProof/>
          <w:sz w:val="22"/>
        </w:rPr>
        <w:t xml:space="preserve">Market Share of Top South African GET Suppliers Table</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Supplier Category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Products Supplied</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Market Focus</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Leading Suppliers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Ground Engaging Tools (GET), Bucket Teeth, Wear Components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South African Market Dominance</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OEM Compatibility and Distribution Models in Mining GET Supply</w:t>
      </w:r>
    </w:p>
    <w:p>
      <w:pPr>
        <w:spacing w:line="288" w:lineRule="auto"/>
        <w:ind w:firstLine="480" w:firstLineChars="200"/>
        <w:jc w:val="both"/>
      </w:pPr>
      <w:r>
        <w:rPr>
          <w:rFonts w:hint="eastAsia" w:ascii="微软雅黑" w:hAnsi="微软雅黑" w:eastAsia="微软雅黑"/>
          <w:noProof/>
          <w:sz w:val="24"/>
        </w:rPr>
        <w:t xml:space="preserve">The alignment of Ground Engaging Tools (GET) and edge products with original equipment manufacturer specifications represents a critical pillar in the modern mining supply chain, fundamentally driving supplier-OEM alignment. As of July 2026, the mining GET market landscape is characterized by a profound shift toward greater hardware interoperability, operational efficiency, and overall profitability, driven by rapid advancements in digital integration and high-performance components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In this highly competitive environment, suppliers must ensure that their GET offerings seamlessly integrate with a variety of heavy machinery platforms. OEMs in the mining sector have increasingly adopted sophisticated strategies that address evolving compatibility standards, preparing for a technologically integrated future marked by stringent sustainability efforts and proactive policy compliance . </w:t>
      </w:r>
    </w:p>
    <w:p>
      <w:pPr>
        <w:spacing w:line="288" w:lineRule="auto"/>
        <w:ind w:firstLine="480" w:firstLineChars="200"/>
        <w:jc w:val="both"/>
      </w:pPr>
      <w:r>
        <w:rPr>
          <w:rFonts w:hint="eastAsia" w:ascii="微软雅黑" w:hAnsi="微软雅黑" w:eastAsia="微软雅黑"/>
          <w:noProof/>
          <w:sz w:val="24"/>
        </w:rPr>
        <w:t xml:space="preserve">A specific manifestation of this compatibility evolution is the overarching trend toward digital interoperability and the convergence upon standardized solutions within the industry. These industry forecasts suggest that standardized frameworks allow for significantly smoother operations and robust multi-system integration across diverse OEM platforms </w:t>
      </w:r>
      <w:r>
        <w:rPr>
          <w:rFonts w:hint="eastAsia" w:ascii="微软雅黑" w:hAnsi="微软雅黑" w:eastAsia="微软雅黑"/>
          <w:noProof/>
          <w:sz w:val="24"/>
          <w:vertAlign w:val="superscript"/>
        </w:rPr>
        <w:t>[43]</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This movement directly aligns with current market needs for scalable platforms capable of synchronizing outputs and mechanical interfaces across various proprietary frameworks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Technological convergence directly implicates OEM strategies, prioritizing compatibility across hardware categories and reflecting an increasing adoption of integrated systems and digital innovation processes. However, suppliers and OEMs alike must continuously balance the development of bespoke proprietary systems with these emerging industry-wide synchronization pathways to maintain both competitive differentiation and broad market appeal. While compatibility advancements primarily cater to operational efficiency, the ability to directly source high-performing mining tools exemplifies how OEMs have successfully optimized customer access channels to industrial-scale technology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By delivering higher efficacy systems at highly competitive performance metrics, manufacturers ensure that their GET products meet the rigorous demands of modern extraction environments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Furthermore, historical and contemporary analyses highlight that policy and environmental, social, and governance (ESG) considerations continue to exert a profound influence on OEM compatibility strategies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Government interventions and strict environmental compliance mandates necessitate that GET products are not only physically compatible with OEM machinery but also align with broader operational sustainability goals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Synthesizing these technological and regulatory analyses reveals that OEM mining compatibility has become an essential focal point in a technologically advancing sector, requiring suppliers to maintain agile engineering practices to keep pace with major manufacturers and evolving hardware platforms.</w:t>
      </w:r>
    </w:p>
    <w:p>
      <w:pPr>
        <w:spacing w:line="288" w:lineRule="auto"/>
        <w:ind w:firstLine="480" w:firstLineChars="200"/>
        <w:jc w:val="both"/>
      </w:pPr>
      <w:r>
        <w:rPr>
          <w:rFonts w:hint="eastAsia" w:ascii="微软雅黑" w:hAnsi="微软雅黑" w:eastAsia="微软雅黑"/>
          <w:noProof/>
          <w:sz w:val="24"/>
        </w:rPr>
        <w:t xml:space="preserve">Transitioning from product engineering and compatibility to market delivery, the management of GET distribution networks and regional logistics forms the second vital component of the supply chain, with a key focus area on supply chain efficiency. The distribution models employed by GET suppliers dictate the speed, reliability, and cost-effectiveness with which critical tools reach active mining sites. In prominent regional markets such as South Africa, these distribution frameworks are currently navigating a complex landscape of operational advancements and regulatory recalibrations. The South African government, alongside other Southern African jurisdictions, has recently adopted strategic economic policy measures aimed at increasing national benefits from domestic mineral resources </w:t>
      </w:r>
      <w:r>
        <w:rPr>
          <w:rFonts w:hint="eastAsia" w:ascii="微软雅黑" w:hAnsi="微软雅黑" w:eastAsia="微软雅黑"/>
          <w:noProof/>
          <w:sz w:val="24"/>
          <w:vertAlign w:val="superscript"/>
        </w:rPr>
        <w:t>[42]</w:t>
      </w:r>
      <w:r>
        <w:rPr>
          <w:rFonts w:hint="eastAsia" w:ascii="微软雅黑" w:hAnsi="微软雅黑" w:eastAsia="微软雅黑"/>
          <w:noProof/>
          <w:sz w:val="24"/>
        </w:rPr>
        <w:t xml:space="preserve">. This prevailing trend emphasizes regulatory reform and legislative recalibration designed to enhance value retention, which inherently influences the strategic environment and operational mechanisms behind resource and equipment distribution . </w:t>
      </w:r>
    </w:p>
    <w:p>
      <w:pPr>
        <w:spacing w:line="288" w:lineRule="auto"/>
        <w:ind w:firstLine="480" w:firstLineChars="200"/>
        <w:jc w:val="both"/>
      </w:pPr>
      <w:r>
        <w:rPr>
          <w:rFonts w:hint="eastAsia" w:ascii="微软雅黑" w:hAnsi="微软雅黑" w:eastAsia="微软雅黑"/>
          <w:noProof/>
          <w:sz w:val="24"/>
        </w:rPr>
        <w:t xml:space="preserve">The infrastructure and investment dynamics surrounding critical mineral distribution across Southern Africa further complicate and shape these logistical strategies. Recent industry evaluations shed light on the market access pathways essential for efficient supply chain operations, indicating that critical mineral supply chains encompass intricate networks of processing, transportation, and economic distribution within the region </w:t>
      </w:r>
      <w:r>
        <w:rPr>
          <w:rFonts w:hint="eastAsia" w:ascii="微软雅黑" w:hAnsi="微软雅黑" w:eastAsia="微软雅黑"/>
          <w:noProof/>
          <w:sz w:val="24"/>
          <w:vertAlign w:val="superscript"/>
        </w:rPr>
        <w:t>[45]</w:t>
      </w:r>
      <w:r>
        <w:rPr>
          <w:rFonts w:hint="eastAsia" w:ascii="微软雅黑" w:hAnsi="微软雅黑" w:eastAsia="微软雅黑"/>
          <w:noProof/>
          <w:sz w:val="24"/>
        </w:rPr>
        <w:t xml:space="preserve">. For GET suppliers, aligning their distribution models with these regional infrastructure developments is imperative for maintaining supply chain efficiency and ensuring the uninterrupted provision of essential mining tools. </w:t>
      </w:r>
    </w:p>
    <w:p>
      <w:pPr>
        <w:spacing w:line="288" w:lineRule="auto"/>
        <w:ind w:firstLine="480" w:firstLineChars="200"/>
        <w:jc w:val="both"/>
      </w:pPr>
      <w:r>
        <w:rPr>
          <w:rFonts w:hint="eastAsia" w:ascii="微软雅黑" w:hAnsi="微软雅黑" w:eastAsia="微软雅黑"/>
          <w:noProof/>
          <w:sz w:val="24"/>
        </w:rPr>
        <w:t xml:space="preserve">Additionally, environmental sustainability remains a pressing concern that directly impacts how distribution networks are structured and operated. Recent findings highlight the broader environmental impacts of mining activities, documenting issues such as deforestation across sub-Saharan Africa driven by mining concessions and their associated indirect or offsite logistical footprints </w:t>
      </w:r>
      <w:r>
        <w:rPr>
          <w:rFonts w:hint="eastAsia" w:ascii="微软雅黑" w:hAnsi="微软雅黑" w:eastAsia="微软雅黑"/>
          <w:noProof/>
          <w:sz w:val="24"/>
          <w:vertAlign w:val="superscript"/>
        </w:rPr>
        <w:t>[41]</w:t>
      </w:r>
      <w:r>
        <w:rPr>
          <w:rFonts w:hint="eastAsia" w:ascii="微软雅黑" w:hAnsi="微软雅黑" w:eastAsia="微软雅黑"/>
          <w:noProof/>
          <w:sz w:val="24"/>
        </w:rPr>
        <w:t xml:space="preserve">. As environmental scrutiny intensifies, GET distribution models must increasingly incorporate sustainable logistics practices, minimizing the ecological footprint of transportation and warehousing operations. </w:t>
      </w:r>
    </w:p>
    <w:p>
      <w:pPr>
        <w:spacing w:line="288" w:lineRule="auto"/>
        <w:ind w:firstLine="480" w:firstLineChars="200"/>
        <w:jc w:val="both"/>
      </w:pPr>
      <w:r>
        <w:rPr>
          <w:rFonts w:hint="eastAsia" w:ascii="微软雅黑" w:hAnsi="微软雅黑" w:eastAsia="微软雅黑"/>
          <w:noProof/>
          <w:sz w:val="24"/>
        </w:rPr>
        <w:t xml:space="preserve">Operational progress within the mines themselves also dictates the evolution of distribution models. Insights contextualized in contemporary coverage of the Mining Indaba 2026 showcase significant advancements in extraction operations, such as the transition to complex underground extraction techniques at facilities like Tharisa's South African mine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While these developments are indicative of technological and operational progress, they require highly responsive and specialized distribution frameworks capable of delivering precise GET solutions tailored to new extraction methodologies </w:t>
      </w:r>
      <w:r>
        <w:rPr>
          <w:rFonts w:hint="eastAsia" w:ascii="微软雅黑" w:hAnsi="微软雅黑" w:eastAsia="微软雅黑"/>
          <w:noProof/>
          <w:sz w:val="24"/>
          <w:vertAlign w:val="superscript"/>
        </w:rPr>
        <w:t>[43]</w:t>
      </w:r>
      <w:r>
        <w:rPr>
          <w:rFonts w:hint="eastAsia" w:ascii="微软雅黑" w:hAnsi="微软雅黑" w:eastAsia="微软雅黑"/>
          <w:noProof/>
          <w:sz w:val="24"/>
        </w:rPr>
        <w:t xml:space="preserve">. Although granular technical data on specific logistical models is sometimes superseded by broader industry-wide thematic conversations, the necessity for highly efficient, adaptable, and compliant supply chains is universally acknowledged </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Synthesizing the available intelligence reveals that while South African mining and the broader regional industry are undergoing significant operational advancements and regulatory reforms to capture greater economic value, the success of GET suppliers remains heavily contingent upon their ability to master both OEM compatibility and the intricacies of regional distribution networks. By ensuring precise alignment with OEM specifications and optimizing logistics for supply chain efficiency, GET providers can secure a formidable competitive advantage in the evolving 2026 mining market landscape.</w:t>
      </w:r>
    </w:p>
    <w:p>
      <w:pPr>
        <w:spacing w:line="360" w:lineRule="auto"/>
        <w:ind/>
      </w:pPr>
      <w:r>
        <w:rPr>
          <w:rFonts w:hint="eastAsia"/>
          <w:b/>
          <w:noProof/>
          <w:sz w:val="22"/>
        </w:rPr>
        <w:t xml:space="preserve">OEM Compatibility and Distribution Models in Mining GET Supply Chain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Supply Chain Component</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Description</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Key Focus Area</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OEM Compatibility</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Alignment of GET products with original equipment manufacturer specifications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Supplier-OEM Alignment</w:t>
            </w:r>
          </w:p>
        </w:tc>
      </w:tr>
      <w:tr>
        <w:trPr/>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Distribution Models</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Management of GET distribution networks and regional logistics (e.g., South Africa)</w:t>
            </w:r>
          </w:p>
        </w:tc>
        <w:tc>
          <w:tcPr>
            <w:tcBorders>
              <w:top w:val="single" w:color="222222" w:sz="6"/>
              <w:left w:val="single" w:color="222222" w:sz="6"/>
              <w:bottom w:val="single" w:color="222222" w:sz="6"/>
              <w:right w:val="single" w:color="222222" w:sz="6"/>
            </w:tcBorders>
          </w:tcPr>
          <w:p>
            <w:pPr>
              <w:spacing w:line="288" w:lineRule="auto"/>
              <w:ind w:firstLine="480" w:firstLineChars="200"/>
              <w:jc w:val="both"/>
            </w:pPr>
            <w:r>
              <w:rPr>
                <w:rFonts w:hint="eastAsia" w:ascii="微软雅黑" w:hAnsi="微软雅黑" w:eastAsia="微软雅黑"/>
                <w:noProof/>
                <w:sz w:val="24"/>
              </w:rPr>
              <w:t xml:space="preserve">Supply Chain Efficiency</w:t>
            </w:r>
          </w:p>
        </w:tc>
      </w:tr>
    </w:tbl>
    <w:p>
      <w:pPr>
        <w:spacing w:beforeLines="50" w:line="360" w:lineRule="auto"/>
        <w:ind/>
        <w:jc w:val="left"/>
      </w:pPr>
      <w:r>
        <w:rPr>
          <w:rFonts w:hint="eastAsia"/>
          <w:b/>
          <w:noProof/>
          <w:sz w:val="22"/>
        </w:rPr>
        <w:t xml:space="preserve">Data Source: Google Search</w:t>
      </w:r>
    </w:p>
    <w:p>
      <w:pPr>
        <w:pStyle w:val="Heading2"/>
        <w:spacing w:line="288" w:lineRule="auto"/>
        <w:ind/>
        <w:jc w:val="left"/>
      </w:pPr>
      <w:r>
        <w:rPr>
          <w:rFonts w:hint="eastAsia" w:ascii="微软雅黑" w:hAnsi="微软雅黑" w:eastAsia="微软雅黑"/>
          <w:b/>
          <w:noProof/>
          <w:sz w:val="36"/>
        </w:rPr>
        <w:t xml:space="preserve">Innovations and Technology Trends in Mining Wear Parts</w:t>
      </w:r>
    </w:p>
    <w:p>
      <w:pPr>
        <w:spacing w:line="288" w:lineRule="auto"/>
        <w:ind w:firstLine="480" w:firstLineChars="200"/>
        <w:jc w:val="both"/>
      </w:pPr>
      <w:r>
        <w:rPr>
          <w:rFonts w:hint="eastAsia" w:ascii="微软雅黑" w:hAnsi="微软雅黑" w:eastAsia="微软雅黑"/>
          <w:noProof/>
          <w:sz w:val="24"/>
        </w:rPr>
        <w:t xml:space="preserve">The global market landscape for mining ground engaging tools and edges has undergone significant transformations in recent years, characterized by dynamic shifts in regional market shares, technological innovations, and evolving demand patterns. Between 2020 and 2024, the mining tools market experienced substantial growth, primarily driven by an increase in global exploration activities, the rising demand for essential minerals, and continuous technological advancements </w:t>
      </w:r>
      <w:r>
        <w:rPr>
          <w:rFonts w:hint="eastAsia" w:ascii="微软雅黑" w:hAnsi="微软雅黑" w:eastAsia="微软雅黑"/>
          <w:noProof/>
          <w:sz w:val="24"/>
          <w:vertAlign w:val="superscript"/>
        </w:rPr>
        <w:t>[51]</w:t>
      </w:r>
      <w:r>
        <w:rPr>
          <w:rFonts w:hint="eastAsia" w:ascii="微软雅黑" w:hAnsi="微软雅黑" w:eastAsia="微软雅黑"/>
          <w:noProof/>
          <w:sz w:val="24"/>
        </w:rPr>
        <w:t xml:space="preserve">. These foundational elements have contributed to a broader expansion within the mining equipment sector, which has been projected to grow at a compound annual growth rate of 5.00 percent during the 2022 to 2026 period, ultimately reaching an estimated market value of 133.2 billion by 2026 </w:t>
      </w:r>
      <w:r>
        <w:rPr>
          <w:rFonts w:hint="eastAsia" w:ascii="微软雅黑" w:hAnsi="微软雅黑" w:eastAsia="微软雅黑"/>
          <w:noProof/>
          <w:sz w:val="24"/>
          <w:vertAlign w:val="superscript"/>
        </w:rPr>
        <w:t>[51]</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This consistent upward trajectory highlights the industry's sustained commitment to modernizing equipment and integrating advanced automation technologies to optimize extraction processes . </w:t>
      </w:r>
    </w:p>
    <w:p>
      <w:pPr>
        <w:spacing w:line="288" w:lineRule="auto"/>
        <w:ind w:firstLine="480" w:firstLineChars="200"/>
        <w:jc w:val="both"/>
      </w:pPr>
      <w:r>
        <w:rPr>
          <w:rFonts w:hint="eastAsia" w:ascii="微软雅黑" w:hAnsi="微软雅黑" w:eastAsia="微软雅黑"/>
          <w:noProof/>
          <w:sz w:val="24"/>
        </w:rPr>
        <w:t xml:space="preserve">An analysis of regional market share trends for mining tools from 2020 to 2024 reveals distinct geographical shifts in industry dominance and operational focus. During this period, the Asia-Pacific region demonstrated a robust and consistently increasing trend in market share. In 2020, the Asia-Pacific market accounted for 40.0 percent of the global share, which steadily expanded to reach a maximum value of 46.0 percent by the end of 2024. This growth can be attributed to rapid industrialization, extensive infrastructure development, and intensified mining activities within emerging economies in the region. Conversely, traditional mining strongholds experienced a relative contraction in their global market footprint. North America exhibited an overall decreasing trend, with its market share falling from a high of 28.0 percent in 2020 to a minimum of 24.0 percent in 2024. Similarly, the European market share also followed a downward trajectory, declining from 18.0 percent in 2020 to 15.0 percent in 2024. These regional realignments underscore a broader structural shift in the global mining sector, where capital investments and operational expansions are increasingly concentrated in the Asia-Pacific region, while North American and European markets focus more heavily on optimizing existing operations and adhering to stringent environmental regulations.</w:t>
      </w:r>
    </w:p>
    <w:p>
      <w:pPr>
        <w:spacing w:line="288" w:lineRule="auto"/>
        <w:ind w:firstLine="480" w:firstLineChars="200"/>
        <w:jc w:val="both"/>
      </w:pPr>
      <w:r>
        <w:rPr>
          <w:rFonts w:hint="eastAsia" w:ascii="微软雅黑" w:hAnsi="微软雅黑" w:eastAsia="微软雅黑"/>
          <w:noProof/>
          <w:sz w:val="24"/>
        </w:rPr>
        <w:t xml:space="preserve">Technological innovations and the integration of advanced systems have emerged as critical factors influencing the mining wear parts industry. The historical growth observed during the early 2020s was heavily influenced by global efforts to adopt automation and artificial intelligence, which have become foundational for subsequent advancements in mining tools and equipment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Industry investments during the 2020 to 2024 timeframe facilitated the emergence of operational edge control and intelligent systems, allowing mining companies to significantly enhance operational efficiency while simultaneously reducing their environmental impacts </w:t>
      </w:r>
      <w:r>
        <w:rPr>
          <w:rFonts w:hint="eastAsia" w:ascii="微软雅黑" w:hAnsi="微软雅黑" w:eastAsia="微软雅黑"/>
          <w:noProof/>
          <w:sz w:val="24"/>
          <w:vertAlign w:val="superscript"/>
        </w:rPr>
        <w:t>[54]</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Furthermore, the data mining tools market has witnessed steady advancements, offering critical insights into the optimization of mining operations </w:t>
      </w:r>
      <w:r>
        <w:rPr>
          <w:rFonts w:hint="eastAsia" w:ascii="微软雅黑" w:hAnsi="微软雅黑" w:eastAsia="微软雅黑"/>
          <w:noProof/>
          <w:sz w:val="24"/>
          <w:vertAlign w:val="superscript"/>
        </w:rPr>
        <w:t>[55]</w:t>
      </w:r>
      <w:r>
        <w:rPr>
          <w:rFonts w:hint="eastAsia" w:ascii="微软雅黑" w:hAnsi="微软雅黑" w:eastAsia="微软雅黑"/>
          <w:noProof/>
          <w:sz w:val="24"/>
        </w:rPr>
        <w:t xml:space="preserve">. The global data mining tools market, specifically, was valued at 1.27 billion in 2025 and is projected to grow to 1.44 billion in 2026, with long-term forecasts anticipating an expansion to 3.49 billion by 2034 . These digital tools are increasingly integrated with physical ground engaging tools to monitor wear patterns, predict maintenance requirements, and minimize unplanned downtime, thereby revolutionizing the lifecycle management of mining wear parts.</w:t>
      </w:r>
    </w:p>
    <w:p>
      <w:pPr>
        <w:spacing w:line="288" w:lineRule="auto"/>
        <w:ind w:firstLine="480" w:firstLineChars="200"/>
        <w:jc w:val="both"/>
      </w:pPr>
      <w:r>
        <w:rPr>
          <w:rFonts w:hint="eastAsia" w:ascii="微软雅黑" w:hAnsi="微软雅黑" w:eastAsia="微软雅黑"/>
          <w:noProof/>
          <w:sz w:val="24"/>
        </w:rPr>
        <w:t xml:space="preserve">Demand patterns within the industry are heavily influenced by the specific types of mining operations being conducted. Broader market analyses indicate that underground mining equipment has gained considerable prominence in recent years. The underground mining equipment market was valued at 45.2 billion in 2025 and is projected to grow to 47.3 billion by 2026, with an anticipated compound annual growth rate of 6.4 percent extending through 2033 </w:t>
      </w:r>
      <w:r>
        <w:rPr>
          <w:rFonts w:hint="eastAsia" w:ascii="微软雅黑" w:hAnsi="微软雅黑" w:eastAsia="微软雅黑"/>
          <w:noProof/>
          <w:sz w:val="24"/>
          <w:vertAlign w:val="superscript"/>
        </w:rPr>
        <w:t>[54]</w:t>
      </w:r>
      <w:r>
        <w:rPr>
          <w:rFonts w:hint="eastAsia" w:ascii="微软雅黑" w:hAnsi="微软雅黑" w:eastAsia="微软雅黑"/>
          <w:noProof/>
          <w:sz w:val="24"/>
        </w:rPr>
        <w:t xml:space="preserve">. This segment's growth has been notably supported by a sustained focus on coal extraction, which represented 39 percent of industry revenue in earlier assessments </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The broader mining equipment market, which encompasses a wide array of ground engaging tools and wear parts, was valued at 133.09 billion in 2025 and is projected to reach 141,741.9 million by 2026 </w:t>
      </w:r>
      <w:r>
        <w:rPr>
          <w:rFonts w:hint="eastAsia" w:ascii="微软雅黑" w:hAnsi="微软雅黑" w:eastAsia="微软雅黑"/>
          <w:noProof/>
          <w:sz w:val="24"/>
          <w:vertAlign w:val="superscript"/>
        </w:rPr>
        <w:t>[44]</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Despite these strong overall valuation metrics, specific market shares for individual ground engaging tools or granular breakdowns of major global competitors remain challenging to isolate, as many industry reports predominantly track overall market size rather than detailed segmentations by specific tool types </w:t>
      </w:r>
      <w:r>
        <w:rPr>
          <w:rFonts w:hint="eastAsia" w:ascii="微软雅黑" w:hAnsi="微软雅黑" w:eastAsia="微软雅黑"/>
          <w:noProof/>
          <w:sz w:val="24"/>
          <w:vertAlign w:val="superscript"/>
        </w:rPr>
        <w:t>[44]</w:t>
      </w:r>
      <w:r>
        <w:rPr>
          <w:rFonts w:hint="eastAsia" w:ascii="微软雅黑" w:hAnsi="微软雅黑" w:eastAsia="微软雅黑"/>
          <w:noProof/>
          <w:sz w:val="24"/>
          <w:vertAlign w:val="superscript"/>
        </w:rPr>
        <w:t>[53]</w:t>
      </w:r>
      <w:r>
        <w:rPr>
          <w:rFonts w:hint="eastAsia" w:ascii="微软雅黑" w:hAnsi="微软雅黑" w:eastAsia="微软雅黑"/>
          <w:noProof/>
          <w:sz w:val="24"/>
        </w:rPr>
        <w:t xml:space="preserve">. </w:t>
      </w:r>
    </w:p>
    <w:p>
      <w:pPr>
        <w:spacing w:line="288" w:lineRule="auto"/>
        <w:ind w:firstLine="480" w:firstLineChars="200"/>
        <w:jc w:val="both"/>
      </w:pPr>
      <w:r>
        <w:rPr>
          <w:rFonts w:hint="eastAsia" w:ascii="微软雅黑" w:hAnsi="微软雅黑" w:eastAsia="微软雅黑"/>
          <w:noProof/>
          <w:sz w:val="24"/>
        </w:rPr>
        <w:t xml:space="preserve">The industry continues to face significant challenges alongside its growth. While the sustained demand for technological upgrades and efficient tools shaped historical performance, the market must navigate ongoing fluctuations driven by global economic conditions, regulatory changes, and the urgent need for sustainability initiatives </w:t>
      </w:r>
      <w:r>
        <w:rPr>
          <w:rFonts w:hint="eastAsia" w:ascii="微软雅黑" w:hAnsi="微软雅黑" w:eastAsia="微软雅黑"/>
          <w:noProof/>
          <w:sz w:val="24"/>
          <w:vertAlign w:val="superscript"/>
        </w:rPr>
        <w:t>[51]</w:t>
      </w:r>
      <w:r>
        <w:rPr>
          <w:rFonts w:hint="eastAsia" w:ascii="微软雅黑" w:hAnsi="微软雅黑" w:eastAsia="微软雅黑"/>
          <w:noProof/>
          <w:sz w:val="24"/>
          <w:vertAlign w:val="superscript"/>
        </w:rPr>
        <w:t>[44]</w:t>
      </w:r>
      <w:r>
        <w:rPr>
          <w:rFonts w:hint="eastAsia" w:ascii="微软雅黑" w:hAnsi="微软雅黑" w:eastAsia="微软雅黑"/>
          <w:noProof/>
          <w:sz w:val="24"/>
        </w:rPr>
        <w:t xml:space="preserve">. Mining operations are under increasing pressure to reduce their carbon footprints and minimize ecological disruption, prompting manufacturers of ground engaging tools to innovate with more durable, longer-lasting materials that require less frequent replacement. Additionally, the rapid pace of technological disruption means that market players must continuously invest in research and development to remain competitive. Although the available data provides a comprehensive overview of the macro-level expansion within the mining equipment sector, actual market conditions in mid-2026 may differ from earlier projections due to these evolving variables. Nevertheless, the synthesis of historical records and current market evaluations confirms a notable continuity in growth trends, indicating that innovations in mining equipment and sector-wide investments will continue to drive the industry toward substantial expansion . The ongoing transition toward highly automated, data-driven mining environments ensures that the market for advanced ground engaging tools and edges will remain a critical, high-value component of the global resource extraction supply chain.</w:t>
      </w:r>
    </w:p>
    <w:p>
      <w:pPr>
        <w:spacing w:line="240" w:lineRule="auto"/>
        <w:jc w:val="center"/>
      </w:pPr>
      <w:r>
        <w:drawing>
          <wp:inline distT="0" distB="0" distL="0" distR="0">
            <wp:extent cx="5274310" cy="3076575"/>
            <wp:effectExtent l="0" t="0" r="0" b="0"/>
            <wp:docPr id="1" name="11" descr="aa"/>
            <wp:cNvGraphicFramePr>
              <a:graphicFrameLocks noChangeAspect="true"/>
            </wp:cNvGraphicFramePr>
            <a:graphic>
              <a:graphicData uri="http://schemas.openxmlformats.org/drawingml/2006/chart">
                <c:chart r:id="rId4"/>
              </a:graphicData>
            </a:graphic>
          </wp:inline>
        </w:drawing>
      </w:r>
    </w:p>
    <w:p>
      <w:pPr>
        <w:pStyle w:val="Heading1"/>
        <w:spacing w:line="288" w:lineRule="auto"/>
        <w:ind/>
        <w:jc w:val="left"/>
      </w:pPr>
      <w:r>
        <w:rPr>
          <w:rFonts w:hint="eastAsia" w:ascii="微软雅黑" w:hAnsi="微软雅黑" w:eastAsia="微软雅黑"/>
          <w:b/>
          <w:noProof/>
          <w:sz w:val="40"/>
        </w:rPr>
        <w:t>References</w:t>
      </w:r>
    </w:p>
    <w:p>
      <w:pPr>
        <w:spacing w:line="288" w:lineRule="auto"/>
        <w:ind w:firstLine="480" w:firstLineChars="200"/>
        <w:jc w:val="both"/>
      </w:pPr>
      <w:r>
        <w:rPr>
          <w:rFonts w:hint="eastAsia" w:ascii="微软雅黑" w:hAnsi="微软雅黑" w:eastAsia="微软雅黑"/>
          <w:noProof/>
          <w:sz w:val="24"/>
        </w:rPr>
        <w:t xml:space="preserve">[1] Sandton Convention Centre's post - Facebook </w:t>
      </w:r>
      <w:r>
        <w:rPr>
          <w:rFonts w:hint="eastAsia" w:ascii="微软雅黑" w:hAnsi="微软雅黑" w:eastAsia="微软雅黑"/>
          <w:noProof/>
          <w:sz w:val="24"/>
        </w:rPr>
        <w:t>https://www.facebook.com/SandtonConventionCentre/posts/%F0%9D%97%9C%F0%9D%97%A7%F0%9D%97%AA%F0%9D%97%B2%F0%9D%97%AF-%F0%9D%97%A6%F0%9D%97%B2%F0%9D%97%B0%F0%9D%98%82%F0%9D%97%BF%F0%9D%97%B6%F0%9D%98%81%F0%9D%98%86-%F0%9D%97%A6%F0%9D%98%82%F0%9D%97%BA%F0%9D%97%BA%F0%9D%97%B6%F0%9D%98%81-%F0%9D%9F%AE%F0%9D%9F%AC%F0%9D%9F%AE%F0%9D%9F%B2%F0%9D%97%A7%F0%9D%97%B5%F0%9D%97%B2-%F0%9D%97%B1%F0%9D%97%B2%F0%9D%97%B3%F0%9D%97%B6%F0%9D%97%BB%F0%9D%97%B6%F0%9D%98%81%F0%9D%97%B6%F0%9D%98%83%F0%9D%97%B2-%F0%9D%97%B2%F0%9D%98%83%F0%9D%97%B2%F0%9D%97%BB%F0%9D%98%81-%F0%9D%97%B3%F0%9D%97%BC%F0%9D%97%BF-%F0%9D%97%B6%F0%9D%97%BB%F0%9D%97%B3%F0%9D%97%BC%F0%9D%97%BF%F0%9D%97%BA%F0%9D%97%AE%F0%9D%98%81%F0%9D%97%B6%F0%9D%97%BC%F0%9D%97%BB-%F0%9D%98%80%F0%9D%97%B2%F0%9D%97%B0%F0%9D%98%82%F0%9D%97%BF%F0%9D%97%B6%F0%9D%98%81%F0%9D%98%86-%F0%9D%97%BD%F0%9D%97%BF%F0%9D%97%BC%F0%9D%97%B3%F0%9D%97%B2%F0%9D%98%80%F0%9D%98%80%F0%9D%97%B6/1292308819730925/</w:t>
      </w:r>
    </w:p>
    <w:p>
      <w:pPr>
        <w:spacing w:line="288" w:lineRule="auto"/>
        <w:ind w:firstLine="480" w:firstLineChars="200"/>
        <w:jc w:val="both"/>
      </w:pPr>
      <w:r>
        <w:rPr>
          <w:rFonts w:hint="eastAsia" w:ascii="微软雅黑" w:hAnsi="微软雅黑" w:eastAsia="微软雅黑"/>
          <w:noProof/>
          <w:sz w:val="24"/>
        </w:rPr>
        <w:t xml:space="preserve">[2] THREAT 2026: CONTINUUM | Securing Modern Supply Chains </w:t>
      </w:r>
      <w:r>
        <w:rPr>
          <w:rFonts w:hint="eastAsia" w:ascii="微软雅黑" w:hAnsi="微软雅黑" w:eastAsia="微软雅黑"/>
          <w:noProof/>
          <w:sz w:val="24"/>
        </w:rPr>
        <w:t>https://www.threatcon.co.za/</w:t>
      </w:r>
    </w:p>
    <w:p>
      <w:pPr>
        <w:spacing w:line="288" w:lineRule="auto"/>
        <w:ind w:firstLine="480" w:firstLineChars="200"/>
        <w:jc w:val="both"/>
      </w:pPr>
      <w:r>
        <w:rPr>
          <w:rFonts w:hint="eastAsia" w:ascii="微软雅黑" w:hAnsi="微软雅黑" w:eastAsia="微软雅黑"/>
          <w:noProof/>
          <w:sz w:val="24"/>
        </w:rPr>
        <w:t xml:space="preserve">[3] Enterprises must prepare for digital conflict - June 2026 </w:t>
      </w:r>
      <w:r>
        <w:rPr>
          <w:rFonts w:hint="eastAsia" w:ascii="微软雅黑" w:hAnsi="微软雅黑" w:eastAsia="微软雅黑"/>
          <w:noProof/>
          <w:sz w:val="24"/>
        </w:rPr>
        <w:t>http://www.securitysa.com/27458r</w:t>
      </w:r>
    </w:p>
    <w:p>
      <w:pPr>
        <w:spacing w:line="288" w:lineRule="auto"/>
        <w:ind w:firstLine="480" w:firstLineChars="200"/>
        <w:jc w:val="both"/>
      </w:pPr>
      <w:r>
        <w:rPr>
          <w:rFonts w:hint="eastAsia" w:ascii="微软雅黑" w:hAnsi="微软雅黑" w:eastAsia="微软雅黑"/>
          <w:noProof/>
          <w:sz w:val="24"/>
        </w:rPr>
        <w:t xml:space="preserve">[4] ITWeb Security Summit 2026 - Home </w:t>
      </w:r>
      <w:r>
        <w:rPr>
          <w:rFonts w:hint="eastAsia" w:ascii="微软雅黑" w:hAnsi="微软雅黑" w:eastAsia="微软雅黑"/>
          <w:noProof/>
          <w:sz w:val="24"/>
        </w:rPr>
        <w:t>https://www.itweb.co.za/event/itweb-security-summit-2026/</w:t>
      </w:r>
    </w:p>
    <w:p>
      <w:pPr>
        <w:spacing w:line="288" w:lineRule="auto"/>
        <w:ind w:firstLine="480" w:firstLineChars="200"/>
        <w:jc w:val="both"/>
      </w:pPr>
      <w:r>
        <w:rPr>
          <w:rFonts w:hint="eastAsia" w:ascii="微软雅黑" w:hAnsi="微软雅黑" w:eastAsia="微软雅黑"/>
          <w:noProof/>
          <w:sz w:val="24"/>
        </w:rPr>
        <w:t xml:space="preserve">[5] Africa Virtual Cybersecurity Summit - ismg.events </w:t>
      </w:r>
      <w:r>
        <w:rPr>
          <w:rFonts w:hint="eastAsia" w:ascii="微软雅黑" w:hAnsi="微软雅黑" w:eastAsia="微软雅黑"/>
          <w:noProof/>
          <w:sz w:val="24"/>
        </w:rPr>
        <w:t>https://ismg.events/summit/virtual-africa-summit-2026/</w:t>
      </w:r>
    </w:p>
    <w:p>
      <w:pPr>
        <w:spacing w:line="288" w:lineRule="auto"/>
        <w:ind w:firstLine="480" w:firstLineChars="200"/>
        <w:jc w:val="both"/>
      </w:pPr>
      <w:r>
        <w:rPr>
          <w:rFonts w:hint="eastAsia" w:ascii="微软雅黑" w:hAnsi="微软雅黑" w:eastAsia="微软雅黑"/>
          <w:noProof/>
          <w:sz w:val="24"/>
        </w:rPr>
        <w:t xml:space="preserve">[6] Great news as new data released by Agbiz shows that South Africa's ... </w:t>
      </w:r>
      <w:r>
        <w:rPr>
          <w:rFonts w:hint="eastAsia" w:ascii="微软雅黑" w:hAnsi="微软雅黑" w:eastAsia="微软雅黑"/>
          <w:noProof/>
          <w:sz w:val="24"/>
        </w:rPr>
        <w:t>https://www.instagram.com/reel/DYw93MstPah/?hl=en</w:t>
      </w:r>
    </w:p>
    <w:p>
      <w:pPr>
        <w:spacing w:line="288" w:lineRule="auto"/>
        <w:ind w:firstLine="480" w:firstLineChars="200"/>
        <w:jc w:val="both"/>
      </w:pPr>
      <w:r>
        <w:rPr>
          <w:rFonts w:hint="eastAsia" w:ascii="微软雅黑" w:hAnsi="微软雅黑" w:eastAsia="微软雅黑"/>
          <w:noProof/>
          <w:sz w:val="24"/>
        </w:rPr>
        <w:t xml:space="preserve">[7] Market Update - South Africa, January 2026 - Ciatti Company </w:t>
      </w:r>
      <w:r>
        <w:rPr>
          <w:rFonts w:hint="eastAsia" w:ascii="微软雅黑" w:hAnsi="微软雅黑" w:eastAsia="微软雅黑"/>
          <w:noProof/>
          <w:sz w:val="24"/>
        </w:rPr>
        <w:t>https://ciatticompany.substack.com/p/market-update-south-africa-january</w:t>
      </w:r>
    </w:p>
    <w:p>
      <w:pPr>
        <w:spacing w:line="288" w:lineRule="auto"/>
        <w:ind w:firstLine="480" w:firstLineChars="200"/>
        <w:jc w:val="both"/>
      </w:pPr>
      <w:r>
        <w:rPr>
          <w:rFonts w:hint="eastAsia" w:ascii="微软雅黑" w:hAnsi="微软雅黑" w:eastAsia="微软雅黑"/>
          <w:noProof/>
          <w:sz w:val="24"/>
        </w:rPr>
        <w:t xml:space="preserve">[8] Africa has the resources. The talent. And a $3.4 trillion market. The ... </w:t>
      </w:r>
      <w:r>
        <w:rPr>
          <w:rFonts w:hint="eastAsia" w:ascii="微软雅黑" w:hAnsi="微软雅黑" w:eastAsia="微软雅黑"/>
          <w:noProof/>
          <w:sz w:val="24"/>
        </w:rPr>
        <w:t>https://www.facebook.com/manufacturingindaba/posts/africa-has-the-resources-the-talent-and-a-34-trillion-marketthe-real-question-is/1426606612845961/</w:t>
      </w:r>
    </w:p>
    <w:p>
      <w:pPr>
        <w:spacing w:line="288" w:lineRule="auto"/>
        <w:ind w:firstLine="480" w:firstLineChars="200"/>
        <w:jc w:val="both"/>
      </w:pPr>
      <w:r>
        <w:rPr>
          <w:rFonts w:hint="eastAsia" w:ascii="微软雅黑" w:hAnsi="微软雅黑" w:eastAsia="微软雅黑"/>
          <w:noProof/>
          <w:sz w:val="24"/>
        </w:rPr>
        <w:t xml:space="preserve">[9] South Africa Air Freight Market Size, Share &amp; Trends Analysis, 2032 </w:t>
      </w:r>
      <w:r>
        <w:rPr>
          <w:rFonts w:hint="eastAsia" w:ascii="微软雅黑" w:hAnsi="微软雅黑" w:eastAsia="微软雅黑"/>
          <w:noProof/>
          <w:sz w:val="24"/>
        </w:rPr>
        <w:t>https://www.psmarketresearch.com/market-analysis/south-africa-air-freight-market-report</w:t>
      </w:r>
    </w:p>
    <w:p>
      <w:pPr>
        <w:spacing w:line="288" w:lineRule="auto"/>
        <w:ind w:firstLine="480" w:firstLineChars="200"/>
        <w:jc w:val="both"/>
      </w:pPr>
      <w:r>
        <w:rPr>
          <w:rFonts w:hint="eastAsia" w:ascii="微软雅黑" w:hAnsi="微软雅黑" w:eastAsia="微软雅黑"/>
          <w:noProof/>
          <w:sz w:val="24"/>
        </w:rPr>
        <w:t xml:space="preserve">[10] Economic wrap-up for May 2026 | Statistics South Africa </w:t>
      </w:r>
      <w:r>
        <w:rPr>
          <w:rFonts w:hint="eastAsia" w:ascii="微软雅黑" w:hAnsi="微软雅黑" w:eastAsia="微软雅黑"/>
          <w:noProof/>
          <w:sz w:val="24"/>
        </w:rPr>
        <w:t>https://www.statssa.gov.za/?p=19580</w:t>
      </w:r>
    </w:p>
    <w:p>
      <w:pPr>
        <w:spacing w:line="288" w:lineRule="auto"/>
        <w:ind w:firstLine="480" w:firstLineChars="200"/>
        <w:jc w:val="both"/>
      </w:pPr>
      <w:r>
        <w:rPr>
          <w:rFonts w:hint="eastAsia" w:ascii="微软雅黑" w:hAnsi="微软雅黑" w:eastAsia="微软雅黑"/>
          <w:noProof/>
          <w:sz w:val="24"/>
        </w:rPr>
        <w:t xml:space="preserve">[11] Holmatro Rescue Challenge 2026 </w:t>
      </w:r>
      <w:r>
        <w:rPr>
          <w:rFonts w:hint="eastAsia" w:ascii="微软雅黑" w:hAnsi="微软雅黑" w:eastAsia="微软雅黑"/>
          <w:noProof/>
          <w:sz w:val="24"/>
        </w:rPr>
        <w:t>https://hre.marketing.holmatro.com/holmatro-rescue-challenge-2026</w:t>
      </w:r>
    </w:p>
    <w:p>
      <w:pPr>
        <w:spacing w:line="288" w:lineRule="auto"/>
        <w:ind w:firstLine="480" w:firstLineChars="200"/>
        <w:jc w:val="both"/>
      </w:pPr>
      <w:r>
        <w:rPr>
          <w:rFonts w:hint="eastAsia" w:ascii="微软雅黑" w:hAnsi="微软雅黑" w:eastAsia="微软雅黑"/>
          <w:noProof/>
          <w:sz w:val="24"/>
        </w:rPr>
        <w:t xml:space="preserve">[12] Search and Rescue (SAR) Equipment Market Report 2026 </w:t>
      </w:r>
      <w:r>
        <w:rPr>
          <w:rFonts w:hint="eastAsia" w:ascii="微软雅黑" w:hAnsi="微软雅黑" w:eastAsia="微软雅黑"/>
          <w:noProof/>
          <w:sz w:val="24"/>
        </w:rPr>
        <w:t>https://finance.yahoo.com/news/search-rescue-sar-equipment-market-161500094.html</w:t>
      </w:r>
    </w:p>
    <w:p>
      <w:pPr>
        <w:spacing w:line="288" w:lineRule="auto"/>
        <w:ind w:firstLine="480" w:firstLineChars="200"/>
        <w:jc w:val="both"/>
      </w:pPr>
      <w:r>
        <w:rPr>
          <w:rFonts w:hint="eastAsia" w:ascii="微软雅黑" w:hAnsi="微软雅黑" w:eastAsia="微软雅黑"/>
          <w:noProof/>
          <w:sz w:val="24"/>
        </w:rPr>
        <w:t xml:space="preserve">[13] Search and Rescue Equipment Market Size, Share, Report, 2034 </w:t>
      </w:r>
      <w:r>
        <w:rPr>
          <w:rFonts w:hint="eastAsia" w:ascii="微软雅黑" w:hAnsi="微软雅黑" w:eastAsia="微软雅黑"/>
          <w:noProof/>
          <w:sz w:val="24"/>
        </w:rPr>
        <w:t>https://www.fortunebusinessinsights.com/search-and-rescue-equipment-market-108220</w:t>
      </w:r>
    </w:p>
    <w:p>
      <w:pPr>
        <w:spacing w:line="288" w:lineRule="auto"/>
        <w:ind w:firstLine="480" w:firstLineChars="200"/>
        <w:jc w:val="both"/>
      </w:pPr>
      <w:r>
        <w:rPr>
          <w:rFonts w:hint="eastAsia" w:ascii="微软雅黑" w:hAnsi="微软雅黑" w:eastAsia="微软雅黑"/>
          <w:noProof/>
          <w:sz w:val="24"/>
        </w:rPr>
        <w:t xml:space="preserve">[14] Emergency watchlist: Countries most at risk | IRC </w:t>
      </w:r>
      <w:r>
        <w:rPr>
          <w:rFonts w:hint="eastAsia" w:ascii="微软雅黑" w:hAnsi="微软雅黑" w:eastAsia="微软雅黑"/>
          <w:noProof/>
          <w:sz w:val="24"/>
        </w:rPr>
        <w:t>https://www.rescue.org/watchlist</w:t>
      </w:r>
    </w:p>
    <w:p>
      <w:pPr>
        <w:spacing w:line="288" w:lineRule="auto"/>
        <w:ind w:firstLine="480" w:firstLineChars="200"/>
        <w:jc w:val="both"/>
      </w:pPr>
      <w:r>
        <w:rPr>
          <w:rFonts w:hint="eastAsia" w:ascii="微软雅黑" w:hAnsi="微软雅黑" w:eastAsia="微软雅黑"/>
          <w:noProof/>
          <w:sz w:val="24"/>
        </w:rPr>
        <w:t xml:space="preserve">[15] IRECA: 2026 CONFERENCE </w:t>
      </w:r>
      <w:r>
        <w:rPr>
          <w:rFonts w:hint="eastAsia" w:ascii="微软雅黑" w:hAnsi="微软雅黑" w:eastAsia="微软雅黑"/>
          <w:noProof/>
          <w:sz w:val="24"/>
        </w:rPr>
        <w:t>https://www.ireca.org/</w:t>
      </w:r>
    </w:p>
    <w:p>
      <w:pPr>
        <w:spacing w:line="288" w:lineRule="auto"/>
        <w:ind w:firstLine="480" w:firstLineChars="200"/>
        <w:jc w:val="both"/>
      </w:pPr>
      <w:r>
        <w:rPr>
          <w:rFonts w:hint="eastAsia" w:ascii="微软雅黑" w:hAnsi="微软雅黑" w:eastAsia="微软雅黑"/>
          <w:noProof/>
          <w:sz w:val="24"/>
        </w:rPr>
        <w:t xml:space="preserve">[16] Electronic Security Market Size, Share &amp; Growth Report, 2035 </w:t>
      </w:r>
      <w:r>
        <w:rPr>
          <w:rFonts w:hint="eastAsia" w:ascii="微软雅黑" w:hAnsi="微软雅黑" w:eastAsia="微软雅黑"/>
          <w:noProof/>
          <w:sz w:val="24"/>
        </w:rPr>
        <w:t>https://www.gminsights.com/industry-analysis/electronic-security-market</w:t>
      </w:r>
    </w:p>
    <w:p>
      <w:pPr>
        <w:spacing w:line="288" w:lineRule="auto"/>
        <w:ind w:firstLine="480" w:firstLineChars="200"/>
        <w:jc w:val="both"/>
      </w:pPr>
      <w:r>
        <w:rPr>
          <w:rFonts w:hint="eastAsia" w:ascii="微软雅黑" w:hAnsi="微软雅黑" w:eastAsia="微软雅黑"/>
          <w:noProof/>
          <w:sz w:val="24"/>
        </w:rPr>
        <w:t xml:space="preserve">[17] 5 key technology trends in security for 2026 - YouTube </w:t>
      </w:r>
      <w:r>
        <w:rPr>
          <w:rFonts w:hint="eastAsia" w:ascii="微软雅黑" w:hAnsi="微软雅黑" w:eastAsia="微软雅黑"/>
          <w:noProof/>
          <w:sz w:val="24"/>
        </w:rPr>
        <w:t>https://www.youtube.com/watch?v=UVdEtT4HtmA</w:t>
      </w:r>
    </w:p>
    <w:p>
      <w:pPr>
        <w:spacing w:line="288" w:lineRule="auto"/>
        <w:ind w:firstLine="480" w:firstLineChars="200"/>
        <w:jc w:val="both"/>
      </w:pPr>
      <w:r>
        <w:rPr>
          <w:rFonts w:hint="eastAsia" w:ascii="微软雅黑" w:hAnsi="微软雅黑" w:eastAsia="微软雅黑"/>
          <w:noProof/>
          <w:sz w:val="24"/>
        </w:rPr>
        <w:t xml:space="preserve">[18] Physical Security Market Size, Share Report, 2026-2033 </w:t>
      </w:r>
      <w:r>
        <w:rPr>
          <w:rFonts w:hint="eastAsia" w:ascii="微软雅黑" w:hAnsi="微软雅黑" w:eastAsia="微软雅黑"/>
          <w:noProof/>
          <w:sz w:val="24"/>
        </w:rPr>
        <w:t>https://www.grandviewresearch.com/industry-analysis/physical-security-market</w:t>
      </w:r>
    </w:p>
    <w:p>
      <w:pPr>
        <w:spacing w:line="288" w:lineRule="auto"/>
        <w:ind w:firstLine="480" w:firstLineChars="200"/>
        <w:jc w:val="both"/>
      </w:pPr>
      <w:r>
        <w:rPr>
          <w:rFonts w:hint="eastAsia" w:ascii="微软雅黑" w:hAnsi="微软雅黑" w:eastAsia="微软雅黑"/>
          <w:noProof/>
          <w:sz w:val="24"/>
        </w:rPr>
        <w:t xml:space="preserve">[19] Top trends in the physical security industry in 2026 - Genetec Inc </w:t>
      </w:r>
      <w:r>
        <w:rPr>
          <w:rFonts w:hint="eastAsia" w:ascii="微软雅黑" w:hAnsi="微软雅黑" w:eastAsia="微软雅黑"/>
          <w:noProof/>
          <w:sz w:val="24"/>
        </w:rPr>
        <w:t>https://www.genetec.com/blog/physical-security-trends-for-2026</w:t>
      </w:r>
    </w:p>
    <w:p>
      <w:pPr>
        <w:spacing w:line="288" w:lineRule="auto"/>
        <w:ind w:firstLine="480" w:firstLineChars="200"/>
        <w:jc w:val="both"/>
      </w:pPr>
      <w:r>
        <w:rPr>
          <w:rFonts w:hint="eastAsia" w:ascii="微软雅黑" w:hAnsi="微软雅黑" w:eastAsia="微软雅黑"/>
          <w:noProof/>
          <w:sz w:val="24"/>
        </w:rPr>
        <w:t xml:space="preserve">[20] Top 9 Security Technology Trends of 2026 - CM3 Building Solutions </w:t>
      </w:r>
      <w:r>
        <w:rPr>
          <w:rFonts w:hint="eastAsia" w:ascii="微软雅黑" w:hAnsi="微软雅黑" w:eastAsia="微软雅黑"/>
          <w:noProof/>
          <w:sz w:val="24"/>
        </w:rPr>
        <w:t>https://cm3inc.com/top-9-security-technology-trends-of-2026/</w:t>
      </w:r>
    </w:p>
    <w:p>
      <w:pPr>
        <w:spacing w:line="288" w:lineRule="auto"/>
        <w:ind w:firstLine="480" w:firstLineChars="200"/>
        <w:jc w:val="both"/>
      </w:pPr>
      <w:r>
        <w:rPr>
          <w:rFonts w:hint="eastAsia" w:ascii="微软雅黑" w:hAnsi="微软雅黑" w:eastAsia="微软雅黑"/>
          <w:noProof/>
          <w:sz w:val="24"/>
        </w:rPr>
        <w:t xml:space="preserve">[21] Africa Cyber Security Market Size, Share &amp; Growth, 2034 </w:t>
      </w:r>
      <w:r>
        <w:rPr>
          <w:rFonts w:hint="eastAsia" w:ascii="微软雅黑" w:hAnsi="微软雅黑" w:eastAsia="微软雅黑"/>
          <w:noProof/>
          <w:sz w:val="24"/>
        </w:rPr>
        <w:t>https://www.marketdataforecast.com/market-reports/africa-cyber-security-market</w:t>
      </w:r>
    </w:p>
    <w:p>
      <w:pPr>
        <w:spacing w:line="288" w:lineRule="auto"/>
        <w:ind w:firstLine="480" w:firstLineChars="200"/>
        <w:jc w:val="both"/>
      </w:pPr>
      <w:r>
        <w:rPr>
          <w:rFonts w:hint="eastAsia" w:ascii="微软雅黑" w:hAnsi="微软雅黑" w:eastAsia="微软雅黑"/>
          <w:noProof/>
          <w:sz w:val="24"/>
        </w:rPr>
        <w:t xml:space="preserve">[22] Fortinet: Global Leader of Cybersecurity Solutions and Services </w:t>
      </w:r>
      <w:r>
        <w:rPr>
          <w:rFonts w:hint="eastAsia" w:ascii="微软雅黑" w:hAnsi="微软雅黑" w:eastAsia="微软雅黑"/>
          <w:noProof/>
          <w:sz w:val="24"/>
        </w:rPr>
        <w:t>https://www.fortinet.com/</w:t>
      </w:r>
    </w:p>
    <w:p>
      <w:pPr>
        <w:spacing w:line="288" w:lineRule="auto"/>
        <w:ind w:firstLine="480" w:firstLineChars="200"/>
        <w:jc w:val="both"/>
      </w:pPr>
      <w:r>
        <w:rPr>
          <w:rFonts w:hint="eastAsia" w:ascii="微软雅黑" w:hAnsi="微软雅黑" w:eastAsia="微软雅黑"/>
          <w:noProof/>
          <w:sz w:val="24"/>
        </w:rPr>
        <w:t xml:space="preserve">[24] Application Security Market Report 2026-2031, by Components ... </w:t>
      </w:r>
      <w:r>
        <w:rPr>
          <w:rFonts w:hint="eastAsia" w:ascii="微软雅黑" w:hAnsi="微软雅黑" w:eastAsia="微软雅黑"/>
          <w:noProof/>
          <w:sz w:val="24"/>
        </w:rPr>
        <w:t>https://www.marketsandmarkets.com/Market-Reports/application-security-market-110170194.html</w:t>
      </w:r>
    </w:p>
    <w:p>
      <w:pPr>
        <w:spacing w:line="288" w:lineRule="auto"/>
        <w:ind w:firstLine="480" w:firstLineChars="200"/>
        <w:jc w:val="both"/>
      </w:pPr>
      <w:r>
        <w:rPr>
          <w:rFonts w:hint="eastAsia" w:ascii="微软雅黑" w:hAnsi="微软雅黑" w:eastAsia="微软雅黑"/>
          <w:noProof/>
          <w:sz w:val="24"/>
        </w:rPr>
        <w:t xml:space="preserve">[25] Cybersecurity Market Size, Share, Analysis | Global Report 2034 </w:t>
      </w:r>
      <w:r>
        <w:rPr>
          <w:rFonts w:hint="eastAsia" w:ascii="微软雅黑" w:hAnsi="微软雅黑" w:eastAsia="微软雅黑"/>
          <w:noProof/>
          <w:sz w:val="24"/>
        </w:rPr>
        <w:t>https://www.fortunebusinessinsights.com/industry-reports/cyber-security-market-101165</w:t>
      </w:r>
    </w:p>
    <w:p>
      <w:pPr>
        <w:spacing w:line="288" w:lineRule="auto"/>
        <w:ind w:firstLine="480" w:firstLineChars="200"/>
        <w:jc w:val="both"/>
      </w:pPr>
      <w:r>
        <w:rPr>
          <w:rFonts w:hint="eastAsia" w:ascii="微软雅黑" w:hAnsi="微软雅黑" w:eastAsia="微软雅黑"/>
          <w:noProof/>
          <w:sz w:val="24"/>
        </w:rPr>
        <w:t xml:space="preserve">[26] Cybersecurity trend: Moving from niche to best of breed, suites of tools </w:t>
      </w:r>
      <w:r>
        <w:rPr>
          <w:rFonts w:hint="eastAsia" w:ascii="微软雅黑" w:hAnsi="微软雅黑" w:eastAsia="微软雅黑"/>
          <w:noProof/>
          <w:sz w:val="24"/>
        </w:rPr>
        <w:t>https://federalnewsnetwork.com/innovation-in-government/2025/07/cybersecurity-trend-moving-from-niche-to-best-of-breed-suites-of-tools/</w:t>
      </w:r>
    </w:p>
    <w:p>
      <w:pPr>
        <w:spacing w:line="288" w:lineRule="auto"/>
        <w:ind w:firstLine="480" w:firstLineChars="200"/>
        <w:jc w:val="both"/>
      </w:pPr>
      <w:r>
        <w:rPr>
          <w:rFonts w:hint="eastAsia" w:ascii="微软雅黑" w:hAnsi="微软雅黑" w:eastAsia="微软雅黑"/>
          <w:noProof/>
          <w:sz w:val="24"/>
        </w:rPr>
        <w:t xml:space="preserve">[27] 2026 Top Cybersecurity Trends: What CISOs Need to Know - YouTube </w:t>
      </w:r>
      <w:r>
        <w:rPr>
          <w:rFonts w:hint="eastAsia" w:ascii="微软雅黑" w:hAnsi="微软雅黑" w:eastAsia="微软雅黑"/>
          <w:noProof/>
          <w:sz w:val="24"/>
        </w:rPr>
        <w:t>https://www.youtube.com/watch?v=RLEORjlna3s</w:t>
      </w:r>
    </w:p>
    <w:p>
      <w:pPr>
        <w:spacing w:line="288" w:lineRule="auto"/>
        <w:ind w:firstLine="480" w:firstLineChars="200"/>
        <w:jc w:val="both"/>
      </w:pPr>
      <w:r>
        <w:rPr>
          <w:rFonts w:hint="eastAsia" w:ascii="微软雅黑" w:hAnsi="微软雅黑" w:eastAsia="微软雅黑"/>
          <w:noProof/>
          <w:sz w:val="24"/>
        </w:rPr>
        <w:t xml:space="preserve">[28] Cybersecurity Trends 2026: Top Security Challenges, AI Threats </w:t>
      </w:r>
      <w:r>
        <w:rPr>
          <w:rFonts w:hint="eastAsia" w:ascii="微软雅黑" w:hAnsi="微软雅黑" w:eastAsia="微软雅黑"/>
          <w:noProof/>
          <w:sz w:val="24"/>
        </w:rPr>
        <w:t>https://seceon.com/cybersecurity-trends-2026/</w:t>
      </w:r>
    </w:p>
    <w:p>
      <w:pPr>
        <w:spacing w:line="288" w:lineRule="auto"/>
        <w:ind w:firstLine="480" w:firstLineChars="200"/>
        <w:jc w:val="both"/>
      </w:pPr>
      <w:r>
        <w:rPr>
          <w:rFonts w:hint="eastAsia" w:ascii="微软雅黑" w:hAnsi="微软雅黑" w:eastAsia="微软雅黑"/>
          <w:noProof/>
          <w:sz w:val="24"/>
        </w:rPr>
        <w:t xml:space="preserve">[29] Future of Security Technology: Industry Trends of 2026 - Pelco </w:t>
      </w:r>
      <w:r>
        <w:rPr>
          <w:rFonts w:hint="eastAsia" w:ascii="微软雅黑" w:hAnsi="微软雅黑" w:eastAsia="微软雅黑"/>
          <w:noProof/>
          <w:sz w:val="24"/>
        </w:rPr>
        <w:t>https://www.pelco.com/blog/security-technology-trends</w:t>
      </w:r>
    </w:p>
    <w:p>
      <w:pPr>
        <w:spacing w:line="288" w:lineRule="auto"/>
        <w:ind w:firstLine="480" w:firstLineChars="200"/>
        <w:jc w:val="both"/>
      </w:pPr>
      <w:r>
        <w:rPr>
          <w:rFonts w:hint="eastAsia" w:ascii="微软雅黑" w:hAnsi="微软雅黑" w:eastAsia="微软雅黑"/>
          <w:noProof/>
          <w:sz w:val="24"/>
        </w:rPr>
        <w:t xml:space="preserve">[30] Neda Pitt - Cybersecurity trends for 2026 - LinkedIn </w:t>
      </w:r>
      <w:r>
        <w:rPr>
          <w:rFonts w:hint="eastAsia" w:ascii="微软雅黑" w:hAnsi="微软雅黑" w:eastAsia="微软雅黑"/>
          <w:noProof/>
          <w:sz w:val="24"/>
        </w:rPr>
        <w:t>https://www.linkedin.com/posts/nedapitt_the-7-cyber-security-trends-of-2026-that-activity-7382490249085747200-IpQK</w:t>
      </w:r>
    </w:p>
    <w:p>
      <w:pPr>
        <w:spacing w:line="288" w:lineRule="auto"/>
        <w:ind w:firstLine="480" w:firstLineChars="200"/>
        <w:jc w:val="both"/>
      </w:pPr>
      <w:r>
        <w:rPr>
          <w:rFonts w:hint="eastAsia" w:ascii="微软雅黑" w:hAnsi="微软雅黑" w:eastAsia="微软雅黑"/>
          <w:noProof/>
          <w:sz w:val="24"/>
        </w:rPr>
        <w:t xml:space="preserve">[31] Ground Engaging Tools | Costex </w:t>
      </w:r>
      <w:r>
        <w:rPr>
          <w:rFonts w:hint="eastAsia" w:ascii="微软雅黑" w:hAnsi="微软雅黑" w:eastAsia="微软雅黑"/>
          <w:noProof/>
          <w:sz w:val="24"/>
        </w:rPr>
        <w:t>https://www.costex.com/ground-engaging-tools/</w:t>
      </w:r>
    </w:p>
    <w:p>
      <w:pPr>
        <w:spacing w:line="288" w:lineRule="auto"/>
        <w:ind w:firstLine="480" w:firstLineChars="200"/>
        <w:jc w:val="both"/>
      </w:pPr>
      <w:r>
        <w:rPr>
          <w:rFonts w:hint="eastAsia" w:ascii="微软雅黑" w:hAnsi="微软雅黑" w:eastAsia="微软雅黑"/>
          <w:noProof/>
          <w:sz w:val="24"/>
        </w:rPr>
        <w:t xml:space="preserve">[32] Ground Engaging Tools (GET) Market Report 2026-2030 and 2035 </w:t>
      </w:r>
      <w:r>
        <w:rPr>
          <w:rFonts w:hint="eastAsia" w:ascii="微软雅黑" w:hAnsi="微软雅黑" w:eastAsia="微软雅黑"/>
          <w:noProof/>
          <w:sz w:val="24"/>
        </w:rPr>
        <w:t>https://finance.yahoo.com/news/ground-engaging-tools-market-report-125200507.html</w:t>
      </w:r>
    </w:p>
    <w:p>
      <w:pPr>
        <w:spacing w:line="288" w:lineRule="auto"/>
        <w:ind w:firstLine="480" w:firstLineChars="200"/>
        <w:jc w:val="both"/>
      </w:pPr>
      <w:r>
        <w:rPr>
          <w:rFonts w:hint="eastAsia" w:ascii="微软雅黑" w:hAnsi="微软雅黑" w:eastAsia="微软雅黑"/>
          <w:noProof/>
          <w:sz w:val="24"/>
        </w:rPr>
        <w:t xml:space="preserve">[33] Ground Engaging Tools Market Size &amp; Share Analysis, 2033 </w:t>
      </w:r>
      <w:r>
        <w:rPr>
          <w:rFonts w:hint="eastAsia" w:ascii="微软雅黑" w:hAnsi="微软雅黑" w:eastAsia="微软雅黑"/>
          <w:noProof/>
          <w:sz w:val="24"/>
        </w:rPr>
        <w:t>https://metastatinsight.com/report/ground-engaging-tools-market</w:t>
      </w:r>
    </w:p>
    <w:p>
      <w:pPr>
        <w:spacing w:line="288" w:lineRule="auto"/>
        <w:ind w:firstLine="480" w:firstLineChars="200"/>
        <w:jc w:val="both"/>
      </w:pPr>
      <w:r>
        <w:rPr>
          <w:rFonts w:hint="eastAsia" w:ascii="微软雅黑" w:hAnsi="微软雅黑" w:eastAsia="微软雅黑"/>
          <w:noProof/>
          <w:sz w:val="24"/>
        </w:rPr>
        <w:t xml:space="preserve">[34] Ground Engaging Tools - ITR Africa | Supplier of Parts for ... </w:t>
      </w:r>
      <w:r>
        <w:rPr>
          <w:rFonts w:hint="eastAsia" w:ascii="微软雅黑" w:hAnsi="微软雅黑" w:eastAsia="微软雅黑"/>
          <w:noProof/>
          <w:sz w:val="24"/>
        </w:rPr>
        <w:t>https://itrafrica.com/ground-engaging-tools.php</w:t>
      </w:r>
    </w:p>
    <w:p>
      <w:pPr>
        <w:spacing w:line="288" w:lineRule="auto"/>
        <w:ind w:firstLine="480" w:firstLineChars="200"/>
        <w:jc w:val="both"/>
      </w:pPr>
      <w:r>
        <w:rPr>
          <w:rFonts w:hint="eastAsia" w:ascii="微软雅黑" w:hAnsi="微软雅黑" w:eastAsia="微软雅黑"/>
          <w:noProof/>
          <w:sz w:val="24"/>
        </w:rPr>
        <w:t xml:space="preserve">[35] High performance ground engaging tools for earthmoving machines ... </w:t>
      </w:r>
      <w:r>
        <w:rPr>
          <w:rFonts w:hint="eastAsia" w:ascii="微软雅黑" w:hAnsi="微软雅黑" w:eastAsia="微软雅黑"/>
          <w:noProof/>
          <w:sz w:val="24"/>
        </w:rPr>
        <w:t>https://www.facebook.com/esp1980/videos/high-performance-ground-engaging-tools-for-earthmoving-machines-from-esp-africa-/2524234017914647/</w:t>
      </w:r>
    </w:p>
    <w:p>
      <w:pPr>
        <w:spacing w:line="288" w:lineRule="auto"/>
        <w:ind w:firstLine="480" w:firstLineChars="200"/>
        <w:jc w:val="both"/>
      </w:pPr>
      <w:r>
        <w:rPr>
          <w:rFonts w:hint="eastAsia" w:ascii="微软雅黑" w:hAnsi="微软雅黑" w:eastAsia="微软雅黑"/>
          <w:noProof/>
          <w:sz w:val="24"/>
        </w:rPr>
        <w:t xml:space="preserve">[36] BUCKET TEETH | TVH South Africa </w:t>
      </w:r>
      <w:r>
        <w:rPr>
          <w:rFonts w:hint="eastAsia" w:ascii="微软雅黑" w:hAnsi="微软雅黑" w:eastAsia="微软雅黑"/>
          <w:noProof/>
          <w:sz w:val="24"/>
        </w:rPr>
        <w:t>https://www.tvh.com/en-za/parts/parts-for/small-earth-moving-equipment/backhoe-loaders/bucket-teeth</w:t>
      </w:r>
    </w:p>
    <w:p>
      <w:pPr>
        <w:spacing w:line="288" w:lineRule="auto"/>
        <w:ind w:firstLine="480" w:firstLineChars="200"/>
        <w:jc w:val="both"/>
      </w:pPr>
      <w:r>
        <w:rPr>
          <w:rFonts w:hint="eastAsia" w:ascii="微软雅黑" w:hAnsi="微软雅黑" w:eastAsia="微软雅黑"/>
          <w:noProof/>
          <w:sz w:val="24"/>
        </w:rPr>
        <w:t xml:space="preserve">[37] Wheel Loader Bucket Teeth Now available LiuGong ... - Instagram </w:t>
      </w:r>
      <w:r>
        <w:rPr>
          <w:rFonts w:hint="eastAsia" w:ascii="微软雅黑" w:hAnsi="微软雅黑" w:eastAsia="微软雅黑"/>
          <w:noProof/>
          <w:sz w:val="24"/>
        </w:rPr>
        <w:t>https://www.instagram.com/p/DNxCtJe0LWO/</w:t>
      </w:r>
    </w:p>
    <w:p>
      <w:pPr>
        <w:spacing w:line="288" w:lineRule="auto"/>
        <w:ind w:firstLine="480" w:firstLineChars="200"/>
        <w:jc w:val="both"/>
      </w:pPr>
      <w:r>
        <w:rPr>
          <w:rFonts w:hint="eastAsia" w:ascii="微软雅黑" w:hAnsi="微软雅黑" w:eastAsia="微软雅黑"/>
          <w:noProof/>
          <w:sz w:val="24"/>
        </w:rPr>
        <w:t xml:space="preserve">[38] Komatsu Bucket Teeth - TOSOG </w:t>
      </w:r>
      <w:r>
        <w:rPr>
          <w:rFonts w:hint="eastAsia" w:ascii="微软雅黑" w:hAnsi="微软雅黑" w:eastAsia="微软雅黑"/>
          <w:noProof/>
          <w:sz w:val="24"/>
        </w:rPr>
        <w:t>https://www.tosog.co.za/komatsu-bucket-teeth/</w:t>
      </w:r>
    </w:p>
    <w:p>
      <w:pPr>
        <w:spacing w:line="288" w:lineRule="auto"/>
        <w:ind w:firstLine="480" w:firstLineChars="200"/>
        <w:jc w:val="both"/>
      </w:pPr>
      <w:r>
        <w:rPr>
          <w:rFonts w:hint="eastAsia" w:ascii="微软雅黑" w:hAnsi="微软雅黑" w:eastAsia="微软雅黑"/>
          <w:noProof/>
          <w:sz w:val="24"/>
        </w:rPr>
        <w:t xml:space="preserve">[39] CATERPILLAR Teeth For Sale - 91 Listings - MarketBook South Africa </w:t>
      </w:r>
      <w:r>
        <w:rPr>
          <w:rFonts w:hint="eastAsia" w:ascii="微软雅黑" w:hAnsi="微软雅黑" w:eastAsia="微软雅黑"/>
          <w:noProof/>
          <w:sz w:val="24"/>
        </w:rPr>
        <w:t>https://www.marketbook.co.za/listings/for-sale/caterpillar/teeth/31360</w:t>
      </w:r>
    </w:p>
    <w:p>
      <w:pPr>
        <w:spacing w:line="288" w:lineRule="auto"/>
        <w:ind w:firstLine="480" w:firstLineChars="200"/>
        <w:jc w:val="both"/>
      </w:pPr>
      <w:r>
        <w:rPr>
          <w:rFonts w:hint="eastAsia" w:ascii="微软雅黑" w:hAnsi="微软雅黑" w:eastAsia="微软雅黑"/>
          <w:noProof/>
          <w:sz w:val="24"/>
        </w:rPr>
        <w:t xml:space="preserve">[40] Find Top-quality Wear Resistant Bucket Teeth at Tractor &amp; Grader ... </w:t>
      </w:r>
      <w:r>
        <w:rPr>
          <w:rFonts w:hint="eastAsia" w:ascii="微软雅黑" w:hAnsi="微软雅黑" w:eastAsia="微软雅黑"/>
          <w:noProof/>
          <w:sz w:val="24"/>
        </w:rPr>
        <w:t>https://www.tags.co.za/wear-resistant-bucket-teeth-find-top-quality-wear-resistant-bucket-teeth-at-tractor-grader-supplies/</w:t>
      </w:r>
    </w:p>
    <w:p>
      <w:pPr>
        <w:spacing w:line="288" w:lineRule="auto"/>
        <w:ind w:firstLine="480" w:firstLineChars="200"/>
        <w:jc w:val="both"/>
      </w:pPr>
      <w:r>
        <w:rPr>
          <w:rFonts w:hint="eastAsia" w:ascii="微软雅黑" w:hAnsi="微软雅黑" w:eastAsia="微软雅黑"/>
          <w:noProof/>
          <w:sz w:val="24"/>
        </w:rPr>
        <w:t xml:space="preserve">[41] Top 10 Bitcoin Mining ASIC Machines for 2026 - HashrateIndex </w:t>
      </w:r>
      <w:r>
        <w:rPr>
          <w:rFonts w:hint="eastAsia" w:ascii="微软雅黑" w:hAnsi="微软雅黑" w:eastAsia="微软雅黑"/>
          <w:noProof/>
          <w:sz w:val="24"/>
        </w:rPr>
        <w:t>https://hashrateindex.com/blog/top-10-bitcoin-mining-asic-machines-for-2026/</w:t>
      </w:r>
    </w:p>
    <w:p>
      <w:pPr>
        <w:spacing w:line="288" w:lineRule="auto"/>
        <w:ind w:firstLine="480" w:firstLineChars="200"/>
        <w:jc w:val="both"/>
      </w:pPr>
      <w:r>
        <w:rPr>
          <w:rFonts w:hint="eastAsia" w:ascii="微软雅黑" w:hAnsi="微软雅黑" w:eastAsia="微软雅黑"/>
          <w:noProof/>
          <w:sz w:val="24"/>
        </w:rPr>
        <w:t xml:space="preserve">[42] Is Crypto Mining Still Profitable? June 2026 GPU, ASIC &amp; CPU Update </w:t>
      </w:r>
      <w:r>
        <w:rPr>
          <w:rFonts w:hint="eastAsia" w:ascii="微软雅黑" w:hAnsi="微软雅黑" w:eastAsia="微软雅黑"/>
          <w:noProof/>
          <w:sz w:val="24"/>
        </w:rPr>
        <w:t>https://www.youtube.com/watch?v=d1dEiz0K0yk</w:t>
      </w:r>
    </w:p>
    <w:p>
      <w:pPr>
        <w:spacing w:line="288" w:lineRule="auto"/>
        <w:ind w:firstLine="480" w:firstLineChars="200"/>
        <w:jc w:val="both"/>
      </w:pPr>
      <w:r>
        <w:rPr>
          <w:rFonts w:hint="eastAsia" w:ascii="微软雅黑" w:hAnsi="微软雅黑" w:eastAsia="微软雅黑"/>
          <w:noProof/>
          <w:sz w:val="24"/>
        </w:rPr>
        <w:t xml:space="preserve">[43] Shifting gear: mining OEMs reset for a different future </w:t>
      </w:r>
      <w:r>
        <w:rPr>
          <w:rFonts w:hint="eastAsia" w:ascii="微软雅黑" w:hAnsi="微软雅黑" w:eastAsia="微软雅黑"/>
          <w:noProof/>
          <w:sz w:val="24"/>
        </w:rPr>
        <w:t>https://imarcglobal.com/news/industry/shifting-gear-mining-oems-reset-for-a-different-future</w:t>
      </w:r>
    </w:p>
    <w:p>
      <w:pPr>
        <w:spacing w:line="288" w:lineRule="auto"/>
        <w:ind w:firstLine="480" w:firstLineChars="200"/>
        <w:jc w:val="both"/>
      </w:pPr>
      <w:r>
        <w:rPr>
          <w:rFonts w:hint="eastAsia" w:ascii="微软雅黑" w:hAnsi="微软雅黑" w:eastAsia="微软雅黑"/>
          <w:noProof/>
          <w:sz w:val="24"/>
        </w:rPr>
        <w:t xml:space="preserve">[44] Ten major mining tech trends in 2026: Part 2 | Resourcing Tomorrow </w:t>
      </w:r>
      <w:r>
        <w:rPr>
          <w:rFonts w:hint="eastAsia" w:ascii="微软雅黑" w:hAnsi="微软雅黑" w:eastAsia="微软雅黑"/>
          <w:noProof/>
          <w:sz w:val="24"/>
        </w:rPr>
        <w:t>https://resourcingtomorrow.com/news/industry/ten-major-mining-tech-trends-in-2026-part-2</w:t>
      </w:r>
    </w:p>
    <w:p>
      <w:pPr>
        <w:spacing w:line="288" w:lineRule="auto"/>
        <w:ind w:firstLine="480" w:firstLineChars="200"/>
        <w:jc w:val="both"/>
      </w:pPr>
      <w:r>
        <w:rPr>
          <w:rFonts w:hint="eastAsia" w:ascii="微软雅黑" w:hAnsi="微软雅黑" w:eastAsia="微软雅黑"/>
          <w:noProof/>
          <w:sz w:val="24"/>
        </w:rPr>
        <w:t xml:space="preserve">[45] Mining &amp; metals 2026: Adapting to a policy-driven business cycle </w:t>
      </w:r>
      <w:r>
        <w:rPr>
          <w:rFonts w:hint="eastAsia" w:ascii="微软雅黑" w:hAnsi="微软雅黑" w:eastAsia="微软雅黑"/>
          <w:noProof/>
          <w:sz w:val="24"/>
        </w:rPr>
        <w:t>https://www.whitecase.com/insight-our-thinking/mining-metals-2026-adapting-policy-driven-business-cycle</w:t>
      </w:r>
    </w:p>
    <w:p>
      <w:pPr>
        <w:spacing w:line="288" w:lineRule="auto"/>
        <w:ind w:firstLine="480" w:firstLineChars="200"/>
        <w:jc w:val="both"/>
      </w:pPr>
      <w:r>
        <w:rPr>
          <w:rFonts w:hint="eastAsia" w:ascii="微软雅黑" w:hAnsi="微软雅黑" w:eastAsia="微软雅黑"/>
          <w:noProof/>
          <w:sz w:val="24"/>
        </w:rPr>
        <w:t xml:space="preserve">[46] As Mining Indaba 2026 highlighted, the future of mining will be built ... </w:t>
      </w:r>
      <w:r>
        <w:rPr>
          <w:rFonts w:hint="eastAsia" w:ascii="微软雅黑" w:hAnsi="微软雅黑" w:eastAsia="微软雅黑"/>
          <w:noProof/>
          <w:sz w:val="24"/>
        </w:rPr>
        <w:t>https://www.instagram.com/reel/DZIJlDbD9tn/</w:t>
      </w:r>
    </w:p>
    <w:p>
      <w:pPr>
        <w:spacing w:line="288" w:lineRule="auto"/>
        <w:ind w:firstLine="480" w:firstLineChars="200"/>
        <w:jc w:val="both"/>
      </w:pPr>
      <w:r>
        <w:rPr>
          <w:rFonts w:hint="eastAsia" w:ascii="微软雅黑" w:hAnsi="微软雅黑" w:eastAsia="微软雅黑"/>
          <w:noProof/>
          <w:sz w:val="24"/>
        </w:rPr>
        <w:t xml:space="preserve">[47] Mining Indaba | African Mining Conference | 8-11 Feb 2027 | Cape ... </w:t>
      </w:r>
      <w:r>
        <w:rPr>
          <w:rFonts w:hint="eastAsia" w:ascii="微软雅黑" w:hAnsi="微软雅黑" w:eastAsia="微软雅黑"/>
          <w:noProof/>
          <w:sz w:val="24"/>
        </w:rPr>
        <w:t>https://miningindaba.com/home</w:t>
      </w:r>
    </w:p>
    <w:p>
      <w:pPr>
        <w:spacing w:line="288" w:lineRule="auto"/>
        <w:ind w:firstLine="480" w:firstLineChars="200"/>
        <w:jc w:val="both"/>
      </w:pPr>
      <w:r>
        <w:rPr>
          <w:rFonts w:hint="eastAsia" w:ascii="微软雅黑" w:hAnsi="微软雅黑" w:eastAsia="微软雅黑"/>
          <w:noProof/>
          <w:sz w:val="24"/>
        </w:rPr>
        <w:t xml:space="preserve">[48] Powering Critical Minerals in Southern Africa - YouTube </w:t>
      </w:r>
      <w:r>
        <w:rPr>
          <w:rFonts w:hint="eastAsia" w:ascii="微软雅黑" w:hAnsi="微软雅黑" w:eastAsia="微软雅黑"/>
          <w:noProof/>
          <w:sz w:val="24"/>
        </w:rPr>
        <w:t>https://www.youtube.com/watch?v=ynGxV_ieXRM</w:t>
      </w:r>
    </w:p>
    <w:p>
      <w:pPr>
        <w:spacing w:line="288" w:lineRule="auto"/>
        <w:ind w:firstLine="480" w:firstLineChars="200"/>
        <w:jc w:val="both"/>
      </w:pPr>
      <w:r>
        <w:rPr>
          <w:rFonts w:hint="eastAsia" w:ascii="微软雅黑" w:hAnsi="微软雅黑" w:eastAsia="微软雅黑"/>
          <w:noProof/>
          <w:sz w:val="24"/>
        </w:rPr>
        <w:t xml:space="preserve">[49] Mining triggers extensive additional deforestation in sub-Saharan ... </w:t>
      </w:r>
      <w:r>
        <w:rPr>
          <w:rFonts w:hint="eastAsia" w:ascii="微软雅黑" w:hAnsi="微软雅黑" w:eastAsia="微软雅黑"/>
          <w:noProof/>
          <w:sz w:val="24"/>
        </w:rPr>
        <w:t>https://www.nature.com/articles/s41586-026-10551-2</w:t>
      </w:r>
    </w:p>
    <w:p>
      <w:pPr>
        <w:spacing w:line="288" w:lineRule="auto"/>
        <w:ind w:firstLine="480" w:firstLineChars="200"/>
        <w:jc w:val="both"/>
      </w:pPr>
      <w:r>
        <w:rPr>
          <w:rFonts w:hint="eastAsia" w:ascii="微软雅黑" w:hAnsi="微软雅黑" w:eastAsia="微软雅黑"/>
          <w:noProof/>
          <w:sz w:val="24"/>
        </w:rPr>
        <w:t xml:space="preserve">[50] Wave of change in West and Southern African mining jurisdictions </w:t>
      </w:r>
      <w:r>
        <w:rPr>
          <w:rFonts w:hint="eastAsia" w:ascii="微软雅黑" w:hAnsi="微软雅黑" w:eastAsia="微软雅黑"/>
          <w:noProof/>
          <w:sz w:val="24"/>
        </w:rPr>
        <w:t>https://www.africanmining.co.za/2026/06/29/wave-of-change-in-west-and-southern-african-mining-jurisdictions/</w:t>
      </w:r>
    </w:p>
    <w:p>
      <w:pPr>
        <w:spacing w:line="288" w:lineRule="auto"/>
        <w:ind w:firstLine="480" w:firstLineChars="200"/>
        <w:jc w:val="both"/>
      </w:pPr>
      <w:r>
        <w:rPr>
          <w:rFonts w:hint="eastAsia" w:ascii="微软雅黑" w:hAnsi="微软雅黑" w:eastAsia="微软雅黑"/>
          <w:noProof/>
          <w:sz w:val="24"/>
        </w:rPr>
        <w:t xml:space="preserve">[51] Mining Equipment Market Size to Hit USD 229.20 Billion by 2035 </w:t>
      </w:r>
      <w:r>
        <w:rPr>
          <w:rFonts w:hint="eastAsia" w:ascii="微软雅黑" w:hAnsi="微软雅黑" w:eastAsia="微软雅黑"/>
          <w:noProof/>
          <w:sz w:val="24"/>
        </w:rPr>
        <w:t>https://www.precedenceresearch.com/mining-equipment-market</w:t>
      </w:r>
    </w:p>
    <w:p>
      <w:pPr>
        <w:spacing w:line="288" w:lineRule="auto"/>
        <w:ind w:firstLine="480" w:firstLineChars="200"/>
        <w:jc w:val="both"/>
      </w:pPr>
      <w:r>
        <w:rPr>
          <w:rFonts w:hint="eastAsia" w:ascii="微软雅黑" w:hAnsi="微软雅黑" w:eastAsia="微软雅黑"/>
          <w:noProof/>
          <w:sz w:val="24"/>
        </w:rPr>
        <w:t xml:space="preserve">[53] Data Mining Tools Market Size &amp; Share - Growth Report 2035 </w:t>
      </w:r>
      <w:r>
        <w:rPr>
          <w:rFonts w:hint="eastAsia" w:ascii="微软雅黑" w:hAnsi="微软雅黑" w:eastAsia="微软雅黑"/>
          <w:noProof/>
          <w:sz w:val="24"/>
        </w:rPr>
        <w:t>https://www.researchnester.com/reports/global-data-mining-tool-market/1696</w:t>
      </w:r>
    </w:p>
    <w:p>
      <w:pPr>
        <w:spacing w:line="288" w:lineRule="auto"/>
        <w:ind w:firstLine="480" w:firstLineChars="200"/>
        <w:jc w:val="both"/>
      </w:pPr>
      <w:r>
        <w:rPr>
          <w:rFonts w:hint="eastAsia" w:ascii="微软雅黑" w:hAnsi="微软雅黑" w:eastAsia="微软雅黑"/>
          <w:noProof/>
          <w:sz w:val="24"/>
        </w:rPr>
        <w:t xml:space="preserve">[54] Data Mining Market Size, Competitive Landscape, Growth Trends ... </w:t>
      </w:r>
      <w:r>
        <w:rPr>
          <w:rFonts w:hint="eastAsia" w:ascii="微软雅黑" w:hAnsi="微软雅黑" w:eastAsia="微软雅黑"/>
          <w:noProof/>
          <w:sz w:val="24"/>
        </w:rPr>
        <w:t>https://www.mordorintelligence.com/industry-reports/data-mining-market</w:t>
      </w:r>
    </w:p>
    <w:p>
      <w:pPr>
        <w:spacing w:line="288" w:lineRule="auto"/>
        <w:ind w:firstLine="480" w:firstLineChars="200"/>
        <w:jc w:val="both"/>
      </w:pPr>
      <w:r>
        <w:rPr>
          <w:rFonts w:hint="eastAsia" w:ascii="微软雅黑" w:hAnsi="微软雅黑" w:eastAsia="微软雅黑"/>
          <w:noProof/>
          <w:sz w:val="24"/>
        </w:rPr>
        <w:t xml:space="preserve">[55] Outlook on the Mining Equipment Global Market to 2026 </w:t>
      </w:r>
      <w:r>
        <w:rPr>
          <w:rFonts w:hint="eastAsia" w:ascii="微软雅黑" w:hAnsi="微软雅黑" w:eastAsia="微软雅黑"/>
          <w:noProof/>
          <w:sz w:val="24"/>
        </w:rPr>
        <w:t>https://finance.yahoo.com/news/outlook-mining-equipment-global-market-121300241.html</w:t>
      </w:r>
    </w:p>
    <w:p>
      <w:pPr>
        <w:spacing w:line="288" w:lineRule="auto"/>
        <w:ind w:firstLine="480" w:firstLineChars="200"/>
        <w:jc w:val="both"/>
      </w:pPr>
      <w:r>
        <w:rPr>
          <w:rFonts w:hint="eastAsia" w:ascii="微软雅黑" w:hAnsi="微软雅黑" w:eastAsia="微软雅黑"/>
          <w:noProof/>
          <w:sz w:val="24"/>
        </w:rPr>
        <w:t xml:space="preserve">[56] Data Mining Tools Market Size, Share | Analysis Report, 2034 </w:t>
      </w:r>
      <w:r>
        <w:rPr>
          <w:rFonts w:hint="eastAsia" w:ascii="微软雅黑" w:hAnsi="微软雅黑" w:eastAsia="微软雅黑"/>
          <w:noProof/>
          <w:sz w:val="24"/>
        </w:rPr>
        <w:t>https://www.fortunebusinessinsights.com/data-mining-tools-market-107800</w:t>
      </w:r>
    </w:p>
    <w:p>
      <w:pPr>
        <w:spacing w:line="288" w:lineRule="auto"/>
        <w:ind w:firstLine="480" w:firstLineChars="200"/>
        <w:jc w:val="both"/>
      </w:pPr>
      <w:r>
        <w:rPr>
          <w:rFonts w:hint="eastAsia" w:ascii="微软雅黑" w:hAnsi="微软雅黑" w:eastAsia="微软雅黑"/>
          <w:noProof/>
          <w:sz w:val="24"/>
        </w:rPr>
        <w:t xml:space="preserve">[57] Mining Equipment Market Size, Share and Forecast, 2026-2033 </w:t>
      </w:r>
      <w:r>
        <w:rPr>
          <w:rFonts w:hint="eastAsia" w:ascii="微软雅黑" w:hAnsi="微软雅黑" w:eastAsia="微软雅黑"/>
          <w:noProof/>
          <w:sz w:val="24"/>
        </w:rPr>
        <w:t>https://www.coherentmarketinsights.com/market-insight/mining-equipment-market-5561</w:t>
      </w:r>
    </w:p>
    <w:p>
      <w:pPr>
        <w:spacing w:line="288" w:lineRule="auto"/>
        <w:ind w:firstLine="480" w:firstLineChars="200"/>
        <w:jc w:val="both"/>
      </w:pPr>
      <w:r>
        <w:rPr>
          <w:rFonts w:hint="eastAsia" w:ascii="微软雅黑" w:hAnsi="微软雅黑" w:eastAsia="微软雅黑"/>
          <w:noProof/>
          <w:sz w:val="24"/>
        </w:rPr>
        <w:t xml:space="preserve">[59] Underground Mining Equipment Market Report, 2026-2033 </w:t>
      </w:r>
      <w:r>
        <w:rPr>
          <w:rFonts w:hint="eastAsia" w:ascii="微软雅黑" w:hAnsi="微软雅黑" w:eastAsia="微软雅黑"/>
          <w:noProof/>
          <w:sz w:val="24"/>
        </w:rPr>
        <w:t>https://www.grandviewresearch.com/industry-analysis/underground-mining-equipment-market-report</w:t>
      </w:r>
    </w:p>
    <w:sectPr>
      <w:pgSz w:w="11906" w:h="16838"/>
      <w:pgMar w:top="1440" w:right="1800" w:bottom="1440" w:left="1800" w:header="851" w:footer="992" w:gutter="0"/>
      <w:docGrid w:type="lines" w:linePitch="312"/>
    </w:sectPr>
  </w:body>
</w:document>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charts/chart1.xml" Type="http://schemas.openxmlformats.org/officeDocument/2006/relationships/chart" Id="rId3"/>
    <Relationship Target="charts/chart2.xml" Type="http://schemas.openxmlformats.org/officeDocument/2006/relationships/chart" Id="rId4"/>
</Relationships>

</file>

<file path=word/charts/_rels/chart1.xml.rels><?xml version="1.0" encoding="UTF-8" standalone="yes"?>
<Relationships xmlns="http://schemas.openxmlformats.org/package/2006/relationships">
    <Relationship Target="../embeddings/1.xlsx" Type="http://schemas.openxmlformats.org/officeDocument/2006/relationships/package" Id="rId1"/>
</Relationships>

</file>

<file path=word/charts/_rels/chart2.xml.rels><?xml version="1.0" encoding="UTF-8" standalone="yes"?>
<Relationships xmlns="http://schemas.openxmlformats.org/package/2006/relationships">
    <Relationship Target="../embeddings/2.xlsx" Type="http://schemas.openxmlformats.org/officeDocument/2006/relationships/package" Id="rId1"/>
</Relationships>

</file>

<file path=word/charts/chart1.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pieChart>
        <c:ser>
          <c:idx val="0"/>
          <c:order val="0"/>
          <c:tx>
            <c:strRef>
              <c:f>Sheet1!$B$1</c:f>
              <c:strCache>
                <c:ptCount val="1"/>
                <c:pt idx="0">
                  <c:v>Market Share (%)</c:v>
                </c:pt>
              </c:strCache>
            </c:strRef>
          </c:tx>
          <c:dPt>
            <c:idx val="0"/>
            <c:bubble3D val="false"/>
            <c:spPr>
              <a:solidFill>
                <a:srgbClr val="FF7733"/>
              </a:solidFill>
            </c:spPr>
          </c:dPt>
          <c:dPt>
            <c:idx val="1"/>
            <c:bubble3D val="false"/>
            <c:spPr>
              <a:solidFill>
                <a:srgbClr val="F8D256"/>
              </a:solidFill>
            </c:spPr>
          </c:dPt>
          <c:dPt>
            <c:idx val="2"/>
            <c:bubble3D val="false"/>
            <c:spPr>
              <a:solidFill>
                <a:srgbClr val="FF9D6C"/>
              </a:solidFill>
            </c:spPr>
          </c:dPt>
          <c:dPt>
            <c:idx val="3"/>
            <c:bubble3D val="false"/>
            <c:spPr>
              <a:solidFill>
                <a:srgbClr val="F5C1A0"/>
              </a:solidFill>
            </c:spPr>
          </c:dPt>
          <c:dLbls>
            <c:dLblPos val="outEnd"/>
            <c:showVal val="true"/>
            <c:showCatName val="true"/>
            <c:showSerName val="false"/>
            <c:showPercent val="false"/>
            <c:showBubbleSize val="false"/>
            <c:showLeaderLines val="true"/>
            <c:leaderLines>
              <c:spPr>
                <a:ln>
                  <a:solidFill>
                    <a:srgbClr val="FF7733"/>
                  </a:solidFill>
                </a:ln>
              </c:spPr>
            </c:leaderLines>
          </c:dLbls>
          <c:cat>
            <c:strRef>
              <c:f>Sheet1!$A$2:$A$5</c:f>
              <c:strCache>
                <c:ptCount val="4"/>
                <c:pt idx="0">
                  <c:v>Commercial</c:v>
                </c:pt>
                <c:pt idx="1">
                  <c:v>Residential</c:v>
                </c:pt>
                <c:pt idx="2">
                  <c:v>Government</c:v>
                </c:pt>
                <c:pt idx="3">
                  <c:v>Industrial</c:v>
                </c:pt>
              </c:strCache>
            </c:strRef>
          </c:cat>
          <c:val>
            <c:numRef>
              <c:f>Sheet1!$B$2:$B$5</c:f>
              <c:numCache>
                <c:ptCount val="4"/>
                <c:pt idx="0">
                  <c:v>40</c:v>
                </c:pt>
                <c:pt idx="1">
                  <c:v>30</c:v>
                </c:pt>
                <c:pt idx="2">
                  <c:v>15</c:v>
                </c:pt>
                <c:pt idx="3">
                  <c:v>15</c:v>
                </c:pt>
              </c:numCache>
            </c:numRef>
          </c:val>
        </c:ser>
      </c:pieChart>
      <c:spPr>
        <a:solidFill>
          <a:srgbClr val="F7F8FA"/>
        </a:solidFill>
      </c:spPr>
    </c:plotArea>
    <c:legend>
      <c:legendPos val="t"/>
      <c:overlay val="false"/>
    </c:legend>
  </c:chart>
  <c:spPr>
    <a:solidFill>
      <a:srgbClr val="F7F8FA"/>
    </a:solidFill>
    <a:ln>
      <a:noFill/>
    </a:ln>
  </c:spPr>
  <c:externalData r:id="rId1">
    <c:autoUpdate val="true"/>
  </c:externalData>
</c:chartSpace>
</file>

<file path=word/charts/chart2.xml><?xml version="1.0" encoding="utf-8"?>
<c:chartSpace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chart>
    <c:plotArea>
      <c:lineChart>
        <c:grouping val="standard"/>
        <c:varyColors val="false"/>
        <c:ser>
          <c:idx val="0"/>
          <c:order val="0"/>
          <c:tx>
            <c:strRef>
              <c:f>Sheet1!$B$1</c:f>
              <c:strCache>
                <c:ptCount val="1"/>
                <c:pt idx="0">
                  <c:v>Asia-Pacific (%)</c:v>
                </c:pt>
              </c:strCache>
            </c:strRef>
          </c:tx>
          <c:spPr>
            <a:ln>
              <a:solidFill>
                <a:srgbClr val="FF7733"/>
              </a:solidFill>
            </a:ln>
          </c:spPr>
          <c:marker>
            <c:symbol val="circle"/>
            <c:size val="4"/>
            <c:spPr>
              <a:noFill/>
              <a:ln>
                <a:solidFill>
                  <a:srgbClr val="FF7733"/>
                </a:solidFill>
              </a:ln>
            </c:spPr>
          </c:marker>
          <c:cat>
            <c:strRef>
              <c:f>Sheet1!$A$2:$A$6</c:f>
              <c:strCache>
                <c:ptCount val="5"/>
                <c:pt idx="0">
                  <c:v>2020</c:v>
                </c:pt>
                <c:pt idx="1">
                  <c:v>2021</c:v>
                </c:pt>
                <c:pt idx="2">
                  <c:v>2022</c:v>
                </c:pt>
                <c:pt idx="3">
                  <c:v>2023</c:v>
                </c:pt>
                <c:pt idx="4">
                  <c:v>2024</c:v>
                </c:pt>
              </c:strCache>
            </c:strRef>
          </c:cat>
          <c:val>
            <c:numRef>
              <c:f>Sheet1!$B$2:$B$6</c:f>
              <c:numCache>
                <c:ptCount val="5"/>
                <c:pt idx="0">
                  <c:v>40</c:v>
                </c:pt>
                <c:pt idx="1">
                  <c:v>42</c:v>
                </c:pt>
                <c:pt idx="2">
                  <c:v>43</c:v>
                </c:pt>
                <c:pt idx="3">
                  <c:v>45</c:v>
                </c:pt>
                <c:pt idx="4">
                  <c:v>46</c:v>
                </c:pt>
              </c:numCache>
            </c:numRef>
          </c:val>
          <c:smooth val="false"/>
        </c:ser>
        <c:ser>
          <c:idx val="1"/>
          <c:order val="1"/>
          <c:tx>
            <c:strRef>
              <c:f>Sheet1!$C$1</c:f>
              <c:strCache>
                <c:ptCount val="1"/>
                <c:pt idx="0">
                  <c:v>North America (%)</c:v>
                </c:pt>
              </c:strCache>
            </c:strRef>
          </c:tx>
          <c:spPr>
            <a:ln>
              <a:solidFill>
                <a:srgbClr val="F8D256"/>
              </a:solidFill>
            </a:ln>
          </c:spPr>
          <c:marker>
            <c:symbol val="circle"/>
            <c:size val="4"/>
            <c:spPr>
              <a:noFill/>
              <a:ln>
                <a:solidFill>
                  <a:srgbClr val="F8D256"/>
                </a:solidFill>
              </a:ln>
            </c:spPr>
          </c:marker>
          <c:cat>
            <c:strRef>
              <c:f>Sheet1!$A$2:$A$6</c:f>
              <c:strCache>
                <c:ptCount val="5"/>
                <c:pt idx="0">
                  <c:v>2020</c:v>
                </c:pt>
                <c:pt idx="1">
                  <c:v>2021</c:v>
                </c:pt>
                <c:pt idx="2">
                  <c:v>2022</c:v>
                </c:pt>
                <c:pt idx="3">
                  <c:v>2023</c:v>
                </c:pt>
                <c:pt idx="4">
                  <c:v>2024</c:v>
                </c:pt>
              </c:strCache>
            </c:strRef>
          </c:cat>
          <c:val>
            <c:numRef>
              <c:f>Sheet1!$C$2:$C$6</c:f>
              <c:numCache>
                <c:ptCount val="5"/>
                <c:pt idx="0">
                  <c:v>28</c:v>
                </c:pt>
                <c:pt idx="1">
                  <c:v>27</c:v>
                </c:pt>
                <c:pt idx="2">
                  <c:v>26</c:v>
                </c:pt>
                <c:pt idx="3">
                  <c:v>25</c:v>
                </c:pt>
                <c:pt idx="4">
                  <c:v>24</c:v>
                </c:pt>
              </c:numCache>
            </c:numRef>
          </c:val>
          <c:smooth val="false"/>
        </c:ser>
        <c:ser>
          <c:idx val="2"/>
          <c:order val="2"/>
          <c:tx>
            <c:strRef>
              <c:f>Sheet1!$D$1</c:f>
              <c:strCache>
                <c:ptCount val="1"/>
                <c:pt idx="0">
                  <c:v>Europe (%)</c:v>
                </c:pt>
              </c:strCache>
            </c:strRef>
          </c:tx>
          <c:spPr>
            <a:ln>
              <a:solidFill>
                <a:srgbClr val="FF9D6C"/>
              </a:solidFill>
            </a:ln>
          </c:spPr>
          <c:marker>
            <c:symbol val="circle"/>
            <c:size val="4"/>
            <c:spPr>
              <a:noFill/>
              <a:ln>
                <a:solidFill>
                  <a:srgbClr val="FF9D6C"/>
                </a:solidFill>
              </a:ln>
            </c:spPr>
          </c:marker>
          <c:cat>
            <c:strRef>
              <c:f>Sheet1!$A$2:$A$6</c:f>
              <c:strCache>
                <c:ptCount val="5"/>
                <c:pt idx="0">
                  <c:v>2020</c:v>
                </c:pt>
                <c:pt idx="1">
                  <c:v>2021</c:v>
                </c:pt>
                <c:pt idx="2">
                  <c:v>2022</c:v>
                </c:pt>
                <c:pt idx="3">
                  <c:v>2023</c:v>
                </c:pt>
                <c:pt idx="4">
                  <c:v>2024</c:v>
                </c:pt>
              </c:strCache>
            </c:strRef>
          </c:cat>
          <c:val>
            <c:numRef>
              <c:f>Sheet1!$D$2:$D$6</c:f>
              <c:numCache>
                <c:ptCount val="5"/>
                <c:pt idx="0">
                  <c:v>18</c:v>
                </c:pt>
                <c:pt idx="1">
                  <c:v>17</c:v>
                </c:pt>
                <c:pt idx="2">
                  <c:v>17</c:v>
                </c:pt>
                <c:pt idx="3">
                  <c:v>16</c:v>
                </c:pt>
                <c:pt idx="4">
                  <c:v>15</c:v>
                </c:pt>
              </c:numCache>
            </c:numRef>
          </c:val>
          <c:smooth val="false"/>
        </c:ser>
        <c:smooth val="false"/>
        <c:axId val="2129545"/>
        <c:axId val="8524216"/>
      </c:lineChart>
      <c:catAx>
        <c:axId val="2129545"/>
        <c:scaling>
          <c:orientation val="minMax"/>
        </c:scaling>
        <c:delete val="false"/>
        <c:axPos val="b"/>
        <c:numFmt formatCode="General" sourceLinked="true"/>
        <c:majorTickMark val="out"/>
        <c:minorTickMark val="none"/>
        <c:tickLblPos val="low"/>
        <c:txPr>
          <a:bodyPr/>
          <a:lstStyle/>
          <a:p>
            <a:pPr>
              <a:defRPr>
                <a:solidFill>
                  <a:srgbClr val="999999"/>
                </a:solidFill>
              </a:defRPr>
            </a:pPr>
            <a:endParaRPr/>
          </a:p>
        </c:txPr>
        <c:crossAx val="8524216"/>
        <c:crosses val="autoZero"/>
      </c:catAx>
      <c:valAx>
        <c:axId val="8524216"/>
        <c:scaling>
          <c:orientation val="minMax"/>
        </c:scaling>
        <c:delete val="false"/>
        <c:axPos val="b"/>
        <c:majorGridlines>
          <c:spPr>
            <a:ln>
              <a:solidFill>
                <a:srgbClr val="E7E7E7"/>
              </a:solidFill>
              <a:prstDash val="dash"/>
            </a:ln>
          </c:spPr>
        </c:majorGridlines>
        <c:numFmt formatCode="General" sourceLinked="true"/>
        <c:majorTickMark val="none"/>
        <c:minorTickMark val="none"/>
        <c:spPr>
          <a:ln>
            <a:noFill/>
          </a:ln>
        </c:spPr>
        <c:txPr>
          <a:bodyPr/>
          <a:lstStyle/>
          <a:p>
            <a:pPr>
              <a:defRPr>
                <a:solidFill>
                  <a:srgbClr val="999999"/>
                </a:solidFill>
              </a:defRPr>
            </a:pPr>
            <a:endParaRPr/>
          </a:p>
        </c:txPr>
        <c:crossAx val="2129545"/>
        <c:crosses val="autoZero"/>
        <c:crossBetween val="between"/>
      </c:valAx>
      <c:spPr>
        <a:solidFill>
          <a:srgbClr val="F7F8FA"/>
        </a:solidFill>
      </c:spPr>
    </c:plotArea>
    <c:legend>
      <c:legendPos val="t"/>
      <c:overlay val="false"/>
    </c:legend>
  </c:chart>
  <c:spPr>
    <a:solidFill>
      <a:srgbClr val="F7F8FA"/>
    </a:solidFill>
    <a:ln>
      <a:noFill/>
    </a:ln>
  </c:spPr>
  <c:externalData r:id="rId1">
    <c:autoUpdate val="true"/>
  </c:externalData>
</c:chartSpace>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