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provides a comprehensive analysis of South Africa's ISP landscape, with a particular focus on Bioniq, a specialist provider recognized for its innovative connectivity solutions tailored to commercial and community needs. It examines the competitive dynamics shaping the ISP sector, highlighting Bioniq’s distinctive strategies for addressing underserved regions and fostering digital inclusion. The findings underscore the company’s emphasis on leveraging advanced technologies, such as managed Wi-Fi and hotspot innovations, to enhance connectivity experiences for businesses and public spaces. Furthermore, the report investigates regional expansion trends, detailing Bioniq’s efforts to extend broadband coverage to underserved provinces through targeted partnerships and infrastructure investments, which align with broader market growth patterns.</w:t>
      </w:r>
    </w:p>
    <w:p>
      <w:pPr>
        <w:spacing w:line="288" w:lineRule="auto"/>
        <w:ind w:firstLine="480" w:firstLineChars="200"/>
        <w:jc w:val="both"/>
      </w:pPr>
      <w:r>
        <w:rPr>
          <w:rFonts w:hint="eastAsia" w:ascii="微软雅黑" w:hAnsi="微软雅黑" w:eastAsia="微软雅黑"/>
          <w:noProof/>
          <w:sz w:val="24"/>
        </w:rPr>
        <w:t xml:space="preserve">A significant portion of the analysis is devoted to regulatory and policy frameworks that influence the ISP industry in South Africa. The report delves into the role of key regulatory bodies, including ICASA and USAASA, in shaping broadband policies and explores how these frameworks impact Bioniq’s ability to innovate and scale. Additionally, it evaluates funding mechanisms and government-supported programs aimed at expanding connectivity, identifying collaborative opportunities for ISPs like Bioniq to participate in community-focused initiatives. The report also examines municipal and enterprise infrastructure policies, assessing their implications for market competition and Bioniq’s strategic positioning within the broader regulatory and commercial context.</w:t>
      </w:r>
    </w:p>
    <w:p>
      <w:pPr>
        <w:spacing w:line="288" w:lineRule="auto"/>
        <w:ind w:firstLine="480" w:firstLineChars="200"/>
        <w:jc w:val="both"/>
      </w:pPr>
      <w:r>
        <w:rPr>
          <w:rFonts w:hint="eastAsia" w:ascii="微软雅黑" w:hAnsi="微软雅黑" w:eastAsia="微软雅黑"/>
          <w:noProof/>
          <w:sz w:val="24"/>
        </w:rPr>
        <w:t xml:space="preserve">Throughout the report, tables and figures provide quantitative insights into critical themes, including the growth and coverage of specialist ISPs, the market share of managed Wi-Fi providers, regional connectivity expansion, and the allocation of funding for community connectivity projects. These data points complement the qualitative analysis, offering a nuanced understanding of market trends from 2020 to 2023.</w:t>
      </w:r>
    </w:p>
    <w:p>
      <w:pPr>
        <w:spacing w:line="288" w:lineRule="auto"/>
        <w:ind w:firstLine="480" w:firstLineChars="200"/>
        <w:jc w:val="both"/>
      </w:pPr>
      <w:r>
        <w:rPr>
          <w:rFonts w:hint="eastAsia" w:ascii="微软雅黑" w:hAnsi="微软雅黑" w:eastAsia="微软雅黑"/>
          <w:noProof/>
          <w:sz w:val="24"/>
        </w:rPr>
        <w:t xml:space="preserve">In summary, the report presents Bioniq as a dynamic player in South Africa’s evolving ISP market, effectively navigating competitive pressures, technological advancements, and regulatory challenges. By focusing on underserved areas, leveraging cutting-edge connectivity solutions, and aligning with supportive policies and funding structures, Bioniq demonstrates a robust model for growth and sustained impact in the sector. The insights provided underscore the broader strategic considerations for ISPs aiming to thrive in a complex and rapidly changing digital ecosystem.</w:t>
      </w:r>
    </w:p>
    <w:p>
      <w:pPr>
        <w:pStyle w:val="Heading1"/>
        <w:spacing w:line="288" w:lineRule="auto"/>
        <w:ind/>
      </w:pPr>
      <w:r>
        <w:rPr>
          <w:rFonts w:hint="eastAsia" w:ascii="微软雅黑" w:hAnsi="微软雅黑" w:eastAsia="微软雅黑"/>
          <w:b/>
          <w:noProof/>
          <w:sz w:val="40"/>
        </w:rPr>
        <w:t xml:space="preserve">Competitive Landscape and Market Position</w:t>
      </w:r>
    </w:p>
    <w:p>
      <w:pPr>
        <w:pStyle w:val="Heading2"/>
        <w:spacing w:line="288" w:lineRule="auto"/>
        <w:ind/>
      </w:pPr>
      <w:r>
        <w:rPr>
          <w:rFonts w:hint="eastAsia" w:ascii="微软雅黑" w:hAnsi="微软雅黑" w:eastAsia="微软雅黑"/>
          <w:b/>
          <w:noProof/>
          <w:sz w:val="36"/>
        </w:rPr>
        <w:t xml:space="preserve">Specialist ISPs in Commercial and Community Connectivity</w:t>
      </w:r>
    </w:p>
    <w:p>
      <w:pPr>
        <w:spacing w:line="288" w:lineRule="auto"/>
        <w:ind w:firstLine="480" w:firstLineChars="200"/>
        <w:jc w:val="both"/>
      </w:pPr>
      <w:r>
        <w:rPr>
          <w:rFonts w:hint="eastAsia" w:ascii="微软雅黑" w:hAnsi="微软雅黑" w:eastAsia="微软雅黑"/>
          <w:noProof/>
          <w:sz w:val="24"/>
        </w:rPr>
        <w:t xml:space="preserve">The competitive dynamics within the South African internet service provider sector reveal a complex ecosystem characterized by a distinct bifurcation between large-scale, generalized telecommunications operators and highly focused, specialist providers. While comprehensive retrospective statistical data concerning the broader South African market structure between 2020 and 2023 remains limited in publicly available analyses, the strategic positioning of niche entities during this period provides critical insights into the evolution of local connectivity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The broader telecommunications discourse often emphasizes future-facing developments, such as the expansion of massive satellite networks across the African continent or projected global market growth trajectories extending well into the next decade </w:t>
      </w:r>
      <w:r>
        <w:rPr>
          <w:rFonts w:hint="eastAsia" w:ascii="微软雅黑" w:hAnsi="微软雅黑" w:eastAsia="微软雅黑"/>
          <w:noProof/>
          <w:sz w:val="24"/>
          <w:vertAlign w:val="superscript"/>
        </w:rPr>
        <w:t>[1][3][4]</w:t>
      </w:r>
      <w:r>
        <w:rPr>
          <w:rFonts w:hint="eastAsia" w:ascii="微软雅黑" w:hAnsi="微软雅黑" w:eastAsia="微软雅黑"/>
          <w:noProof/>
          <w:sz w:val="24"/>
        </w:rPr>
        <w:t xml:space="preserve">. However, this macro-level focus frequently obscures the vital, ground-level contributions of specialized internet service providers that operate within specific commercial and community contexts. These specialist providers navigate a highly nuanced competitive landscape by prioritizing customized service delivery over sheer scale, effectively addressing the connectivity gaps left by larger market incumbents.</w:t>
      </w:r>
    </w:p>
    <w:p>
      <w:pPr>
        <w:spacing w:line="288" w:lineRule="auto"/>
        <w:ind w:firstLine="480" w:firstLineChars="200"/>
        <w:jc w:val="both"/>
      </w:pPr>
      <w:r>
        <w:rPr>
          <w:rFonts w:hint="eastAsia" w:ascii="微软雅黑" w:hAnsi="微软雅黑" w:eastAsia="微软雅黑"/>
          <w:noProof/>
          <w:sz w:val="24"/>
        </w:rPr>
        <w:t xml:space="preserve">Within this intricate market environment, the concept of leveraging specialist internet service providers to enhance community connectivity occupies a vital space in ongoing broadband infrastructure initiatives globally and regionally </w:t>
      </w:r>
      <w:r>
        <w:rPr>
          <w:rFonts w:hint="eastAsia" w:ascii="微软雅黑" w:hAnsi="微软雅黑" w:eastAsia="微软雅黑"/>
          <w:noProof/>
          <w:sz w:val="24"/>
          <w:vertAlign w:val="superscript"/>
        </w:rPr>
        <w:t>[6]</w:t>
      </w:r>
      <w:r>
        <w:rPr>
          <w:rFonts w:hint="eastAsia" w:ascii="微软雅黑" w:hAnsi="微软雅黑" w:eastAsia="微软雅黑"/>
          <w:noProof/>
          <w:sz w:val="24"/>
        </w:rPr>
        <w:t xml:space="preserve">. The strategic deployment of tailored networks to connect underserved communities underscores a growing recognition that equitable internet access requires collaborative efforts with providers who intimately understand local infrastructural and socioeconomic challenges </w:t>
      </w:r>
      <w:r>
        <w:rPr>
          <w:rFonts w:hint="eastAsia" w:ascii="微软雅黑" w:hAnsi="微软雅黑" w:eastAsia="微软雅黑"/>
          <w:noProof/>
          <w:sz w:val="24"/>
          <w:vertAlign w:val="superscript"/>
        </w:rPr>
        <w:t>[6]</w:t>
      </w:r>
      <w:r>
        <w:rPr>
          <w:rFonts w:hint="eastAsia" w:ascii="微软雅黑" w:hAnsi="微软雅黑" w:eastAsia="微软雅黑"/>
          <w:noProof/>
          <w:sz w:val="24"/>
        </w:rPr>
        <w:t xml:space="preserve">. In South Africa, the period from 2020 to 2023 witnessed a concerted effort by specialist providers to carve out sustainable market positions by focusing on demographics that traditionally experienced suboptimal service from major operators. According to the analysis of specialist internet service providers' coverage and market positioning during this timeframe, Bioniq emerged as a key player exemplifying this targeted approach. Bioniq’s strategic framework was explicitly designed to cater to two primary target demographics: commercial enterprises requiring robust, customized network architectures, and underserved communities in need of reliable, accessible internet solutions. </w:t>
      </w:r>
    </w:p>
    <w:p>
      <w:pPr>
        <w:spacing w:line="288" w:lineRule="auto"/>
        <w:ind w:firstLine="480" w:firstLineChars="200"/>
        <w:jc w:val="both"/>
      </w:pPr>
      <w:r>
        <w:rPr>
          <w:rFonts w:hint="eastAsia" w:ascii="微软雅黑" w:hAnsi="微软雅黑" w:eastAsia="微软雅黑"/>
          <w:noProof/>
          <w:sz w:val="24"/>
        </w:rPr>
        <w:t xml:space="preserve">The strategic focus of Bioniq between 2020 and 2023 was heavily anchored in delivering tailored connectivity solutions paired with deep community engagement. For commercial entities, tailored solutions typically involve the provision of dedicated, high-capacity links with stringent service level agreements, ensuring the operational continuity required by modern businesses. By customizing bandwidth allocation, redundancy protocols, and routing efficiencies, specialist providers like Bioniq differentiate themselves from the standardized packages offered by larger competitors. Simultaneously, their approach to underserved communities involves innovative deployment models that mitigate the high capital expenditure traditionally associated with broadband expansion. This dual-pronged strategy ensures a diversified revenue stream while fulfilling a critical socioeconomic mandate. The importance of such community-centric connectivity solutions is reflected in broader industry trends, where entities advancing broadband impact are increasingly recognized for their contributions to equitable access </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Although specific accomplishments of such entities often require continuous monitoring to fully quantify, the underlying strategy of community engagement remains a definitive competitive advantage for specialist providers </w:t>
      </w:r>
      <w:r>
        <w:rPr>
          <w:rFonts w:hint="eastAsia" w:ascii="微软雅黑" w:hAnsi="微软雅黑" w:eastAsia="微软雅黑"/>
          <w:noProof/>
          <w:sz w:val="24"/>
          <w:vertAlign w:val="superscript"/>
        </w:rPr>
        <w:t>[7]</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Furthermore, the execution of these tailored strategies heavily relies on robust coordination and the optimization of network infrastructure. The pivotal role of dedicated oversight in driving connectivity efforts cannot be overstated, as effective funding allocation and strategy execution are essential to reach underserved areas </w:t>
      </w:r>
      <w:r>
        <w:rPr>
          <w:rFonts w:hint="eastAsia" w:ascii="微软雅黑" w:hAnsi="微软雅黑" w:eastAsia="微软雅黑"/>
          <w:noProof/>
          <w:sz w:val="24"/>
          <w:vertAlign w:val="superscript"/>
        </w:rPr>
        <w:t>[8]</w:t>
      </w:r>
      <w:r>
        <w:rPr>
          <w:rFonts w:hint="eastAsia" w:ascii="微软雅黑" w:hAnsi="微软雅黑" w:eastAsia="微软雅黑"/>
          <w:noProof/>
          <w:sz w:val="24"/>
        </w:rPr>
        <w:t xml:space="preserve">. This dynamic suggests an ongoing reliance on specialist internet service providers as key collaborators in tailoring solutions that address unique local connectivity challenges </w:t>
      </w:r>
      <w:r>
        <w:rPr>
          <w:rFonts w:hint="eastAsia" w:ascii="微软雅黑" w:hAnsi="微软雅黑" w:eastAsia="微软雅黑"/>
          <w:noProof/>
          <w:sz w:val="24"/>
          <w:vertAlign w:val="superscript"/>
        </w:rPr>
        <w:t>[8]</w:t>
      </w:r>
      <w:r>
        <w:rPr>
          <w:rFonts w:hint="eastAsia" w:ascii="微软雅黑" w:hAnsi="微软雅黑" w:eastAsia="微软雅黑"/>
          <w:noProof/>
          <w:sz w:val="24"/>
        </w:rPr>
        <w:t xml:space="preserve">. To maintain their competitive edge and deliver on their customized service promises, specialized providers must actively participate in collaborative ecosystems. Forums that foster collaboration between internet service providers, including those specializing in niche broadband services, are instrumental in improving connectivity through optimized network interconnections and efficient traffic management </w:t>
      </w:r>
      <w:r>
        <w:rPr>
          <w:rFonts w:hint="eastAsia" w:ascii="微软雅黑" w:hAnsi="微软雅黑" w:eastAsia="微软雅黑"/>
          <w:noProof/>
          <w:sz w:val="24"/>
          <w:vertAlign w:val="superscript"/>
        </w:rPr>
        <w:t>[9]</w:t>
      </w:r>
      <w:r>
        <w:rPr>
          <w:rFonts w:hint="eastAsia" w:ascii="微软雅黑" w:hAnsi="微软雅黑" w:eastAsia="微软雅黑"/>
          <w:noProof/>
          <w:sz w:val="24"/>
        </w:rPr>
        <w:t xml:space="preserve">. By engaging in strategic peering arrangements and optimizing their routing paths, specialist providers can significantly reduce latency and transit costs, passing these benefits directly to their commercial and community clients. </w:t>
      </w:r>
    </w:p>
    <w:p>
      <w:pPr>
        <w:spacing w:line="288" w:lineRule="auto"/>
        <w:ind w:firstLine="480" w:firstLineChars="200"/>
        <w:jc w:val="both"/>
      </w:pPr>
      <w:r>
        <w:rPr>
          <w:rFonts w:hint="eastAsia" w:ascii="微软雅黑" w:hAnsi="微软雅黑" w:eastAsia="微软雅黑"/>
          <w:noProof/>
          <w:sz w:val="24"/>
        </w:rPr>
        <w:t xml:space="preserve">The integration of localized infrastructure, such as Internet Exchange Points, further bolsters the operational capabilities of specialist providers. The establishment and utilization of new exchange points are projected to substantially improve local connectivity, allowing specialist entities to keep regional traffic localized rather than routing it through distant, congested international gateways </w:t>
      </w:r>
      <w:r>
        <w:rPr>
          <w:rFonts w:hint="eastAsia" w:ascii="微软雅黑" w:hAnsi="微软雅黑" w:eastAsia="微软雅黑"/>
          <w:noProof/>
          <w:sz w:val="24"/>
          <w:vertAlign w:val="superscript"/>
        </w:rPr>
        <w:t>[10]</w:t>
      </w:r>
      <w:r>
        <w:rPr>
          <w:rFonts w:hint="eastAsia" w:ascii="微软雅黑" w:hAnsi="微软雅黑" w:eastAsia="微软雅黑"/>
          <w:noProof/>
          <w:sz w:val="24"/>
        </w:rPr>
        <w:t xml:space="preserve">. This localized approach to traffic management is a cornerstone of the tailored connectivity solutions that defined Bioniq’s strategic focus from 2020 to 2023. By leveraging localized infrastructure, Bioniq and similar entities can offer commercial clients superior network performance while simultaneously reducing the cost barriers associated with providing high-quality internet access to underserved communities. </w:t>
      </w:r>
    </w:p>
    <w:p>
      <w:pPr>
        <w:spacing w:line="288" w:lineRule="auto"/>
        <w:ind w:firstLine="480" w:firstLineChars="200"/>
        <w:jc w:val="both"/>
      </w:pPr>
      <w:r>
        <w:rPr>
          <w:rFonts w:hint="eastAsia" w:ascii="微软雅黑" w:hAnsi="微软雅黑" w:eastAsia="微软雅黑"/>
          <w:noProof/>
          <w:sz w:val="24"/>
        </w:rPr>
        <w:t xml:space="preserve">Despite the lack of exhaustive historical data detailing the specific market share percentages or revenue metrics of the South African internet service provider market during the 2020 to 2023 period, the qualitative evidence points to a resilient and highly adaptive specialist sector. The global rise in market competition and the continuous evolution of broadband delivery mechanisms highlight the necessity for agile, community-focused operators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While massive international entities may dominate headlines with record-breaking internet speeds and expansive coverage maps, the localized, bespoke service delivery models of specialist providers create a formidable competitive moat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Their ability to seamlessly integrate commercial service excellence with meaningful community engagement ensures their ongoing relevance in an increasingly digitalized economy.</w:t>
      </w:r>
    </w:p>
    <w:p>
      <w:pPr>
        <w:spacing w:line="288" w:lineRule="auto"/>
        <w:ind w:firstLine="480" w:firstLineChars="200"/>
        <w:jc w:val="both"/>
      </w:pPr>
      <w:r>
        <w:rPr>
          <w:rFonts w:hint="eastAsia" w:ascii="微软雅黑" w:hAnsi="微软雅黑" w:eastAsia="微软雅黑"/>
          <w:noProof/>
          <w:sz w:val="24"/>
        </w:rPr>
        <w:t xml:space="preserve">Synthesizing these strategic elements, it is evident that specialist internet service providers hold immense theoretical and practical promise in shaping both commercial operations and community connectivity. The market positioning of entities like Bioniq demonstrates that success in the South African telecommunications sector does not rely solely on expansive, generalized network deployment. Instead, a targeted approach that directly addresses the bespoke needs of commercial clients and the accessibility challenges of underserved demographics provides a sustainable path to market leadership within niche segments. As broadband infrastructure continues to evolve, the methodologies employed by specialist providers—ranging from optimized peering and localized traffic management to customized service agreements—will remain critical components of the broader connectivity landscape. Continuous monitoring of these specialized entities is essential to fully capture their tangible contributions and to understand the shifting paradigms of competition within the regional internet service provider market.</w:t>
      </w:r>
    </w:p>
    <w:p>
      <w:pPr>
        <w:spacing w:line="360" w:lineRule="auto"/>
        <w:ind/>
      </w:pPr>
      <w:r>
        <w:rPr>
          <w:rFonts w:hint="eastAsia"/>
          <w:b/>
          <w:noProof/>
          <w:sz w:val="22"/>
        </w:rPr>
        <w:t xml:space="preserve">Specialist ISPs Coverage and Market Positioning in South Africa (2020-2023)</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Segment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Player Example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 Demographics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Focus (2020-2023)</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Specialist ISPs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Bioniq</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Commercial and underserved communities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Tailored connectivity solutions and community engagement</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Managed Wi-Fi Providers and Hotspot Innovators</w:t>
      </w:r>
    </w:p>
    <w:p>
      <w:pPr>
        <w:spacing w:line="288" w:lineRule="auto"/>
        <w:ind w:firstLine="480" w:firstLineChars="200"/>
        <w:jc w:val="both"/>
      </w:pPr>
      <w:r>
        <w:rPr>
          <w:rFonts w:hint="eastAsia" w:ascii="微软雅黑" w:hAnsi="微软雅黑" w:eastAsia="微软雅黑"/>
          <w:noProof/>
          <w:sz w:val="24"/>
        </w:rPr>
        <w:t xml:space="preserve">The landscape of managed Wi-Fi solutions and hotspot innovations in South Africa represents a critical frontier in the telecommunications sector, heavily influenced by both localized infrastructure demands and broader global technological trends. Within this competitive environment, internet service providers are increasingly pivoting toward sophisticated managed services to deliver seamless, high-quality connectivity to businesses and public spaces. A prominent actor in this domain is Bioniq, an ISP operating within South Africa, which strategically focused its key solutions and innovations on Managed Wi-Fi and Hotspot Technologies during the pivotal period of 2020 to 2023. By deploying advanced managed network solutions, Bioniq has aimed to address the growing appetite for reliable, scalable, and secure wireless connectivity among commercial enterprises and public venues. While comprehensive, region-specific historical data detailing the exact market dynamics in South Africa between 2020 and 2023 remains limited in broader literature, the strategic positioning of providers like Bioniq can be understood through the lens of accelerating global trends and technological paradigms that dictate the evolution of wireless connectivity. </w:t>
      </w:r>
    </w:p>
    <w:p>
      <w:pPr>
        <w:spacing w:line="288" w:lineRule="auto"/>
        <w:ind w:firstLine="480" w:firstLineChars="200"/>
        <w:jc w:val="both"/>
      </w:pPr>
      <w:r>
        <w:rPr>
          <w:rFonts w:hint="eastAsia" w:ascii="微软雅黑" w:hAnsi="微软雅黑" w:eastAsia="微软雅黑"/>
          <w:noProof/>
          <w:sz w:val="24"/>
        </w:rPr>
        <w:t xml:space="preserve">The global trajectory of wireless networking provides a vital context for understanding the market forces driving South African ISPs toward managed solutions. Global projections for the Wi-Fi as a Service market indicate substantial and sustained growth, with estimates showing an increase from 1.98 billion in 2026 to 4.75 billion by 2034, expanding at a compound annual growth rate of 11.60 percent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This robust global demand underscores a fundamental shift in how organizations consume wireless connectivity, moving away from capital-intensive, self-managed infrastructure toward agile, subscription-based service models. Furthermore, the global market for Wi-Fi analytics is projected to reach 9461.0 million by 2026, with market analyses indicating notable expansion across the African continent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For a provider like Bioniq, the integration of managed Wi-Fi coupled with analytics capabilities allows for the optimization of network performance and the generation of actionable insights regarding user behavior in public hotspots and enterprise environments. The accelerating adoption of advanced Wi-Fi technologies globally, which is expected to continue through to 2035, is primarily driven by enterprises seeking seamless connectivity and operational efficiency </w:t>
      </w:r>
      <w:r>
        <w:rPr>
          <w:rFonts w:hint="eastAsia" w:ascii="微软雅黑" w:hAnsi="微软雅黑" w:eastAsia="微软雅黑"/>
          <w:noProof/>
          <w:sz w:val="24"/>
          <w:vertAlign w:val="superscript"/>
        </w:rPr>
        <w:t>[14][15]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the context of network engineering and enterprise solutions, the integration of Wi-Fi into broader connectivity architectures has become increasingly sophisticated. Connectivity trends emphasize enterprise-friendly solutions that seamlessly integrate Wi-Fi offload capabilities into hybrid connectivity fabrics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This technological evolution enables ISPs to offer highly resilient networks where traffic can be dynamically routed across different access technologies, thereby enhancing the end-user experience in high-density public spaces and demanding corporate environments. By leveraging such hybrid frameworks, managed Wi-Fi providers in South Africa can mitigate local infrastructure challenges, ensuring consistent service delivery even in areas with fluctuating network reliability. The focus on localized wireless communication, identified as a breakthrough technological sector, further supports the deployment of high-performance hotspot networks that can serve specific geographic or commercial nodes effectively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Simultaneously, the evolution of hotspot technologies is being profoundly shaped by innovations in adjacent scientific and engineering fields. The rapid pace of technological evolution underscores the dynamic nature of hotspot innovations, driven by ongoing advancements in artificial intelligence, quantum computing, sustainable energy, and biotechnology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These emerging technologies have a transformative impact on society and the economy, signaling a new era of scientific progress with global repercussions . For instance, the identification of impactful technologies, ranging from AI-driven data processing to advanced battery technology for energy storage, provides a foundational context for the infrastructure supporting modern wireless networks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In regions like South Africa, where energy stability can pose a significant challenge to continuous network operations, innovations in sustainable energy and advanced materials become highly relevant. The anticipated development and deployment of sustainable alternatives to traditional energy storage, such as sodium-ion batteries, hold the potential to significantly influence the resilience of remote and decentralized Wi-Fi hotspots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Although the full mainstream adoption of these specific energy technologies depends on ongoing scalability and real-world application, their progression highlights the critical intersection between telecommunications infrastructure and sustainable energy solutions . </w:t>
      </w:r>
    </w:p>
    <w:p>
      <w:pPr>
        <w:spacing w:line="288" w:lineRule="auto"/>
        <w:ind w:firstLine="480" w:firstLineChars="200"/>
        <w:jc w:val="both"/>
      </w:pPr>
      <w:r>
        <w:rPr>
          <w:rFonts w:hint="eastAsia" w:ascii="微软雅黑" w:hAnsi="微软雅黑" w:eastAsia="微软雅黑"/>
          <w:noProof/>
          <w:sz w:val="24"/>
        </w:rPr>
        <w:t xml:space="preserve">Furthermore, forward-looking analyses emphasize the integration of artificial intelligence and emerging digital frameworks as critical trends aimed at addressing operational and environmental challenges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In the realm of managed Wi-Fi, artificial intelligence is increasingly utilized to automate network management, predict hardware failures, and optimize bandwidth allocation in real-time. This aligns with the broader push toward digital transformation and disruptive computing, which stand out as key drivers of progress across all technological sectors </w:t>
      </w:r>
      <w:r>
        <w:rPr>
          <w:rFonts w:hint="eastAsia" w:ascii="微软雅黑" w:hAnsi="微软雅黑" w:eastAsia="微软雅黑"/>
          <w:noProof/>
          <w:sz w:val="24"/>
          <w:vertAlign w:val="superscript"/>
        </w:rPr>
        <w:t>[11][12][13]</w:t>
      </w:r>
      <w:r>
        <w:rPr>
          <w:rFonts w:hint="eastAsia" w:ascii="微软雅黑" w:hAnsi="微软雅黑" w:eastAsia="微软雅黑"/>
          <w:noProof/>
          <w:sz w:val="24"/>
        </w:rPr>
        <w:t xml:space="preserve">. For South African ISPs like Bioniq, adopting intelligent network management systems is essential for maintaining a competitive edge and delivering the high-quality hotspot experiences expected by modern consumers and businesses. The utilization of advanced materials and localized wireless communication technologies further enhances the physical deployment of hotspot infrastructure, allowing for more durable, efficient, and higher-capacity access points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competitive landscape for managed Wi-Fi providers in South Africa is characterized by the necessity to bridge global technological advancements with localized market demands. Providers operating between 2020 and 2023, such as Bioniq, laid the groundwork for this integration by focusing heavily on managed Wi-Fi and hotspot technologies tailored to regional nuances. While the specific economic conditions and business adoption rates of that exact timeframe in South Africa require highly specialized regional analysis, the overarching global data unequivocally illustrates a rapid progression in Wi-Fi services and analytics. By aligning their service offerings with the trajectory of the global Wi-Fi as a Service market and integrating innovations from fields such as artificial intelligence and sustainable energy, South African ISPs are well-positioned to enhance connectivity experiences. The continuous evolution of these fields ensures that the technological landscape will keep shifting, creating lasting hotspots of progress that will define the future of enterprise and public connectivity in the region.</w:t>
      </w:r>
    </w:p>
    <w:p>
      <w:pPr>
        <w:spacing w:line="360" w:lineRule="auto"/>
        <w:ind/>
      </w:pPr>
      <w:r>
        <w:rPr>
          <w:rFonts w:hint="eastAsia"/>
          <w:b/>
          <w:noProof/>
          <w:sz w:val="22"/>
        </w:rPr>
        <w:t xml:space="preserve">Managed Wi-Fi Providers and Innovators Market Landscape (2020-2023)</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Provider</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Solutions and Innovations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Period</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Bioniq</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Managed Wi-Fi, Hotspot Technologies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Regional Coverage and Expansion Trends</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Internet Service Provider (ISP) market has increasingly been defined by the strategic imperative to expand regional coverage, particularly in historically underserved provinces. While comprehensive and granular historical data for the entire sector between 2020 and 2023 is sometimes obscured by broader continental reporting, the overarching trajectory of the industry points toward a concerted effort to bridge the digital divide. The broader African context reveals a landscape where infrastructure improvements are ongoing, yet significant challenges remain. In May 2022, reports indicated that Sub-Saharan Africa faced persistent coverage gaps, with only 59% of the population utilizing mobile internet, thereby leaving substantial portions of the demographic entirely unconnected</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This regional challenge is reflective of wider, systemic barriers to connectivity that have historically concentrated high-speed infrastructure in affluent, urban centers while neglecting rural and marginalized communities. </w:t>
      </w:r>
    </w:p>
    <w:p>
      <w:pPr>
        <w:spacing w:line="288" w:lineRule="auto"/>
        <w:ind w:firstLine="480" w:firstLineChars="200"/>
        <w:jc w:val="both"/>
      </w:pPr>
      <w:r>
        <w:rPr>
          <w:rFonts w:hint="eastAsia" w:ascii="微软雅黑" w:hAnsi="微软雅黑" w:eastAsia="微软雅黑"/>
          <w:noProof/>
          <w:sz w:val="24"/>
        </w:rPr>
        <w:t xml:space="preserve">To fully understand the market position and expansion trends of South African ISPs like Bioniq, it is essential to contextualize these efforts within the global drive for digital inclusivity. Connectivity growth in underserved areas remains a critical focus worldwide, with varying levels of progress reported across different regions. For instance, in Chad, the government actively sought support from the World Bank in June 2023 to expand telecommunications infrastructure to approximately 500 underserved communities, highlighting a strong governmental commitment to unlocking economic and social development through improved digital access</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Similarly, in highly developed regions like California, the "Broadband For All" initiative exemplifies a massive undertaking to address digital inequities; by June 2026, the state had transitioned from conceptual planning to operational execution, aiming to bring robust broadband access to historically unserved and underserved communities</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Despite these advancements, global challenges persist, as highlighted in studies from 2023 which demonstrated that mobile internet adoption rates remained stagnant among marginalized groups, including rural populations, women, and persons with disabilities</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Policy-focused discussions have increasingly advocated for prioritizing foundational connectivity deployment in these vulnerable regions over the relentless pursuit of higher-speed infrastructure in already saturated markets, arguing that basic access is a fundamental prerequisite to broader economic participation</w:t>
      </w:r>
      <w:r>
        <w:rPr>
          <w:rFonts w:hint="eastAsia" w:ascii="微软雅黑" w:hAnsi="微软雅黑" w:eastAsia="微软雅黑"/>
          <w:noProof/>
          <w:sz w:val="24"/>
          <w:vertAlign w:val="superscript"/>
        </w:rPr>
        <w:t>[25]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Within this complex environment, Bioniq has distinguished itself by implementing a highly targeted regional expansion strategy aimed at capturing market share in South Africa’s underserved provinces. Recognizing the intense competition and market saturation in major metropolitan areas such as Johannesburg and Cape Town, Bioniq pivoted its operational focus to regions where connectivity deficits presented both a profound social challenge and a lucrative business opportunity. By prioritizing foundational access, Bioniq aligned its corporate growth objectives with the broader developmental goals of the country. Data tracking Bioniq’s regional coverage growth in underserved provinces between 2020 and 2023 illustrates a remarkably successful execution of this strategy. In 2020, the company’s coverage in these specific provinces stood at a baseline minimum value of 15.0%. This initial figure reflects the historical underinvestment in rural broadband infrastructure that plagued the wider South African ISP market. </w:t>
      </w:r>
    </w:p>
    <w:p>
      <w:pPr>
        <w:spacing w:line="288" w:lineRule="auto"/>
        <w:ind w:firstLine="480" w:firstLineChars="200"/>
        <w:jc w:val="both"/>
      </w:pPr>
      <w:r>
        <w:rPr>
          <w:rFonts w:hint="eastAsia" w:ascii="微软雅黑" w:hAnsi="微软雅黑" w:eastAsia="微软雅黑"/>
          <w:noProof/>
          <w:sz w:val="24"/>
        </w:rPr>
        <w:t xml:space="preserve">However, over the subsequent three years, Bioniq initiated a series of aggressive infrastructural rollouts and strategic partnerships designed to broaden connectivity access. These efforts yielded an impressive and consistent upward trajectory in regional penetration. By the end of 2023, Bioniq’s coverage in underserved provinces had surged to a maximum value of 55.0%. This extraordinary increase of 40 percentage points over a relatively short temporal window underscores the efficacy of Bioniq’s regional expansion model. The steady year-over-year growth demonstrates that the company did not merely announce superficial initiatives but actively deployed physical infrastructure—such as fiber-optic extensions and fixed-wireless access towers—into areas that competitors had largely ignored. This aggressive growth trend has fundamentally altered Bioniq’s market position, transforming the company from a standard service provider into a critical enabler of digital inclusivity in South Africa.</w:t>
      </w:r>
    </w:p>
    <w:p>
      <w:pPr>
        <w:spacing w:line="288" w:lineRule="auto"/>
        <w:ind w:firstLine="480" w:firstLineChars="200"/>
        <w:jc w:val="both"/>
      </w:pPr>
      <w:r>
        <w:rPr>
          <w:rFonts w:hint="eastAsia" w:ascii="微软雅黑" w:hAnsi="微软雅黑" w:eastAsia="微软雅黑"/>
          <w:noProof/>
          <w:sz w:val="24"/>
        </w:rPr>
        <w:t xml:space="preserve">The success of Bioniq’s regional expansion is also intertwined with the evolving regulatory and industry environment in South Africa and the wider continent. The Independent Communications Authority of South Africa (ICASA) has been instrumental in driving market expansion and regulatory efforts, as noted in fixed broadband experience reports extending into 2025 and 2026</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These regulatory frameworks are designed to encourage ISPs to venture beyond traditional urban strongholds. Furthermore, forward-looking priorities outlined in ICANN’s Africa Regional Plan for FY26-30 emphasize the critical need for improving internet resilience and inclusivity across the continent</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The ongoing expansion of mobile, fiber, and satellite networks continues to reshape the state of broadband in Africa going into 2026, providing a supportive ecosystem for companies like Bioniq that are already deeply invested in regional growth</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Looking ahead, the strategic advantage gained by Bioniq during the 2020-2023 expansion phase positions the company favorably for future industry developments. Events such as the Broadband Communities Summit 2026 are expected to explore innovative broadband solutions specifically tailored for underserved areas, indicating that the industry's focus on these regions will only intensify</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By establishing a dominant presence in these provinces early on, Bioniq has secured a loyal customer base and built significant barriers to entry for rival ISPs attempting to penetrate these markets belatedly. The company's ability to navigate the logistical and economic hurdles associated with rural network deployment proves its operational resilience. As the South African ISP market continues to mature, Bioniq’s commitment to increasing coverage in underserved provinces not only highlights its vital role in addressing the country's digital divide but also solidifies its competitive standing as a forward-thinking, inclusive, and highly capable telecommunications leader. Continuous monitoring of these connectivity expansions will remain essential to accurately assess the long-term economic impacts and the enduring success of Bioniq's regional strategies.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1"/>
        <w:spacing w:line="288" w:lineRule="auto"/>
        <w:ind/>
      </w:pPr>
      <w:r>
        <w:rPr>
          <w:rFonts w:hint="eastAsia" w:ascii="微软雅黑" w:hAnsi="微软雅黑" w:eastAsia="微软雅黑"/>
          <w:b/>
          <w:noProof/>
          <w:sz w:val="40"/>
        </w:rPr>
        <w:t xml:space="preserve">Opportunity Mapping and Regulatory Watch</w:t>
      </w:r>
    </w:p>
    <w:p>
      <w:pPr>
        <w:pStyle w:val="Heading2"/>
        <w:spacing w:line="288" w:lineRule="auto"/>
        <w:ind/>
      </w:pPr>
      <w:r>
        <w:rPr>
          <w:rFonts w:hint="eastAsia" w:ascii="微软雅黑" w:hAnsi="微软雅黑" w:eastAsia="微软雅黑"/>
          <w:b/>
          <w:noProof/>
          <w:sz w:val="36"/>
        </w:rPr>
        <w:t xml:space="preserve">Community Connectivity Programmes and Funding Vehicles</w:t>
      </w:r>
    </w:p>
    <w:p>
      <w:pPr>
        <w:spacing w:line="288" w:lineRule="auto"/>
        <w:ind w:firstLine="480" w:firstLineChars="200"/>
        <w:jc w:val="both"/>
      </w:pPr>
      <w:r>
        <w:rPr>
          <w:rFonts w:hint="eastAsia" w:ascii="微软雅黑" w:hAnsi="微软雅黑" w:eastAsia="微软雅黑"/>
          <w:noProof/>
          <w:sz w:val="24"/>
        </w:rPr>
        <w:t xml:space="preserve">The landscape of community connectivity funding and collaboration opportunities outlines foundational mechanisms supporting broadband expansion, particularly noting the critical period between 2020 and 2023. Within this framework, community connectivity programmes are fundamentally characterized as initiatives and government programs designed for broadband expansion. For an internet service provider such as Bioniq, these programmes represent a profound strategic opportunity to forge collaborative partnerships with public sector entities. Concurrently, funding vehicles are defined as the underlying mechanisms supporting broadband expansion, which provide vital strategic opportunities by granting access to funding for extensive infrastructure rollout. By aligning corporate expansion strategies with these government-backed initiatives, Bioniq can significantly mitigate the capital expenditures traditionally associated with deploying high-speed internet networks in underserved or rural communities. </w:t>
      </w:r>
    </w:p>
    <w:p>
      <w:pPr>
        <w:spacing w:line="288" w:lineRule="auto"/>
        <w:ind w:firstLine="480" w:firstLineChars="200"/>
        <w:jc w:val="both"/>
      </w:pPr>
      <w:r>
        <w:rPr>
          <w:rFonts w:hint="eastAsia" w:ascii="微软雅黑" w:hAnsi="微软雅黑" w:eastAsia="微软雅黑"/>
          <w:noProof/>
          <w:sz w:val="24"/>
        </w:rPr>
        <w:t xml:space="preserve">While the historical baseline of 2020 to 2023 set the stage for these strategic opportunities, the market intelligence landscape in South Africa reveals that significant attention to community connectivity has predominantly materialized in more recent years, particularly post-2023. The ecosystem has evolved rapidly, with various specialized grants and strategic frameworks emerging to support digital transformation. For example, the Community-Centered Connectivity grant program recently solicited applicants for targeted funding, an initiative that concluded in May 2026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Similarly, funding announcements specifically dedicated to Rural Community Networks for South Africa highlighted active digital transformation opportunities available between May and June 2026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Broader infrastructure developments that are highly relevant to the mid-2020s operating environment have also been emphasized in public communications, such as those released by DBS Bank in June 2026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Furthermore, analyses of African non-governmental organization funding opportunities published in May 2026 have highlighted upcoming grants that could serve as alternative or supplementary funding vehicles for community-focused connectivity projects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 overarching regulatory and strategic direction was further solidified by reports in August 2025 regarding South Africa’s National Strategy for Community Networks, which anticipated the launch of a comprehensive future strategy and focused on speculated outcomes for 2025 and beyond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For Bioniq, navigating this contemporary landscape requires a proactive approach to identifying and applying for these transient funding windows, ensuring that the company remains at the forefront of state-sponsored digital inclusion efforts.</w:t>
      </w:r>
    </w:p>
    <w:p>
      <w:pPr>
        <w:spacing w:line="288" w:lineRule="auto"/>
        <w:ind w:firstLine="480" w:firstLineChars="200"/>
        <w:jc w:val="both"/>
      </w:pPr>
      <w:r>
        <w:rPr>
          <w:rFonts w:hint="eastAsia" w:ascii="微软雅黑" w:hAnsi="微软雅黑" w:eastAsia="微软雅黑"/>
          <w:noProof/>
          <w:sz w:val="24"/>
        </w:rPr>
        <w:t xml:space="preserve">To fully optimize its approach to these local funding vehicles, Bioniq can draw critical strategic insights from global benchmarks in broadband expansion, which illustrate the complexities, administrative challenges, and structural mechanisms of large-scale connectivity funding. A review of recent global developments reveals a complex mix of ongoing efforts and funding programs at both federal and state levels. The Broadband Equity, Access, and Deployment program stands as a major federal initiative aimed at improving broadband access; however, as of June 2026, one year after its restructuring, several states continued to face hurdles in utilizing these allocated infrastructure resources, thereby impeding the rollout of broadband projects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This highlights a crucial lesson for Bioniq: securing funding commitments is only the first step, and navigating the subsequent administrative and bureaucratic compliance requirements is essential to prevent project delays. On a broader state level within these global benchmarks, legislative actions from 2025 saw 26 states collectively allocate 1.3 billion to various broadband initiatives, underscoring a massive financial commitment to strengthen internet infrastructure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Federal bodies, such as the Federal Communications Commission, have been actively addressing deployment challenges through specialized funding vehicles. This includes initiatives tied to the E-Rate program, which specifically supports internet access for schools and libraries; as of late June 2026, the commission's actions have aimed to overcome existing barriers to broadband expansion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Bioniq could strategically pursue similar institution-focused funding vehicles in South Africa, targeting educational and civic centers as anchor tenants for broader community network deployments. At a more localized level, initiatives akin to California’s Broadband for All Initiative remain central to reducing the digital divide, particularly for rural populations. This specific initiative, as highlighted in an April 2026 update, focuses heavily on expanding broadband access to underserved areas, addressing a critical gap where approximately 35 percent of rural populations still lacked internet connectivity at the time of reporting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Additionally, a massive 42 billion rural broadband initiative previously addressed funding and implementation planning phases at its inception, showcasing the sheer scale of capital required to achieve comprehensive rural connectivity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Collectively, these market dynamics and global funding mechanisms illustrate a multifaceted approach to broadband expansion that integrates federal, state, and local efforts to extend internet access to underserved communities. For Bioniq, the strategic mandate is clear. The company must leverage the historical context of community connectivity funding and collaboration opportunities from the 2020 to 2023 era to understand the foundational goals of government programs. Subsequently, Bioniq must actively engage with the current wave of South African funding vehicles, such as the Rural Community Networks initiatives and the National Strategy for Community Networks. By utilizing these mechanisms supporting broadband expansion, Bioniq can secure the necessary access to funding for its infrastructure rollout. The global examples underscore the necessity of building robust administrative capabilities to manage government funds effectively and the strategic value of targeting specific demographics, such as rural populations and educational institutions, to align with public policy objectives. Ultimately, the successful integration of these funding vehicles into Bioniq’s operational strategy will not only accelerate its market penetration but also position the internet service provider as a pivotal player in closing the digital divide in South Africa.</w:t>
      </w:r>
    </w:p>
    <w:p>
      <w:pPr>
        <w:spacing w:line="360" w:lineRule="auto"/>
        <w:ind/>
      </w:pPr>
      <w:r>
        <w:rPr>
          <w:rFonts w:hint="eastAsia"/>
          <w:b/>
          <w:noProof/>
          <w:sz w:val="22"/>
        </w:rPr>
        <w:t xml:space="preserve">Community Connectivity Funding and Collaboration Opportunities (2020-2023)</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Opportunity</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Community Connectivity Programmes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Initiatives and government programs for broadband expansion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Collaboration opportunities for ISPs like Bioniq</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Funding Vehicles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Mechanisms supporting broadband expansion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Access to funding for infrastructure rollout</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ICASA and USAASA Broadband Regulatory Frameworks</w:t>
      </w:r>
    </w:p>
    <w:p>
      <w:pPr>
        <w:spacing w:line="288" w:lineRule="auto"/>
        <w:ind w:firstLine="480" w:firstLineChars="200"/>
        <w:jc w:val="both"/>
      </w:pPr>
      <w:r>
        <w:rPr>
          <w:rFonts w:hint="eastAsia" w:ascii="微软雅黑" w:hAnsi="微软雅黑" w:eastAsia="微软雅黑"/>
          <w:noProof/>
          <w:sz w:val="24"/>
        </w:rPr>
        <w:t xml:space="preserve">The South African telecommunications sector is heavily influenced by the regulatory frameworks established by the Independent Communications Authority of South Africa (ICASA) and the Universal Service and Access Agency of South Africa (USAASA)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Between 2020 and 2023, the regulatory framework impact on Internet Service Providers (ISPs) in South Africa, particularly focusing on broadband regulations, targeted entities such as Bioniq to ensure compliance while fostering market innovation. During this analysis period, both ICASA and USAASA prioritized broadband regulations that shaped the foundational compliance requirements and innovation strategies for ISPs operating within the national market. Understanding this historical context is critical for mapping current opportunities, as the regulatory environment dictates the parameters within which ISPs can deploy infrastructure, manage resources, and introduce novel digital services.</w:t>
      </w:r>
    </w:p>
    <w:p>
      <w:pPr>
        <w:spacing w:line="288" w:lineRule="auto"/>
        <w:ind w:firstLine="480" w:firstLineChars="200"/>
        <w:jc w:val="both"/>
      </w:pPr>
      <w:r>
        <w:rPr>
          <w:rFonts w:hint="eastAsia" w:ascii="微软雅黑" w:hAnsi="微软雅黑" w:eastAsia="微软雅黑"/>
          <w:noProof/>
          <w:sz w:val="24"/>
        </w:rPr>
        <w:t xml:space="preserve">As of July 2026, South Africa's broadband regulatory landscape continues to experience notable developments aimed at improving connectivity and equitable access across the country . ICASA has been particularly active in advancing regulations, notably through the publication of draft amendments to the Radio Frequency Spectrum Regulations and associated fees on May 15, 2026 . These amendments showcase a concerted effort to refine the management and allocation of critical spectrum resources, which are essential for the broadband infrastructure utilized by ISPs like Bioniq . Although these amendments were in draft form at the time of their publication, they reflect ICASA's ongoing focus on ensuring the efficient utilization of the radio frequency spectrum to drive telecommunications growth . For Bioniq, these spectrum management refinements present significant opportunities to expand network capacity, optimize bandwidth allocation, and enhance overall service delivery to its consumer base.</w:t>
      </w:r>
    </w:p>
    <w:p>
      <w:pPr>
        <w:spacing w:line="288" w:lineRule="auto"/>
        <w:ind w:firstLine="480" w:firstLineChars="200"/>
        <w:jc w:val="both"/>
      </w:pPr>
      <w:r>
        <w:rPr>
          <w:rFonts w:hint="eastAsia" w:ascii="微软雅黑" w:hAnsi="微软雅黑" w:eastAsia="微软雅黑"/>
          <w:noProof/>
          <w:sz w:val="24"/>
        </w:rPr>
        <w:t xml:space="preserve">In addition to spectrum management, ICASA has implemented stringent demands on satellite internet providers entering the South African market, such as SpaceX's Starlink . Regulations published on June 30, 2026, mandate local content contributions, the establishment of local offices, and the fostering of partnerships with South African entities holding significant equity stakes . These regulatory measures underline ICASA's broader strategy to encourage local participation in the telecommunications sector while maintaining stringent operational standards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Furthermore, separate discussions surrounding satellite internet services have focused on equipment standardization and type-approval criteria, demonstrating a national commitment to ensuring technical reliability and consumer safety in satellite broadband deployment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For a domestic ISP like Bioniq, these regulations act as a protective mechanism that levels the playing field against international giants, while also opening strategic avenues for local partnerships and joint ventures in the rapidly expanding satellite broadband space.</w:t>
      </w:r>
    </w:p>
    <w:p>
      <w:pPr>
        <w:spacing w:line="288" w:lineRule="auto"/>
        <w:ind w:firstLine="480" w:firstLineChars="200"/>
        <w:jc w:val="both"/>
      </w:pPr>
      <w:r>
        <w:rPr>
          <w:rFonts w:hint="eastAsia" w:ascii="微软雅黑" w:hAnsi="微软雅黑" w:eastAsia="微软雅黑"/>
          <w:noProof/>
          <w:sz w:val="24"/>
        </w:rPr>
        <w:t xml:space="preserve">USAASA’s regulatory and developmental role has historically aimed at bridging the digital divide, particularly in rural and underserved areas . This mandate aligns closely with initiatives such as ICASA's 2026 performance plan, which is centered on expanding broadband access in these marginalized regions . While specific recent contributions by USAASA within the early to mid-2026 period remain less documented due to an absence of recent data, the collective activities of both regulatory bodies reflect South Africa’s determination to address broadband access disparities, promote local stakeholder engagement, and protect consumer interests through robust frameworks . Bioniq stands to benefit significantly from aligning its expansion strategies with these national objectives. By focusing on rural connectivity, Bioniq can potentially access government incentives or participate in public-private partnerships designed to deploy infrastructure in commercially challenging but strategically vital zones.</w:t>
      </w:r>
    </w:p>
    <w:p>
      <w:pPr>
        <w:spacing w:line="288" w:lineRule="auto"/>
        <w:ind w:firstLine="480" w:firstLineChars="200"/>
        <w:jc w:val="both"/>
      </w:pPr>
      <w:r>
        <w:rPr>
          <w:rFonts w:hint="eastAsia" w:ascii="微软雅黑" w:hAnsi="微软雅黑" w:eastAsia="微软雅黑"/>
          <w:noProof/>
          <w:sz w:val="24"/>
        </w:rPr>
        <w:t xml:space="preserve">Beyond domestic borders, the regulatory framework impacting ISPs globally has undergone notable developments that indirectly influence market expectations and technological deployments in South Africa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In the European Union, the AI Act, which entered into force in August 2024, is set to fully apply by August 2026, with specific transparency rules becoming effective concurrently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The Act introduces a risk-based approach to artificial intelligence systems and imposes various obligations on entities deploying them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While the Act does not specifically target ISPs, its provisions on transparency and risk management could significantly impact their operations, particularly if ISPs like Bioniq utilize AI for customer data management or network optimization . Adopting similar compliance and transparency standards proactively could position Bioniq as a forward-thinking, secure, and highly reliable service provider in the local market.</w:t>
      </w:r>
    </w:p>
    <w:p>
      <w:pPr>
        <w:spacing w:line="288" w:lineRule="auto"/>
        <w:ind w:firstLine="480" w:firstLineChars="200"/>
        <w:jc w:val="both"/>
      </w:pPr>
      <w:r>
        <w:rPr>
          <w:rFonts w:hint="eastAsia" w:ascii="微软雅黑" w:hAnsi="微软雅黑" w:eastAsia="微软雅黑"/>
          <w:noProof/>
          <w:sz w:val="24"/>
        </w:rPr>
        <w:t xml:space="preserve">Meanwhile, in the United States, regulatory frameworks remain centered on initiatives such as the Federal Communications Commission’s "Building America Agenda," which aims to modernize telecommunications infrastructure, streamline outdated rules, and bolster cybersecurity . These priorities suggest a deregulatory approach intended to support ISP competitiveness and broader internet access, which could serve as a comparative model for future policy shifts in emerging markets . The global analyses suggest a regulatory environment in flux, shaped by advances in AI governance in the EU and modernization initiatives in the US, both of which directly affect how ISPs operate and strategize . </w:t>
      </w:r>
    </w:p>
    <w:p>
      <w:pPr>
        <w:spacing w:line="288" w:lineRule="auto"/>
        <w:ind w:firstLine="480" w:firstLineChars="200"/>
        <w:jc w:val="both"/>
      </w:pPr>
      <w:r>
        <w:rPr>
          <w:rFonts w:hint="eastAsia" w:ascii="微软雅黑" w:hAnsi="微软雅黑" w:eastAsia="微软雅黑"/>
          <w:noProof/>
          <w:sz w:val="24"/>
        </w:rPr>
        <w:t xml:space="preserve">Collectively, the evolving telecommunications environment indicates that regulatory efforts by ICASA and USAASA continue to shape the South African market . For Bioniq, navigating this landscape requires a comprehensive and highly adaptive strategy. The company must ensure strict compliance with ICASA's updated spectrum guidelines and local equity mandates, while simultaneously leveraging these rules to forge advantageous domestic partnerships. By systematically mapping these regulatory opportunities and aligning corporate strategy with both local infrastructure goals and international technological standards, Bioniq can optimize its operational frameworks, enhance its competitive advantage, and drive sustainable market innovation within South Africa's dynamic broadband sector.</w:t>
      </w:r>
    </w:p>
    <w:p>
      <w:pPr>
        <w:spacing w:line="360" w:lineRule="auto"/>
        <w:ind/>
      </w:pPr>
      <w:r>
        <w:rPr>
          <w:rFonts w:hint="eastAsia"/>
          <w:b/>
          <w:noProof/>
          <w:sz w:val="22"/>
        </w:rPr>
        <w:t xml:space="preserve">Regulatory Framework Impact on ISPs in South Africa (2020-2023)</w:t>
      </w:r>
    </w:p>
    <w:tbl>
      <w:tblPr>
        <w:tblW w:w="0" w:type="dxa"/>
      </w:tblPr>
      <w:tblGrid>
        <w:gridCol w:w="2250"/>
        <w:gridCol w:w="2250"/>
        <w:gridCol w:w="2250"/>
        <w:gridCol w:w="2250"/>
        <w:gridCol w:w="2250"/>
      </w:tblGrid>
      <w:tr>
        <w:trPr/>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Body</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Framework Focus</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Targeted ISP</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Impact Area</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Analysis Period</w:t>
            </w:r>
          </w:p>
        </w:tc>
      </w:tr>
      <w:tr>
        <w:trPr/>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ICASA</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Broadband Regulations</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Bioniq</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Compliance and Market Innovation</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r>
      <w:tr>
        <w:trPr/>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USAASA</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Broadband Regulations</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Bioniq</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Compliance and Market Innovation</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Municipal and Enterprise Infrastructure Initiatives</w:t>
      </w:r>
    </w:p>
    <w:p>
      <w:pPr>
        <w:spacing w:line="288" w:lineRule="auto"/>
        <w:ind w:firstLine="480" w:firstLineChars="200"/>
        <w:jc w:val="both"/>
      </w:pPr>
      <w:r>
        <w:rPr>
          <w:rFonts w:hint="eastAsia" w:ascii="微软雅黑" w:hAnsi="微软雅黑" w:eastAsia="微软雅黑"/>
          <w:noProof/>
          <w:sz w:val="24"/>
        </w:rPr>
        <w:t xml:space="preserve">The South African internet service provider landscape is currently shaped by a complex interplay of evolving regulatory frameworks, shifting consumer demands, and localized infrastructure initiatives. As of mid-2026, navigating this dynamic environment requires a comprehensive understanding of both historical policy implementations and emerging market opportunities. For a prominent market player like Bioniq, strategic positioning must be intricately aligned with national broadband objectives, stringent regulatory compliance, and targeted infrastructure partnerships. The market presents a robust foundation for expansion, with national internet access reaching 82.1 percent by early 2026, thereby offering a substantial addressable consumer base for innovative service providers . However, capitalizing on this broad connectivity requires navigating intricate government policies and licensing requirements that dictate competitive dynamics and market entry barriers. </w:t>
      </w:r>
    </w:p>
    <w:p>
      <w:pPr>
        <w:spacing w:line="288" w:lineRule="auto"/>
        <w:ind w:firstLine="480" w:firstLineChars="200"/>
        <w:jc w:val="both"/>
      </w:pPr>
      <w:r>
        <w:rPr>
          <w:rFonts w:hint="eastAsia" w:ascii="微软雅黑" w:hAnsi="微软雅黑" w:eastAsia="微软雅黑"/>
          <w:noProof/>
          <w:sz w:val="24"/>
        </w:rPr>
        <w:t xml:space="preserve">An analysis of the regulatory environment governing the South African telecommunications sector between 2020 and 2023 reveals a transitional phase heavily focused on establishing national frameworks for ISP operations. These government policies have historically influenced competitive dynamics by dictating the terms of market entry and operational standards. For Bioniq, the strategic focus remains centered on aligning its operational trajectory with these overarching national broadband goals. By ensuring that its service expansion supports broader governmental objectives for digital inclusion, Bioniq can solidify its market presence and foster cooperative relationships with regulatory bodies. The licensing requirements enforced by authorities such as the Independent Communications Authority of South Africa (ICASA) serve as critical barriers to entry, mandating strict compliance and operational licensing for telecommunications providers. Consequently, Bioniq’s positioning strategy is heavily predicated on ensuring rigorous adherence to these compliance mandates to secure and expand its market share safely. </w:t>
      </w:r>
    </w:p>
    <w:p>
      <w:pPr>
        <w:spacing w:line="288" w:lineRule="auto"/>
        <w:ind w:firstLine="480" w:firstLineChars="200"/>
        <w:jc w:val="both"/>
      </w:pPr>
      <w:r>
        <w:rPr>
          <w:rFonts w:hint="eastAsia" w:ascii="微软雅黑" w:hAnsi="微软雅黑" w:eastAsia="微软雅黑"/>
          <w:noProof/>
          <w:sz w:val="24"/>
        </w:rPr>
        <w:t xml:space="preserve">While historical data detailing specific consumer protections, data privacy measures, and technical standards from 2020 to 2023 remains somewhat fragmented in recent analyses, the regulatory discourse has noticeably shifted toward accommodating emerging technologies. Recent regulatory efforts have increasingly concentrated on developing licensing frameworks for satellite operators and foreign-owned entities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Affirmative action rules and oversight mechanisms for foreign satellite providers, which have garnered significant attention leading up to July 2026, highlight an ongoing regulatory evolution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Furthermore, future-oriented regulations slated for implementation in early 2027 indicate a forward-looking policy environment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Although these developments primarily address satellite connectivity, they underscore a broader regulatory tightening and modernization effort within the telecommunications sector. Bioniq must remain agile, continuously monitoring these regulatory shifts to anticipate compliance requirements and leverage policy changes that may affect the broader ISP ecosystem. </w:t>
      </w:r>
    </w:p>
    <w:p>
      <w:pPr>
        <w:spacing w:line="288" w:lineRule="auto"/>
        <w:ind w:firstLine="480" w:firstLineChars="200"/>
        <w:jc w:val="both"/>
      </w:pPr>
      <w:r>
        <w:rPr>
          <w:rFonts w:hint="eastAsia" w:ascii="微软雅黑" w:hAnsi="微软雅黑" w:eastAsia="微软雅黑"/>
          <w:noProof/>
          <w:sz w:val="24"/>
        </w:rPr>
        <w:t xml:space="preserve">Beyond regulatory compliance, opportunity mapping within the South African ISP sector reveals significant avenues for growth driven by technological advancements and specific consumer usage patterns. Recent industry findings published in April 2026 emphasize a pronounced expansion in the broadband sector, largely catalyzed by advancements in fiber-optic and fixed wireless technologies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Fixed wireless solutions, in particular, have emerged as a highly cost-effective and rapid alternative for residential connections, offering a compelling route for ISPs to bridge affordability and coverage gaps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For Bioniq, integrating robust fixed wireless offerings into its portfolio presents a highly lucrative market entry and expansion opportunity, particularly in areas where traditional fiber deployment is logistically or economically prohibitive. Interestingly, despite South Africa being an early adopter of 5G technology, market data indicates that over 86 percent of users continue to rely on 4G networks for their primary connectivity needs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This gradual transition to 5G suggests that persistent demand for enhanced, reliable 4G offerings remains a dominant market force. Bioniq can strategically capitalize on this trend by fortifying its 4G infrastructure and delivering highly competitive, high-quality 4G products to capture this predominant user base while simultaneously laying the groundwork for future 5G transitions </w:t>
      </w:r>
      <w:r>
        <w:rPr>
          <w:rFonts w:hint="eastAsia" w:ascii="微软雅黑" w:hAnsi="微软雅黑" w:eastAsia="微软雅黑"/>
          <w:noProof/>
          <w:sz w:val="24"/>
          <w:vertAlign w:val="superscript"/>
        </w:rPr>
        <w:t>[54]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competitive dynamics of the ISP market also present unique strategic imperatives. Global trends indicate a pattern of market concentration, with a significant majority of countries experiencing limited provider competition as of May 2026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While localized data for South Africa mirrors some of these consolidation challenges, this environment simultaneously creates distinct opportunities for disruptive entities. Market consolidation often leads to service homogenization, allowing agile ISPs like Bioniq to differentiate themselves through superior service quality, innovative pricing models, and enhanced customer experiences. Furthermore, the broader economic context of the ISP sector is highly favorable. Projections for global ISP market revenue anticipate growth from USD 1,014.6 billion in 2026 to USD 1,396.48 billion by 2035, reflecting a compound annual growth rate of 3.61 percent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While this macroeconomic data provides a global backdrop, the regional application of these growth metrics relies heavily on targeted infrastructure expansion and localized market penetration. </w:t>
      </w:r>
    </w:p>
    <w:p>
      <w:pPr>
        <w:spacing w:line="288" w:lineRule="auto"/>
        <w:ind w:firstLine="480" w:firstLineChars="200"/>
        <w:jc w:val="both"/>
      </w:pPr>
      <w:r>
        <w:rPr>
          <w:rFonts w:hint="eastAsia" w:ascii="微软雅黑" w:hAnsi="微软雅黑" w:eastAsia="微软雅黑"/>
          <w:noProof/>
          <w:sz w:val="24"/>
        </w:rPr>
        <w:t xml:space="preserve">A critical component of Bioniq’s growth strategy within this evolving landscape involves leveraging municipal and enterprise infrastructure initiatives. Local infrastructure development projects are instrumental in creating localized market opportunities and significantly expanding network coverage. By actively targeting municipal partnerships, Bioniq can participate in subsidized or collaborative infrastructure rollouts, effectively reducing capital expenditure while accelerating network deployment in underserved or rapidly developing urban and peri-urban areas. These municipal initiatives not only facilitate physical network expansion but also embed the ISP within the local economic fabric, fostering long-term enterprise relationships and community trust. Aligning Bioniq’s expansion efforts with municipal infrastructure goals ensures a symbiotic relationship where local governments achieve their digital connectivity targets, and the ISP secures a loyal and expanding subscriber base. </w:t>
      </w:r>
    </w:p>
    <w:p>
      <w:pPr>
        <w:spacing w:line="288" w:lineRule="auto"/>
        <w:ind w:firstLine="480" w:firstLineChars="200"/>
        <w:jc w:val="both"/>
      </w:pPr>
      <w:r>
        <w:rPr>
          <w:rFonts w:hint="eastAsia" w:ascii="微软雅黑" w:hAnsi="微软雅黑" w:eastAsia="微软雅黑"/>
          <w:noProof/>
          <w:sz w:val="24"/>
        </w:rPr>
        <w:t xml:space="preserve">In synthesis, the South African ISP market presents a multifaceted landscape characterized by stringent but evolving regulatory frameworks and substantial technological opportunities. Bioniq’s success hinges on a multidimensional strategy that prioritizes strict regulatory compliance to navigate licensing barriers and aligns closely with national broadband objectives. Simultaneously, the company must exploit identified market gaps by delivering cost-effective fixed wireless solutions and optimizing its 4G service offerings to meet the immediate demands of the vast majority of the connected population. By aggressively pursuing municipal and enterprise infrastructure partnerships, Bioniq can efficiently scale its operations, mitigate the challenges of market consolidation, and establish a formidable, differentiated presence in a highly lucrative and expanding telecommunications sector.</w:t>
      </w:r>
    </w:p>
    <w:p>
      <w:pPr>
        <w:spacing w:line="360" w:lineRule="auto"/>
        <w:ind/>
      </w:pPr>
      <w:r>
        <w:rPr>
          <w:rFonts w:hint="eastAsia"/>
          <w:b/>
          <w:noProof/>
          <w:sz w:val="22"/>
        </w:rPr>
        <w:t xml:space="preserve">Comparative Analysis of ISP Market Regulations and Opportunities in South Africa</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Aspect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Impact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Bioniq Positioning Focus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Government Policies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National frameworks shaping ISP operations (2020-2023)</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Influences competitive dynamics and market entry</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Alignment with national broadband goals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Licensing Requirements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Compliance and operational licensing for telecommunications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Sets barriers to entry and operational standards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Ensuring strict compliance to secure market share</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Municipal &amp; Enterprise Initiatives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Local infrastructure development projects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Creates localized market opportunities and expands coverage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Targeting municipal partnerships for infrastructure expansion</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South Africa, April 2026, Fixed Broadband Experience Report https://insights.opensignal.com/reports/2026/04/southafrica/mobile-network-experience</w:t>
      </w:r>
    </w:p>
    <w:p>
      <w:pPr>
        <w:spacing w:line="288" w:lineRule="auto"/>
        <w:ind w:firstLine="480" w:firstLineChars="200"/>
        <w:jc w:val="both"/>
      </w:pPr>
      <w:r>
        <w:rPr>
          <w:rFonts w:hint="eastAsia" w:ascii="微软雅黑" w:hAnsi="微软雅黑" w:eastAsia="微软雅黑"/>
          <w:noProof/>
          <w:sz w:val="24"/>
        </w:rPr>
        <w:t xml:space="preserve">[2] Starlink has secured licenses to launch satellite internet services in ... https://www.facebook.com/businessinsiderssa/posts/starlink-has-secured-licenses-to-launch-satellite-internet-services-in-c%C3%B4te-divo/1033310775922533/</w:t>
      </w:r>
    </w:p>
    <w:p>
      <w:pPr>
        <w:spacing w:line="288" w:lineRule="auto"/>
        <w:ind w:firstLine="480" w:firstLineChars="200"/>
        <w:jc w:val="both"/>
      </w:pPr>
      <w:r>
        <w:rPr>
          <w:rFonts w:hint="eastAsia" w:ascii="微软雅黑" w:hAnsi="微软雅黑" w:eastAsia="微软雅黑"/>
          <w:noProof/>
          <w:sz w:val="24"/>
        </w:rPr>
        <w:t xml:space="preserve">[3] Internet Service Providers (ISP) Market Size, Trends, 2026-2033 ... https://www.linkedin.com/pulse/internet-service-providers-isp-market-size-trends-c9dlc</w:t>
      </w:r>
    </w:p>
    <w:p>
      <w:pPr>
        <w:spacing w:line="288" w:lineRule="auto"/>
        <w:ind w:firstLine="480" w:firstLineChars="200"/>
        <w:jc w:val="both"/>
      </w:pPr>
      <w:r>
        <w:rPr>
          <w:rFonts w:hint="eastAsia" w:ascii="微软雅黑" w:hAnsi="微软雅黑" w:eastAsia="微软雅黑"/>
          <w:noProof/>
          <w:sz w:val="24"/>
        </w:rPr>
        <w:t xml:space="preserve">[4] Internet Market Competition in 2026 | ISOC Pulse https://pulse.internetsociety.org/en/blog/2026/05/internet-market-competition-in-2026/</w:t>
      </w:r>
    </w:p>
    <w:p>
      <w:pPr>
        <w:spacing w:line="288" w:lineRule="auto"/>
        <w:ind w:firstLine="480" w:firstLineChars="200"/>
        <w:jc w:val="both"/>
      </w:pPr>
      <w:r>
        <w:rPr>
          <w:rFonts w:hint="eastAsia" w:ascii="微软雅黑" w:hAnsi="微软雅黑" w:eastAsia="微软雅黑"/>
          <w:noProof/>
          <w:sz w:val="24"/>
        </w:rPr>
        <w:t xml:space="preserve">[5] Starlink Tops Internet Speeds in 22 of 23 African Markets as ... https://techafricanews.com/2026/06/15/starlink-tops-internet-speeds-in-22-of-23-african-markets-as-estimated-subscriber-base-hits-half-a-million/</w:t>
      </w:r>
    </w:p>
    <w:p>
      <w:pPr>
        <w:spacing w:line="288" w:lineRule="auto"/>
        <w:ind w:firstLine="480" w:firstLineChars="200"/>
        <w:jc w:val="both"/>
      </w:pPr>
      <w:r>
        <w:rPr>
          <w:rFonts w:hint="eastAsia" w:ascii="微软雅黑" w:hAnsi="微软雅黑" w:eastAsia="微软雅黑"/>
          <w:noProof/>
          <w:sz w:val="24"/>
        </w:rPr>
        <w:t xml:space="preserve">[6] Agenda | Broadband Communities - Terrapinn https://www.terrapinn.com/conference/broadband-communities/agenda.stm</w:t>
      </w:r>
    </w:p>
    <w:p>
      <w:pPr>
        <w:spacing w:line="288" w:lineRule="auto"/>
        <w:ind w:firstLine="480" w:firstLineChars="200"/>
        <w:jc w:val="both"/>
      </w:pPr>
      <w:r>
        <w:rPr>
          <w:rFonts w:hint="eastAsia" w:ascii="微软雅黑" w:hAnsi="微软雅黑" w:eastAsia="微软雅黑"/>
          <w:noProof/>
          <w:sz w:val="24"/>
        </w:rPr>
        <w:t xml:space="preserve">[7] Broadband For All Update February 2026 - CA.gov https://broadbandforall.cdt.ca.gov/2026/02/03/broadband-for-all-update-february-2026/</w:t>
      </w:r>
    </w:p>
    <w:p>
      <w:pPr>
        <w:spacing w:line="288" w:lineRule="auto"/>
        <w:ind w:firstLine="480" w:firstLineChars="200"/>
        <w:jc w:val="both"/>
      </w:pPr>
      <w:r>
        <w:rPr>
          <w:rFonts w:hint="eastAsia" w:ascii="微软雅黑" w:hAnsi="微软雅黑" w:eastAsia="微软雅黑"/>
          <w:noProof/>
          <w:sz w:val="24"/>
        </w:rPr>
        <w:t xml:space="preserve">[8] States Must Consider Future of Broadband Offices https://www.pew.org/en/research-and-analysis/articles/2026/06/04/states-must-consider-future-of-broadband-offices</w:t>
      </w:r>
    </w:p>
    <w:p>
      <w:pPr>
        <w:spacing w:line="288" w:lineRule="auto"/>
        <w:ind w:firstLine="480" w:firstLineChars="200"/>
        <w:jc w:val="both"/>
      </w:pPr>
      <w:r>
        <w:rPr>
          <w:rFonts w:hint="eastAsia" w:ascii="微软雅黑" w:hAnsi="微软雅黑" w:eastAsia="微软雅黑"/>
          <w:noProof/>
          <w:sz w:val="24"/>
        </w:rPr>
        <w:t xml:space="preserve">[9] Nominations open for the 2026 Broadband Communities Awards https://bbcmag.com/nominations-open-for-the-2026-broadband-communities-awards/</w:t>
      </w:r>
    </w:p>
    <w:p>
      <w:pPr>
        <w:spacing w:line="288" w:lineRule="auto"/>
        <w:ind w:firstLine="480" w:firstLineChars="200"/>
        <w:jc w:val="both"/>
      </w:pPr>
      <w:r>
        <w:rPr>
          <w:rFonts w:hint="eastAsia" w:ascii="微软雅黑" w:hAnsi="微软雅黑" w:eastAsia="微软雅黑"/>
          <w:noProof/>
          <w:sz w:val="24"/>
        </w:rPr>
        <w:t xml:space="preserve">[10] Midwest Peering Summit - American Registry for Internet Numbers https://www.arin.net/events/MWPS2026/</w:t>
      </w:r>
    </w:p>
    <w:p>
      <w:pPr>
        <w:spacing w:line="288" w:lineRule="auto"/>
        <w:ind w:firstLine="480" w:firstLineChars="200"/>
        <w:jc w:val="both"/>
      </w:pPr>
      <w:r>
        <w:rPr>
          <w:rFonts w:hint="eastAsia" w:ascii="微软雅黑" w:hAnsi="微软雅黑" w:eastAsia="微软雅黑"/>
          <w:noProof/>
          <w:sz w:val="24"/>
        </w:rPr>
        <w:t xml:space="preserve">[11] Wi-Fi Analytics Market Size, Share, Growth, Analysis, 2034 https://straitsresearch.com/report/wi-fi-analytics-market</w:t>
      </w:r>
    </w:p>
    <w:p>
      <w:pPr>
        <w:spacing w:line="288" w:lineRule="auto"/>
        <w:ind w:firstLine="480" w:firstLineChars="200"/>
        <w:jc w:val="both"/>
      </w:pPr>
      <w:r>
        <w:rPr>
          <w:rFonts w:hint="eastAsia" w:ascii="微软雅黑" w:hAnsi="微软雅黑" w:eastAsia="微软雅黑"/>
          <w:noProof/>
          <w:sz w:val="24"/>
        </w:rPr>
        <w:t xml:space="preserve">[12] Wi-Fi Analytics Market Insight and Trends 2026 https://www.transparencymarketresearch.com/wi-fi-analytics-market.html</w:t>
      </w:r>
    </w:p>
    <w:p>
      <w:pPr>
        <w:spacing w:line="288" w:lineRule="auto"/>
        <w:ind w:firstLine="480" w:firstLineChars="200"/>
        <w:jc w:val="both"/>
      </w:pPr>
      <w:r>
        <w:rPr>
          <w:rFonts w:hint="eastAsia" w:ascii="微软雅黑" w:hAnsi="微软雅黑" w:eastAsia="微软雅黑"/>
          <w:noProof/>
          <w:sz w:val="24"/>
        </w:rPr>
        <w:t xml:space="preserve">[13] Wi-Fi as a Service Market Size, Share | Growth Report [2034] https://www.fortunebusinessinsights.com/wifi-as-a-service-market-104859</w:t>
      </w:r>
    </w:p>
    <w:p>
      <w:pPr>
        <w:spacing w:line="288" w:lineRule="auto"/>
        <w:ind w:firstLine="480" w:firstLineChars="200"/>
        <w:jc w:val="both"/>
      </w:pPr>
      <w:r>
        <w:rPr>
          <w:rFonts w:hint="eastAsia" w:ascii="微软雅黑" w:hAnsi="微软雅黑" w:eastAsia="微软雅黑"/>
          <w:noProof/>
          <w:sz w:val="24"/>
        </w:rPr>
        <w:t xml:space="preserve">[14] Wi-Fi as a Service Market Size &amp; Share, Trends &amp; Outlook - 2035 https://www.marketresearchfuture.com/reports/wi-fi-as-a-service-market-2355</w:t>
      </w:r>
    </w:p>
    <w:p>
      <w:pPr>
        <w:spacing w:line="288" w:lineRule="auto"/>
        <w:ind w:firstLine="480" w:firstLineChars="200"/>
        <w:jc w:val="both"/>
      </w:pPr>
      <w:r>
        <w:rPr>
          <w:rFonts w:hint="eastAsia" w:ascii="微软雅黑" w:hAnsi="微软雅黑" w:eastAsia="微软雅黑"/>
          <w:noProof/>
          <w:sz w:val="24"/>
        </w:rPr>
        <w:t xml:space="preserve">[15] Top Connectivity Trends for 2026: What Enterprises Need to Know https://monogoto.io/2026/01/15/top-connectivity-trends-for-2026-what-enterprises-need-to-know/</w:t>
      </w:r>
    </w:p>
    <w:p>
      <w:pPr>
        <w:spacing w:line="288" w:lineRule="auto"/>
        <w:ind w:firstLine="480" w:firstLineChars="200"/>
        <w:jc w:val="both"/>
      </w:pPr>
      <w:r>
        <w:rPr>
          <w:rFonts w:hint="eastAsia" w:ascii="微软雅黑" w:hAnsi="微软雅黑" w:eastAsia="微软雅黑"/>
          <w:noProof/>
          <w:sz w:val="24"/>
        </w:rPr>
        <w:t xml:space="preserve">[16] The scientific advances ready to change the world - YouTube https://www.youtube.com/watch?v=2H4pXNZldHs</w:t>
      </w:r>
    </w:p>
    <w:p>
      <w:pPr>
        <w:spacing w:line="288" w:lineRule="auto"/>
        <w:ind w:firstLine="480" w:firstLineChars="200"/>
        <w:jc w:val="both"/>
      </w:pPr>
      <w:r>
        <w:rPr>
          <w:rFonts w:hint="eastAsia" w:ascii="微软雅黑" w:hAnsi="微软雅黑" w:eastAsia="微软雅黑"/>
          <w:noProof/>
          <w:sz w:val="24"/>
        </w:rPr>
        <w:t xml:space="preserve">[17] 12 Top Emerging Technologies To Watch In 2026 | TechCon Global https://techconglobal.com/12-top-emerging-technologies-to-watch-in-2026/</w:t>
      </w:r>
    </w:p>
    <w:p>
      <w:pPr>
        <w:spacing w:line="288" w:lineRule="auto"/>
        <w:ind w:firstLine="480" w:firstLineChars="200"/>
        <w:jc w:val="both"/>
      </w:pPr>
      <w:r>
        <w:rPr>
          <w:rFonts w:hint="eastAsia" w:ascii="微软雅黑" w:hAnsi="微软雅黑" w:eastAsia="微软雅黑"/>
          <w:noProof/>
          <w:sz w:val="24"/>
        </w:rPr>
        <w:t xml:space="preserve">[18] Top 10 Technology Trends in 2026 That Will Shape The Next Decade https://cambridgeopenacademy.com/top-10-technology-trends-in-2026/</w:t>
      </w:r>
    </w:p>
    <w:p>
      <w:pPr>
        <w:spacing w:line="288" w:lineRule="auto"/>
        <w:ind w:firstLine="480" w:firstLineChars="200"/>
        <w:jc w:val="both"/>
      </w:pPr>
      <w:r>
        <w:rPr>
          <w:rFonts w:hint="eastAsia" w:ascii="微软雅黑" w:hAnsi="微软雅黑" w:eastAsia="微软雅黑"/>
          <w:noProof/>
          <w:sz w:val="24"/>
        </w:rPr>
        <w:t xml:space="preserve">[19] These 34 emerging technologies will change the world https://www.innovationnewsnetwork.com/34-emerging-technologies-that-will-change-the-world/54326/</w:t>
      </w:r>
    </w:p>
    <w:p>
      <w:pPr>
        <w:spacing w:line="288" w:lineRule="auto"/>
        <w:ind w:firstLine="480" w:firstLineChars="200"/>
        <w:jc w:val="both"/>
      </w:pPr>
      <w:r>
        <w:rPr>
          <w:rFonts w:hint="eastAsia" w:ascii="微软雅黑" w:hAnsi="微软雅黑" w:eastAsia="微软雅黑"/>
          <w:noProof/>
          <w:sz w:val="24"/>
        </w:rPr>
        <w:t xml:space="preserve">[20] Top 15 New Breakthrough Technologies of 2026 (According to MIT) https://www.youtube.com/watch?v=wjJG8ga63lQ</w:t>
      </w:r>
    </w:p>
    <w:p>
      <w:pPr>
        <w:spacing w:line="288" w:lineRule="auto"/>
        <w:ind w:firstLine="480" w:firstLineChars="200"/>
        <w:jc w:val="both"/>
      </w:pPr>
      <w:r>
        <w:rPr>
          <w:rFonts w:hint="eastAsia" w:ascii="微软雅黑" w:hAnsi="微软雅黑" w:eastAsia="微软雅黑"/>
          <w:noProof/>
          <w:sz w:val="24"/>
        </w:rPr>
        <w:t xml:space="preserve">[21] Africa's internet landscape is shifting rapidly as new performance ... https://www.facebook.com/spacefans1/posts/africas-internet-landscape-is-shifting-rapidly-as-new-performance-data-reveals-a/1433170492175289/</w:t>
      </w:r>
    </w:p>
    <w:p>
      <w:pPr>
        <w:spacing w:line="288" w:lineRule="auto"/>
        <w:ind w:firstLine="480" w:firstLineChars="200"/>
        <w:jc w:val="both"/>
      </w:pPr>
      <w:r>
        <w:rPr>
          <w:rFonts w:hint="eastAsia" w:ascii="微软雅黑" w:hAnsi="微软雅黑" w:eastAsia="微软雅黑"/>
          <w:noProof/>
          <w:sz w:val="24"/>
        </w:rPr>
        <w:t xml:space="preserve">[22] Despite improvements, Sub-Saharan Africa has the widest usage ... https://www.gsma.com/solutions-and-impact/connectivity-for-good/mobile-for-development/blog/despite-improvements-sub-saharan-africa-has-the-widest-usage-and-coverage-gaps-worldwide/</w:t>
      </w:r>
    </w:p>
    <w:p>
      <w:pPr>
        <w:spacing w:line="288" w:lineRule="auto"/>
        <w:ind w:firstLine="480" w:firstLineChars="200"/>
        <w:jc w:val="both"/>
      </w:pPr>
      <w:r>
        <w:rPr>
          <w:rFonts w:hint="eastAsia" w:ascii="微软雅黑" w:hAnsi="微软雅黑" w:eastAsia="微软雅黑"/>
          <w:noProof/>
          <w:sz w:val="24"/>
        </w:rPr>
        <w:t xml:space="preserve">[24] Strengthening Africa's Internet Future: ICANN's Africa Regional Plan ... https://www.icann.org/en/blogs/details/strengthening-africas-internet-future-icanns-africa-regional-plan-for-fy2630-20-08-2025-en</w:t>
      </w:r>
    </w:p>
    <w:p>
      <w:pPr>
        <w:spacing w:line="288" w:lineRule="auto"/>
        <w:ind w:firstLine="480" w:firstLineChars="200"/>
        <w:jc w:val="both"/>
      </w:pPr>
      <w:r>
        <w:rPr>
          <w:rFonts w:hint="eastAsia" w:ascii="微软雅黑" w:hAnsi="微软雅黑" w:eastAsia="微软雅黑"/>
          <w:noProof/>
          <w:sz w:val="24"/>
        </w:rPr>
        <w:t xml:space="preserve">[25] The State of Broadband in Africa Going into 2026 https://www.telecomreviewafrica.com/articles/features/28262-the-state-of-broadband-in-africa-going-into-2026/</w:t>
      </w:r>
    </w:p>
    <w:p>
      <w:pPr>
        <w:spacing w:line="288" w:lineRule="auto"/>
        <w:ind w:firstLine="480" w:firstLineChars="200"/>
        <w:jc w:val="both"/>
      </w:pPr>
      <w:r>
        <w:rPr>
          <w:rFonts w:hint="eastAsia" w:ascii="微软雅黑" w:hAnsi="微软雅黑" w:eastAsia="微软雅黑"/>
          <w:noProof/>
          <w:sz w:val="24"/>
        </w:rPr>
        <w:t xml:space="preserve">[26] Congress Must Prioritize Connectivity in Underserved Areas Over ... https://broadbandbreakfast.com/congress-must-prioritize-connectivity-in-underserved-areas-over-higher-speeds/</w:t>
      </w:r>
    </w:p>
    <w:p>
      <w:pPr>
        <w:spacing w:line="288" w:lineRule="auto"/>
        <w:ind w:firstLine="480" w:firstLineChars="200"/>
        <w:jc w:val="both"/>
      </w:pPr>
      <w:r>
        <w:rPr>
          <w:rFonts w:hint="eastAsia" w:ascii="微软雅黑" w:hAnsi="微软雅黑" w:eastAsia="微软雅黑"/>
          <w:noProof/>
          <w:sz w:val="24"/>
        </w:rPr>
        <w:t xml:space="preserve">[27] Broadband Communities Summit 2026 | Houston, Texas - Terrapinn https://www.terrapinn.com/conference/broadband-communities/index.stm</w:t>
      </w:r>
    </w:p>
    <w:p>
      <w:pPr>
        <w:spacing w:line="288" w:lineRule="auto"/>
        <w:ind w:firstLine="480" w:firstLineChars="200"/>
        <w:jc w:val="both"/>
      </w:pPr>
      <w:r>
        <w:rPr>
          <w:rFonts w:hint="eastAsia" w:ascii="微软雅黑" w:hAnsi="微软雅黑" w:eastAsia="微软雅黑"/>
          <w:noProof/>
          <w:sz w:val="24"/>
        </w:rPr>
        <w:t xml:space="preserve">[28] Broadband For All Update June 2026 - CA.gov https://broadbandforall.cdt.ca.gov/2026/06/09/broadband-for-all-update-june-2026/</w:t>
      </w:r>
    </w:p>
    <w:p>
      <w:pPr>
        <w:spacing w:line="288" w:lineRule="auto"/>
        <w:ind w:firstLine="480" w:firstLineChars="200"/>
        <w:jc w:val="both"/>
      </w:pPr>
      <w:r>
        <w:rPr>
          <w:rFonts w:hint="eastAsia" w:ascii="微软雅黑" w:hAnsi="微软雅黑" w:eastAsia="微软雅黑"/>
          <w:noProof/>
          <w:sz w:val="24"/>
        </w:rPr>
        <w:t xml:space="preserve">[29] Growth in connectivity remains flat – how do we unlock internet for ... https://www.gsma.com/solutions-and-impact/connectivity-for-good/mobile-for-development/blog/growth-in-connectivity-remains-flat-how-do-we-unlock-internet-for-the-underserved/</w:t>
      </w:r>
    </w:p>
    <w:p>
      <w:pPr>
        <w:spacing w:line="288" w:lineRule="auto"/>
        <w:ind w:firstLine="480" w:firstLineChars="200"/>
        <w:jc w:val="both"/>
      </w:pPr>
      <w:r>
        <w:rPr>
          <w:rFonts w:hint="eastAsia" w:ascii="微软雅黑" w:hAnsi="微软雅黑" w:eastAsia="微软雅黑"/>
          <w:noProof/>
          <w:sz w:val="24"/>
        </w:rPr>
        <w:t xml:space="preserve">[30] Chad Seeks World Bank Support to Bring Connectivity to 500 ... https://www.ecofinagency.com/news-digital/0406-56180-chad-seeks-world-bank-support-to-bring-connectivity-to-500-underserved-areas</w:t>
      </w:r>
    </w:p>
    <w:p>
      <w:pPr>
        <w:spacing w:line="288" w:lineRule="auto"/>
        <w:ind w:firstLine="480" w:firstLineChars="200"/>
        <w:jc w:val="both"/>
      </w:pPr>
      <w:r>
        <w:rPr>
          <w:rFonts w:hint="eastAsia" w:ascii="微软雅黑" w:hAnsi="微软雅黑" w:eastAsia="微软雅黑"/>
          <w:noProof/>
          <w:sz w:val="24"/>
        </w:rPr>
        <w:t xml:space="preserve">[31] Across South Africa and the rest of the continent, infrastructure plays ... https://www.instagram.com/reel/DZWyLBdCA21/</w:t>
      </w:r>
    </w:p>
    <w:p>
      <w:pPr>
        <w:spacing w:line="288" w:lineRule="auto"/>
        <w:ind w:firstLine="480" w:firstLineChars="200"/>
        <w:jc w:val="both"/>
      </w:pPr>
      <w:r>
        <w:rPr>
          <w:rFonts w:hint="eastAsia" w:ascii="微软雅黑" w:hAnsi="微软雅黑" w:eastAsia="微软雅黑"/>
          <w:noProof/>
          <w:sz w:val="24"/>
        </w:rPr>
        <w:t xml:space="preserve">[32] Rural Community Networks for Inclusive Digital Transformation ... https://www2.fundsforngos.org/innovation/cfps-rural-community-networks-for-inclusive-digital-transformation-south-africa/</w:t>
      </w:r>
    </w:p>
    <w:p>
      <w:pPr>
        <w:spacing w:line="288" w:lineRule="auto"/>
        <w:ind w:firstLine="480" w:firstLineChars="200"/>
        <w:jc w:val="both"/>
      </w:pPr>
      <w:r>
        <w:rPr>
          <w:rFonts w:hint="eastAsia" w:ascii="微软雅黑" w:hAnsi="微软雅黑" w:eastAsia="微软雅黑"/>
          <w:noProof/>
          <w:sz w:val="24"/>
        </w:rPr>
        <w:t xml:space="preserve">[33] The Community-Centered Connectivity grant program is ... - Instagram https://www.instagram.com/p/DXEwn_fjPny/</w:t>
      </w:r>
    </w:p>
    <w:p>
      <w:pPr>
        <w:spacing w:line="288" w:lineRule="auto"/>
        <w:ind w:firstLine="480" w:firstLineChars="200"/>
        <w:jc w:val="both"/>
      </w:pPr>
      <w:r>
        <w:rPr>
          <w:rFonts w:hint="eastAsia" w:ascii="微软雅黑" w:hAnsi="微软雅黑" w:eastAsia="微软雅黑"/>
          <w:noProof/>
          <w:sz w:val="24"/>
        </w:rPr>
        <w:t xml:space="preserve">[34] Co-creating connectivity: South Africa launches groundbreaking ... https://www.apc.org/en/news/co-creating-connectivity-south-africa-launches-groundbreaking-national-strategy-community</w:t>
      </w:r>
    </w:p>
    <w:p>
      <w:pPr>
        <w:spacing w:line="288" w:lineRule="auto"/>
        <w:ind w:firstLine="480" w:firstLineChars="200"/>
        <w:jc w:val="both"/>
      </w:pPr>
      <w:r>
        <w:rPr>
          <w:rFonts w:hint="eastAsia" w:ascii="微软雅黑" w:hAnsi="微软雅黑" w:eastAsia="微软雅黑"/>
          <w:noProof/>
          <w:sz w:val="24"/>
        </w:rPr>
        <w:t xml:space="preserve">[35] African NGO Funding Opportunities – May &amp; June 2026 https://africanngos.org/2026/05/06/african-ngo-funding-opportunities-may-june-2026/</w:t>
      </w:r>
    </w:p>
    <w:p>
      <w:pPr>
        <w:spacing w:line="288" w:lineRule="auto"/>
        <w:ind w:firstLine="480" w:firstLineChars="200"/>
        <w:jc w:val="both"/>
      </w:pPr>
      <w:r>
        <w:rPr>
          <w:rFonts w:hint="eastAsia" w:ascii="微软雅黑" w:hAnsi="微软雅黑" w:eastAsia="微软雅黑"/>
          <w:noProof/>
          <w:sz w:val="24"/>
        </w:rPr>
        <w:t xml:space="preserve">[36] One Year After BEAD Restructured, Some States Still Can't Access ... https://broadbandbreakfast.com/one-year-after-bead-restructured-some-states-still-cant-access-infrastructure-funding/</w:t>
      </w:r>
    </w:p>
    <w:p>
      <w:pPr>
        <w:spacing w:line="288" w:lineRule="auto"/>
        <w:ind w:firstLine="480" w:firstLineChars="200"/>
        <w:jc w:val="both"/>
      </w:pPr>
      <w:r>
        <w:rPr>
          <w:rFonts w:hint="eastAsia" w:ascii="微软雅黑" w:hAnsi="微软雅黑" w:eastAsia="微软雅黑"/>
          <w:noProof/>
          <w:sz w:val="24"/>
        </w:rPr>
        <w:t xml:space="preserve">[37] The Role of State Broadband Policy in 2026 https://www.pew.org/en/research-and-analysis/articles/2026/03/10/the-role-of-state-broadband-policy-in-2026</w:t>
      </w:r>
    </w:p>
    <w:p>
      <w:pPr>
        <w:spacing w:line="288" w:lineRule="auto"/>
        <w:ind w:firstLine="480" w:firstLineChars="200"/>
        <w:jc w:val="both"/>
      </w:pPr>
      <w:r>
        <w:rPr>
          <w:rFonts w:hint="eastAsia" w:ascii="微软雅黑" w:hAnsi="微软雅黑" w:eastAsia="微软雅黑"/>
          <w:noProof/>
          <w:sz w:val="24"/>
        </w:rPr>
        <w:t xml:space="preserve">[38] Broadband For All Update April 2026 - CA.gov https://broadbandforall.cdt.ca.gov/2026/04/07/broadband-for-all-update-april-2026/</w:t>
      </w:r>
    </w:p>
    <w:p>
      <w:pPr>
        <w:spacing w:line="288" w:lineRule="auto"/>
        <w:ind w:firstLine="480" w:firstLineChars="200"/>
        <w:jc w:val="both"/>
      </w:pPr>
      <w:r>
        <w:rPr>
          <w:rFonts w:hint="eastAsia" w:ascii="微软雅黑" w:hAnsi="微软雅黑" w:eastAsia="微软雅黑"/>
          <w:noProof/>
          <w:sz w:val="24"/>
        </w:rPr>
        <w:t xml:space="preserve">[39] $42 Billion Rural Broadband Program Finally Moves Into ... https://www.governing.com/infrastructure/42-billion-rural-broadband-program-finally-moves-into-implementation</w:t>
      </w:r>
    </w:p>
    <w:p>
      <w:pPr>
        <w:spacing w:line="288" w:lineRule="auto"/>
        <w:ind w:firstLine="480" w:firstLineChars="200"/>
        <w:jc w:val="both"/>
      </w:pPr>
      <w:r>
        <w:rPr>
          <w:rFonts w:hint="eastAsia" w:ascii="微软雅黑" w:hAnsi="微软雅黑" w:eastAsia="微软雅黑"/>
          <w:noProof/>
          <w:sz w:val="24"/>
        </w:rPr>
        <w:t xml:space="preserve">[40] June 29, 2026: FCC moves on deployment and E-Rate, last-mile ... https://www.telecompetitor.com/june-29-2026/</w:t>
      </w:r>
    </w:p>
    <w:p>
      <w:pPr>
        <w:spacing w:line="288" w:lineRule="auto"/>
        <w:ind w:firstLine="480" w:firstLineChars="200"/>
        <w:jc w:val="both"/>
      </w:pPr>
      <w:r>
        <w:rPr>
          <w:rFonts w:hint="eastAsia" w:ascii="微软雅黑" w:hAnsi="微软雅黑" w:eastAsia="微软雅黑"/>
          <w:noProof/>
          <w:sz w:val="24"/>
        </w:rPr>
        <w:t xml:space="preserve">[41] South Africa Sets Out New Regulations For Satellite Internet ... https://www.facebook.com/ahmed.t.ramalan/posts/south-africa-sets-out-new-regulations-for-satellite-internet-servicesmay-18-2026/10244358855894315/</w:t>
      </w:r>
    </w:p>
    <w:p>
      <w:pPr>
        <w:spacing w:line="288" w:lineRule="auto"/>
        <w:ind w:firstLine="480" w:firstLineChars="200"/>
        <w:jc w:val="both"/>
      </w:pPr>
      <w:r>
        <w:rPr>
          <w:rFonts w:hint="eastAsia" w:ascii="微软雅黑" w:hAnsi="微软雅黑" w:eastAsia="微软雅黑"/>
          <w:noProof/>
          <w:sz w:val="24"/>
        </w:rPr>
        <w:t xml:space="preserve">[42] ICASA Publishes Draft Amendments to the Radio Frequency ... https://www.icasa.org.za/news/2026/icasa-publishes-draft-amendments-to-the-radio-frequency-spectrum-regulations-and-radio-frequency-spectrum-fees-regulations</w:t>
      </w:r>
    </w:p>
    <w:p>
      <w:pPr>
        <w:spacing w:line="288" w:lineRule="auto"/>
        <w:ind w:firstLine="480" w:firstLineChars="200"/>
        <w:jc w:val="both"/>
      </w:pPr>
      <w:r>
        <w:rPr>
          <w:rFonts w:hint="eastAsia" w:ascii="微软雅黑" w:hAnsi="微软雅黑" w:eastAsia="微软雅黑"/>
          <w:noProof/>
          <w:sz w:val="24"/>
        </w:rPr>
        <w:t xml:space="preserve">[43] ICASA sets out demands for Starlink in South Africa https://www.advanced-television.com/2026/06/30/icasa-sets-out-demands-for-starlink-in-south-africa/</w:t>
      </w:r>
    </w:p>
    <w:p>
      <w:pPr>
        <w:spacing w:line="288" w:lineRule="auto"/>
        <w:ind w:firstLine="480" w:firstLineChars="200"/>
        <w:jc w:val="both"/>
      </w:pPr>
      <w:r>
        <w:rPr>
          <w:rFonts w:hint="eastAsia" w:ascii="微软雅黑" w:hAnsi="微软雅黑" w:eastAsia="微软雅黑"/>
          <w:noProof/>
          <w:sz w:val="24"/>
        </w:rPr>
        <w:t xml:space="preserve">[44] May 2 - Instagram https://www.instagram.com/p/DX3gZk8DfaH/</w:t>
      </w:r>
    </w:p>
    <w:p>
      <w:pPr>
        <w:spacing w:line="288" w:lineRule="auto"/>
        <w:ind w:firstLine="480" w:firstLineChars="200"/>
        <w:jc w:val="both"/>
      </w:pPr>
      <w:r>
        <w:rPr>
          <w:rFonts w:hint="eastAsia" w:ascii="微软雅黑" w:hAnsi="微软雅黑" w:eastAsia="微软雅黑"/>
          <w:noProof/>
          <w:sz w:val="24"/>
        </w:rPr>
        <w:t xml:space="preserve">[45] South Africa ICASA Opens Public Consultation on Radio Frequency ... https://approve-it.net/south-africa-icasa-opens-public-consultation-on-radio-frequency-spectrum-regulations-2/</w:t>
      </w:r>
    </w:p>
    <w:p>
      <w:pPr>
        <w:spacing w:line="288" w:lineRule="auto"/>
        <w:ind w:firstLine="480" w:firstLineChars="200"/>
        <w:jc w:val="both"/>
      </w:pPr>
      <w:r>
        <w:rPr>
          <w:rFonts w:hint="eastAsia" w:ascii="微软雅黑" w:hAnsi="微软雅黑" w:eastAsia="微软雅黑"/>
          <w:noProof/>
          <w:sz w:val="24"/>
        </w:rPr>
        <w:t xml:space="preserve">[46] US: Country Regulation Overview – 2026 - Omdia - Informa https://omdia.tech.informa.com/om144041/us-country-regulation-overview--2026-summary</w:t>
      </w:r>
    </w:p>
    <w:p>
      <w:pPr>
        <w:spacing w:line="288" w:lineRule="auto"/>
        <w:ind w:firstLine="480" w:firstLineChars="200"/>
        <w:jc w:val="both"/>
      </w:pPr>
      <w:r>
        <w:rPr>
          <w:rFonts w:hint="eastAsia" w:ascii="微软雅黑" w:hAnsi="微软雅黑" w:eastAsia="微软雅黑"/>
          <w:noProof/>
          <w:sz w:val="24"/>
        </w:rPr>
        <w:t xml:space="preserve">[47] New federal regulations impact home internet upgrades - Facebook https://www.facebook.com/fox26houston/posts/new-federal-regulations-could-soon-make-it-more-difficult-for-americans-to-upgra/1410640047770455/</w:t>
      </w:r>
    </w:p>
    <w:p>
      <w:pPr>
        <w:spacing w:line="288" w:lineRule="auto"/>
        <w:ind w:firstLine="480" w:firstLineChars="200"/>
        <w:jc w:val="both"/>
      </w:pPr>
      <w:r>
        <w:rPr>
          <w:rFonts w:hint="eastAsia" w:ascii="微软雅黑" w:hAnsi="微软雅黑" w:eastAsia="微软雅黑"/>
          <w:noProof/>
          <w:sz w:val="24"/>
        </w:rPr>
        <w:t xml:space="preserve">[48] 01 10 Telecom Regulatory Trends in the Last Year - ICLG https://iclg.com/practice-areas/telecoms-media-and-internet-laws-and-regulations/01-10-telecom-regulatory-trends-in-the-last-year/</w:t>
      </w:r>
    </w:p>
    <w:p>
      <w:pPr>
        <w:spacing w:line="288" w:lineRule="auto"/>
        <w:ind w:firstLine="480" w:firstLineChars="200"/>
        <w:jc w:val="both"/>
      </w:pPr>
      <w:r>
        <w:rPr>
          <w:rFonts w:hint="eastAsia" w:ascii="微软雅黑" w:hAnsi="微软雅黑" w:eastAsia="微软雅黑"/>
          <w:noProof/>
          <w:sz w:val="24"/>
        </w:rPr>
        <w:t xml:space="preserve">[49] Net neutrality 2.0: Perspectives on FCC regulation of internet service ... https://www.brookings.edu/articles/net-neutrality-2-0-perspectives-on-fcc-regulation-of-internet-service-providers/</w:t>
      </w:r>
    </w:p>
    <w:p>
      <w:pPr>
        <w:spacing w:line="288" w:lineRule="auto"/>
        <w:ind w:firstLine="480" w:firstLineChars="200"/>
        <w:jc w:val="both"/>
      </w:pPr>
      <w:r>
        <w:rPr>
          <w:rFonts w:hint="eastAsia" w:ascii="微软雅黑" w:hAnsi="微软雅黑" w:eastAsia="微软雅黑"/>
          <w:noProof/>
          <w:sz w:val="24"/>
        </w:rPr>
        <w:t xml:space="preserve">[50] AI Act | Shaping Europe's digital future - European Union https://digital-strategy.ec.europa.eu/en/policies/regulatory-framework-ai</w:t>
      </w:r>
    </w:p>
    <w:p>
      <w:pPr>
        <w:spacing w:line="288" w:lineRule="auto"/>
        <w:ind w:firstLine="480" w:firstLineChars="200"/>
        <w:jc w:val="both"/>
      </w:pPr>
      <w:r>
        <w:rPr>
          <w:rFonts w:hint="eastAsia" w:ascii="微软雅黑" w:hAnsi="微软雅黑" w:eastAsia="微软雅黑"/>
          <w:noProof/>
          <w:sz w:val="24"/>
        </w:rPr>
        <w:t xml:space="preserve">[52] South Africa Eases Affirmative Action Regulations on Starlink that ... https://broadbandbreakfast.com/south-africa-eases-affirmative-action-regulations-on-starlink-that-musk-said-were-racist/</w:t>
      </w:r>
    </w:p>
    <w:p>
      <w:pPr>
        <w:spacing w:line="288" w:lineRule="auto"/>
        <w:ind w:firstLine="480" w:firstLineChars="200"/>
        <w:jc w:val="both"/>
      </w:pPr>
      <w:r>
        <w:rPr>
          <w:rFonts w:hint="eastAsia" w:ascii="微软雅黑" w:hAnsi="微软雅黑" w:eastAsia="微软雅黑"/>
          <w:noProof/>
          <w:sz w:val="24"/>
        </w:rPr>
        <w:t xml:space="preserve">[54] The new rules take effect only in January 2027 and not 2026 ... https://www.instagram.com/reel/DUFtpOegj1i/</w:t>
      </w:r>
    </w:p>
    <w:p>
      <w:pPr>
        <w:spacing w:line="288" w:lineRule="auto"/>
        <w:ind w:firstLine="480" w:firstLineChars="200"/>
        <w:jc w:val="both"/>
      </w:pPr>
      <w:r>
        <w:rPr>
          <w:rFonts w:hint="eastAsia" w:ascii="微软雅黑" w:hAnsi="微软雅黑" w:eastAsia="微软雅黑"/>
          <w:noProof/>
          <w:sz w:val="24"/>
        </w:rPr>
        <w:t xml:space="preserve">[55] FAQs for the Required Online Traveller Declarations from 1 July 2026 https://www.sars.gov.za/travellerdeclaration/faqs-for-the-required-online-traveller-declarations-from-1-july-2026/</w:t>
      </w:r>
    </w:p>
    <w:p>
      <w:pPr>
        <w:spacing w:line="288" w:lineRule="auto"/>
        <w:ind w:firstLine="480" w:firstLineChars="200"/>
        <w:jc w:val="both"/>
      </w:pPr>
      <w:r>
        <w:rPr>
          <w:rFonts w:hint="eastAsia" w:ascii="微软雅黑" w:hAnsi="微软雅黑" w:eastAsia="微软雅黑"/>
          <w:noProof/>
          <w:sz w:val="24"/>
        </w:rPr>
        <w:t xml:space="preserve">[57] While 82.1% of South Africans have access to the internet in some ... https://www.instagram.com/p/DX8u2hVotUC/</w:t>
      </w:r>
    </w:p>
    <w:p>
      <w:pPr>
        <w:spacing w:line="288" w:lineRule="auto"/>
        <w:ind w:firstLine="480" w:firstLineChars="200"/>
        <w:jc w:val="both"/>
      </w:pPr>
      <w:r>
        <w:rPr>
          <w:rFonts w:hint="eastAsia" w:ascii="微软雅黑" w:hAnsi="微软雅黑" w:eastAsia="微软雅黑"/>
          <w:noProof/>
          <w:sz w:val="24"/>
        </w:rPr>
        <w:t xml:space="preserve">[60] Internet Service Providers (ISP) Market|Growth Trends &amp; Forecast https://www.businessresearchinsights.com/market-reports/internet-service-providers-isp-market-117700</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Coverage+in+Underserved+Provinces+(%)</c:v>
                </c:pt>
              </c:strCache>
            </c:strRef>
          </c:tx>
          <c:spPr>
            <a:ln>
              <a:solidFill>
                <a:srgbClr val="FF7733"/>
              </a:solidFill>
            </a:ln>
          </c:spPr>
          <c:marker>
            <c:symbol val="circle"/>
            <c:size val="4"/>
            <c:spPr>
              <a:noFill/>
              <a:ln>
                <a:solidFill>
                  <a:srgbClr val="FF7733"/>
                </a:solidFill>
              </a:ln>
            </c:spPr>
          </c:marker>
          <c:cat>
            <c:strRef>
              <c:f>Sheet1!$A$2:$A$5</c:f>
              <c:strCache>
                <c:ptCount val="4"/>
                <c:pt idx="0">
                  <c:v>2020</c:v>
                </c:pt>
                <c:pt idx="1">
                  <c:v>2021</c:v>
                </c:pt>
                <c:pt idx="2">
                  <c:v>2022</c:v>
                </c:pt>
                <c:pt idx="3">
                  <c:v>2023</c:v>
                </c:pt>
              </c:strCache>
            </c:strRef>
          </c:cat>
          <c:val>
            <c:numRef>
              <c:f>Sheet1!$B$2:$B$5</c:f>
              <c:numCache>
                <c:ptCount val="4"/>
                <c:pt idx="0">
                  <c:v>15</c:v>
                </c:pt>
                <c:pt idx="1">
                  <c:v>25</c:v>
                </c:pt>
                <c:pt idx="2">
                  <c:v>38</c:v>
                </c:pt>
                <c:pt idx="3">
                  <c:v>55</c:v>
                </c:pt>
              </c:numCache>
            </c:numRef>
          </c:val>
          <c:smooth val="false"/>
        </c:ser>
        <c:smooth val="false"/>
        <c:axId val="5925926"/>
        <c:axId val="4975494"/>
      </c:lineChart>
      <c:catAx>
        <c:axId val="592592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4975494"/>
        <c:crosses val="autoZero"/>
      </c:catAx>
      <c:valAx>
        <c:axId val="497549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592592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