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"Comprehensive Tender Monitoring System for South African Industrial Sectors," provides an in-depth analysis of the key national and sector-specific procurement platforms operating in South Africa, emphasizing their critical role in fostering transparency, accessibility, and efficiency within the country’s industrial landscape. It begins with an examination of national tender portals, highlighting the National Treasury eTenders Platform as a centralized hub for tender opportunities across multiple sectors. This platform is lauded for its user-friendly design and its contribution to ensuring equitable access to public procurement. Complementing this is a detailed exploration of sector-focused portals, such as the CIDB Tender Portal for construction and infrastructure projects, which integrates contractor grading systems and compliance mechanisms to promote fairness in the industry. The Eskom Supplier Portal is analyzed for its alignment with South Africa’s renewable energy goals, focusing on supplier registration and energy-sector procurement trends. Similarly, the Transnet Supplier Portal is examined for its role in logistics and transport tenders, particularly in rail, port, and freight sectors, while the DMRE procurement notices underscore opportunities in mining and energy with an emphasis on sustainability.</w:t>
      </w:r>
    </w:p>
    <w:p>
      <w:pPr>
        <w:spacing w:line="288" w:lineRule="auto"/>
        <w:ind w:firstLine="480" w:firstLineChars="200"/>
        <w:jc w:val="both"/>
      </w:pPr>
      <w:r>
        <w:rPr>
          <w:rFonts w:hint="eastAsia" w:ascii="微软雅黑" w:hAnsi="微软雅黑" w:eastAsia="微软雅黑"/>
          <w:noProof/>
          <w:sz w:val="24"/>
        </w:rPr>
        <w:t xml:space="preserve">Further, the report explores Armscor’s tender system, showcasing its significance in defense and security services procurement, and surveys other major national tender portals that facilitate cross-sector opportunities, thereby supporting broader industrial development. These discussions are enriched by data-driven insights, such as distributions of tenders by sector and trends in renewable energy and security services procurement, which underscore the platforms’ strategic importance.</w:t>
      </w:r>
    </w:p>
    <w:p>
      <w:pPr>
        <w:spacing w:line="288" w:lineRule="auto"/>
        <w:ind w:firstLine="480" w:firstLineChars="200"/>
        <w:jc w:val="both"/>
      </w:pPr>
      <w:r>
        <w:rPr>
          <w:rFonts w:hint="eastAsia" w:ascii="微软雅黑" w:hAnsi="微软雅黑" w:eastAsia="微软雅黑"/>
          <w:noProof/>
          <w:sz w:val="24"/>
        </w:rPr>
        <w:t xml:space="preserve">The latter part of the report shifts focus to sector-specific procurement opportunities, particularly within the mining, energy, and natural resource industries. Mining house supplier portals are highlighted for streamlining registration processes and expanding opportunities for service providers, while the Veralogix Group’s services are discussed in the context of commodities procurement and strategic alignment with industrial needs. Additionally, the integration of tender systems to support energy and natural resource sectors is analyzed, underscoring their alignment with sustainability objectives and long-term growth strategies.</w:t>
      </w:r>
    </w:p>
    <w:p>
      <w:pPr>
        <w:spacing w:line="288" w:lineRule="auto"/>
        <w:ind w:firstLine="480" w:firstLineChars="200"/>
        <w:jc w:val="both"/>
      </w:pPr>
      <w:r>
        <w:rPr>
          <w:rFonts w:hint="eastAsia" w:ascii="微软雅黑" w:hAnsi="微软雅黑" w:eastAsia="微软雅黑"/>
          <w:noProof/>
          <w:sz w:val="24"/>
        </w:rPr>
        <w:t xml:space="preserve">Overall, the report underscores the interconnectedness of national and sector-specific procurement systems in driving economic growth, fostering inclusivity, and supporting South Africa’s strategic priorities across its industrial sectors. Through detailed analyses and thematic insights, it provides a comprehensive overview of the mechanisms and trends shaping the country’s tender landscape from 2020 to 2024.</w:t>
      </w:r>
    </w:p>
    <w:p>
      <w:pPr>
        <w:pStyle w:val="Heading1"/>
        <w:spacing w:line="288" w:lineRule="auto"/>
        <w:ind/>
      </w:pPr>
      <w:r>
        <w:rPr>
          <w:rFonts w:hint="eastAsia" w:ascii="微软雅黑" w:hAnsi="微软雅黑" w:eastAsia="微软雅黑"/>
          <w:b/>
          <w:noProof/>
          <w:sz w:val="40"/>
        </w:rPr>
        <w:t xml:space="preserve">National Tender Portals</w:t>
      </w:r>
    </w:p>
    <w:p>
      <w:pPr>
        <w:pStyle w:val="Heading2"/>
        <w:spacing w:line="288" w:lineRule="auto"/>
        <w:ind/>
      </w:pPr>
      <w:r>
        <w:rPr>
          <w:rFonts w:hint="eastAsia" w:ascii="微软雅黑" w:hAnsi="微软雅黑" w:eastAsia="微软雅黑"/>
          <w:b/>
          <w:noProof/>
          <w:sz w:val="36"/>
        </w:rPr>
        <w:t xml:space="preserve">Overview of National Treasury eTenders Platform</w:t>
      </w:r>
    </w:p>
    <w:p>
      <w:pPr>
        <w:spacing w:line="288" w:lineRule="auto"/>
        <w:ind w:firstLine="480" w:firstLineChars="200"/>
        <w:jc w:val="both"/>
      </w:pPr>
      <w:r>
        <w:rPr>
          <w:rFonts w:hint="eastAsia" w:ascii="微软雅黑" w:hAnsi="微软雅黑" w:eastAsia="微软雅黑"/>
          <w:noProof/>
          <w:sz w:val="24"/>
        </w:rPr>
        <w:t xml:space="preserve">The National Treasury eTenders Platform operates as a foundational component of South Africa's public procurement infrastructure, functioning as a centralized online system designed to facilitate the electronic submission and comprehensive management of tender applications. As of June 2026, the platform is actively utilized across various government departments and industrial sectors, primarily aimed at enhancing transparency, efficiency, and accessibility in the public bidding process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By consolidating procurement opportunities into a single digital repository, the platform serves as a critical conduit for information dissemination, allowing prospective service providers to access, review, and respond to government solicitations with greater ease. This centralization is a pivotal step in modernizing the state's procurement mechanisms, ensuring that all bid submissions, such as BID NO: EO/017/06/2026, are processed electronically to maintain a clear and auditable digital trail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transition towards a fully digital procurement ecosystem underscores the government's commitment to streamlining administrative procedures and fostering a more equitable environment for all market participants.</w:t>
      </w:r>
    </w:p>
    <w:p>
      <w:pPr>
        <w:spacing w:line="288" w:lineRule="auto"/>
        <w:ind w:firstLine="480" w:firstLineChars="200"/>
        <w:jc w:val="both"/>
      </w:pPr>
      <w:r>
        <w:rPr>
          <w:rFonts w:hint="eastAsia" w:ascii="微软雅黑" w:hAnsi="微软雅黑" w:eastAsia="微软雅黑"/>
          <w:noProof/>
          <w:sz w:val="24"/>
        </w:rPr>
        <w:t xml:space="preserve">The operationalization of the eTenders platform is deeply intertwined with the evolving regulatory frameworks governing public procurement in South Africa. The landscape in 2026 is heavily influenced by ongoing reform efforts designed to address historical and systemic challenges, including corruption, administrative inefficiency, and a pervasive lack of transparency . A significant milestone in this regulatory evolution is the publication of the draft regulations under the Public Procurement Act 2024, which were released by the National Treasury on April 16, 2026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These draft regulations, which remain open for public commentary until July 15, 2026, signal a robust governmental intent to modernize procurement policies and align them with international best practices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The implementation of these reforms is expected to profoundly impact the utilization and governance of the eTenders platform, as the system must adapt to enforce new compliance standards and reporting requirements. However, while these reforms are commendable, they are currently in the consultation phase, and their tangible outcomes regarding platform operations require ongoing evaluation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An analysis of the distribution of tenders by sector on the National Treasury eTenders Platform reveals significant concentrations of public expenditure, reflecting the state's strategic developmental priorities. Current data indicates that the Construction and Infrastructure sector commands the highest proportion of tender opportunities, accounting for 35.0% of the platform's total listings. This substantial allocation aligns with historical trends where infrastructure development has remained central to South Africa's macroeconomic growth strategies. Conversely, the Education sector represents the lowest proportion of tenders on the platform, standing at 10.0%. The heavy emphasis on infrastructure is particularly noteworthy given that total public procurement spending in South Africa was projected to reach approximately ZAR 1 trillion in 2026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massive volume of capital highlights the critical role of the eTenders platform in managing high-value contracts. However, industry experts have raised concerns that the newly proposed regulatory reforms, while necessary for combating corruption, may inadvertently introduce administrative complexities and delays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Such delays could be particularly detrimental to large-scale infrastructure projects, where swift execution and operational efficiency are paramount to achieving desired economic outcomes .</w:t>
      </w:r>
    </w:p>
    <w:p>
      <w:pPr>
        <w:spacing w:line="288" w:lineRule="auto"/>
        <w:ind w:firstLine="480" w:firstLineChars="200"/>
        <w:jc w:val="both"/>
      </w:pPr>
      <w:r>
        <w:rPr>
          <w:rFonts w:hint="eastAsia" w:ascii="微软雅黑" w:hAnsi="微软雅黑" w:eastAsia="微软雅黑"/>
          <w:noProof/>
          <w:sz w:val="24"/>
        </w:rPr>
        <w:t xml:space="preserve">Despite the clear operational status of the National Treasury eTenders Platform, there remains a notable absence of detailed technical documentation regarding its underlying capabilities. While the platform successfully facilitates logistical engagements—such as virtual briefing sessions conducted via Microsoft Teams on June 19, 2026—comprehensive insights into the system's user interface design, cybersecurity protocols, and automated processing features are largely unaddressed in current public literature . Most available resources predominantly focus on the specific outputs of the tendering mechanism, such as active solicitations for the management of government facilities, rather than delineating the technological architecture of the portal itself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Earlier documentation confirming the existence of related administrative procedures provides no pertinent information regarding the software features or technological advancements of the current eTenders system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Consequently, while the platform is universally recognized as a key instrument for tender submissions, the lack of explicit technical details limits a deeper understanding of its operational resilience and user experience. To fully evaluate the platform's technological efficacy, it is necessary to consult proprietary or highly specialized official resources that directly address its software capabilities and security infrastructure as of mid-2026.</w:t>
      </w:r>
    </w:p>
    <w:p>
      <w:pPr>
        <w:spacing w:line="288" w:lineRule="auto"/>
        <w:ind w:firstLine="480" w:firstLineChars="200"/>
        <w:jc w:val="both"/>
      </w:pPr>
      <w:r>
        <w:rPr>
          <w:rFonts w:hint="eastAsia" w:ascii="微软雅黑" w:hAnsi="微软雅黑" w:eastAsia="微软雅黑"/>
          <w:noProof/>
          <w:sz w:val="24"/>
        </w:rPr>
        <w:t xml:space="preserve">The broader socio-economic implications of the eTenders platform are intrinsically linked to the government's mandate to foster fair competition and inclusive growth. Longstanding issues such as anti-competitive behavior and corruption continue to pose significant barriers to equitable procurement practices, as frequently highlighted in South Africa’s engagements with international organizations like the OECD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 primary objective of the centralized digital platform, alongside the forthcoming regulatory reforms, is to dismantle these barriers and create a level playing field. Improving fair competition is deemed critical to ensuring that small- to medium-sized enterprises (SMEs) can actively participate in government tenders without being systematically overshadowed by larger, more entrenched corporate entities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By providing a transparent, universally accessible digital interface, the eTenders platform theoretically lowers the barriers to entry for SMEs, enabling them to discover and bid on relevant opportunities across all sectors. </w:t>
      </w:r>
    </w:p>
    <w:p>
      <w:pPr>
        <w:spacing w:line="288" w:lineRule="auto"/>
        <w:ind w:firstLine="480" w:firstLineChars="200"/>
        <w:jc w:val="both"/>
      </w:pPr>
      <w:r>
        <w:rPr>
          <w:rFonts w:hint="eastAsia" w:ascii="微软雅黑" w:hAnsi="微软雅黑" w:eastAsia="微软雅黑"/>
          <w:noProof/>
          <w:sz w:val="24"/>
        </w:rPr>
        <w:t xml:space="preserve">Nevertheless, the dynamics surrounding these procurement reforms reflect complex debates within the legal and economic communities regarding how best to achieve sustainable growth through state purchasing mechanisms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Experts emphasize that aligning South Africa's public procurement laws with global standards requires meticulous execution to balance the dual imperatives of stringent accountability and operational efficiency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Overly burdensome compliance checks, while effective at deterring malfeasance, risk discouraging private sector participation and stifling the agility required for rapid service delivery . As the regulatory environment remains in a state of transition pending the finalization of the Public Procurement Act 2024 regulations, the true efficacy of the National Treasury eTenders Platform in mitigating systemic procurement challenges remains to be fully realized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The platform stands as a vital technological asset in South Africa's governance framework, yet its ultimate success will depend heavily on the practical enactment of the new policies and continuous technological enhancements to meet the rigorous demands of a ZAR 1 trillion procurement economy.</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Key Features of CIDB Tender Portal for Construction and Infrastructure</w:t>
      </w:r>
    </w:p>
    <w:p>
      <w:pPr>
        <w:spacing w:line="288" w:lineRule="auto"/>
        <w:ind w:firstLine="480" w:firstLineChars="200"/>
        <w:jc w:val="both"/>
      </w:pPr>
      <w:r>
        <w:rPr>
          <w:rFonts w:hint="eastAsia" w:ascii="微软雅黑" w:hAnsi="微软雅黑" w:eastAsia="微软雅黑"/>
          <w:noProof/>
          <w:sz w:val="24"/>
        </w:rPr>
        <w:t xml:space="preserve">The Construction Industry Development Board (CIDB) tender portal serves as a central and indispensable resource for accessing active construction project opportunities within South Africa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Operating as a specialized digital infrastructure, the official portal, accessible via registers.cidb.org.za, is meticulously tailored to meet the complex needs of construction and infrastructure professionals by providing a centralized, highly regulated repository of project listings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The platform is fundamentally designed to promote fair opportunities, enforce compliance, and maintain transparency within the sector, ensuring that all registered organizations have equitable access to both public and private sector projects. The designated "Current Tenders" page operates as a primary access point for these construction opportunities; however, the dynamic nature of procurement necessitates real-time consultation by users to verify the availability and precise status of ongoing projects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Because tender environments are subject to rapid changes and strict deadlines, relying on static data is insufficient for competitive market participation.</w:t>
      </w:r>
    </w:p>
    <w:p>
      <w:pPr>
        <w:spacing w:line="288" w:lineRule="auto"/>
        <w:ind w:firstLine="480" w:firstLineChars="200"/>
        <w:jc w:val="both"/>
      </w:pPr>
      <w:r>
        <w:rPr>
          <w:rFonts w:hint="eastAsia" w:ascii="微软雅黑" w:hAnsi="微软雅黑" w:eastAsia="微软雅黑"/>
          <w:noProof/>
          <w:sz w:val="24"/>
        </w:rPr>
        <w:t xml:space="preserve">The inherently time-sensitive nature of construction tenders requires continuous monitoring of live portals to secure accurate and actionable insights </w:t>
      </w:r>
      <w:r>
        <w:rPr>
          <w:rFonts w:hint="eastAsia" w:ascii="微软雅黑" w:hAnsi="微软雅黑" w:eastAsia="微软雅黑"/>
          <w:noProof/>
          <w:sz w:val="24"/>
          <w:vertAlign w:val="superscript"/>
        </w:rPr>
        <w:t>[10]</w:t>
      </w:r>
      <w:r>
        <w:rPr>
          <w:rFonts w:hint="eastAsia" w:ascii="微软雅黑" w:hAnsi="微软雅黑" w:eastAsia="微软雅黑"/>
          <w:noProof/>
          <w:sz w:val="24"/>
        </w:rPr>
        <w:t xml:space="preserve">. As of June 2026, industry activity remains notably vibrant across various provincial sectors. For instance, the Western Cape construction sector alone recorded over 180 active tenders and 109 registered organizations, reflecting a highly competitive and active regional landscape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Third-party monitoring platforms, such as Tenderflow, frequently aggregate these opportunities to streamline access for contractors. Recently, such platforms listed six specific CIDB open tenders, including the notable CIDB 004/2627, with daily updates provided specifically to assist construction professionals in identifying the latest opportunities . Furthermore, the official CIDB portal facilitates access to critical, high-value infrastructure projects, such as tender TNPA/2026/05/0964/5417/RFQ. This specific request for quotations catered to projects exceeding 100 million ZAR, featuring a rigid documentation and bidding window from 9 June 2026 to 25 June 2026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Such highly specific and narrow timelines highlight that older listings, such as previous tenders closing in May 2025, rapidly become outdated and irrelevant, underscoring the absolute necessity for up-to-date access and constant vigilance </w:t>
      </w:r>
      <w:r>
        <w:rPr>
          <w:rFonts w:hint="eastAsia" w:ascii="微软雅黑" w:hAnsi="微软雅黑" w:eastAsia="微软雅黑"/>
          <w:noProof/>
          <w:sz w:val="24"/>
          <w:vertAlign w:val="superscript"/>
        </w:rPr>
        <w:t>[14]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 defining and specialized feature of the CIDB tender portal is its deep integration with the national contractor grading system, which remains integral to regulating the construction industry and ensuring appropriate, risk-mitigated contractor assessment . The CIDB grading system categorizes contractors based on a rigorous, multifaceted evaluation of their financial capacity and demonstrable project track record . This structured framework is intended to ensure that contractors possess the necessary capital, resources, and historical experience to successfully complete the specific projects for which they submit bids . Consequently, a contractor's assigned grade directly influences the types, scales, and financial values of the tenders they are legally eligible to pursue, serving as a critical determinant of their business opportunities and growth trajectory within the competitive South African market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The grading mechanism effectively acts as a pre-qualification filter embedded directly into the portal's architecture, streamlining the procurement process for clients while protecting the public sector from non-delivery risks associated with under-resourced contractors.</w:t>
      </w:r>
    </w:p>
    <w:p>
      <w:pPr>
        <w:spacing w:line="288" w:lineRule="auto"/>
        <w:ind w:firstLine="480" w:firstLineChars="200"/>
        <w:jc w:val="both"/>
      </w:pPr>
      <w:r>
        <w:rPr>
          <w:rFonts w:hint="eastAsia" w:ascii="微软雅黑" w:hAnsi="微软雅黑" w:eastAsia="微软雅黑"/>
          <w:noProof/>
          <w:sz w:val="24"/>
        </w:rPr>
        <w:t xml:space="preserve">The distribution of available tenders across the various CIDB grading levels reveals significant structural trends within the national procurement landscape. An analysis of the number of construction tenders by contractor grading demonstrates an overall decreasing trend as the grading level increases. At the entry level, there is a maximum value of 1500.0 tenders available for Grade 1 contractors. This high volume of lower-tier tenders indicates a systemic effort to provide smaller-scale projects designed to stimulate grassroots participation, encourage local economic development, and support emerging micro-enterprises. Conversely, the availability of projects sharply decreases for higher-tier contractors, reaching a minimum value of 50.0 tenders in Grades 8-9. This distribution accurately reflects the traditional pyramid structure of infrastructure procurement, where numerous smaller maintenance and foundational contracts feed into a highly limited number of massive, high-value mega-projects that only the most financially robust, highly graded, and experienced engineering firms have the capacity to execute. </w:t>
      </w:r>
    </w:p>
    <w:p>
      <w:pPr>
        <w:spacing w:line="288" w:lineRule="auto"/>
        <w:ind w:firstLine="480" w:firstLineChars="200"/>
        <w:jc w:val="both"/>
      </w:pPr>
      <w:r>
        <w:rPr>
          <w:rFonts w:hint="eastAsia" w:ascii="微软雅黑" w:hAnsi="微软雅黑" w:eastAsia="微软雅黑"/>
          <w:noProof/>
          <w:sz w:val="24"/>
        </w:rPr>
        <w:t xml:space="preserve">Compliance with the CIDB's rigorous documentation requirements is mandatory for organizations seeking to maintain or upgrade their grading status within this ecosystem. While the overarching principles of the grading system remain consistent, the specific thresholds for financial capacity and the exact criteria for measuring project experience are subject to continuous evolution, making it essential for contractors to consult the latest CIDB policies for precise and up-to-date regulations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To actively support contractors in navigating these complex compliance requirements, the CIDB regularly hosts developmental initiatives, such as the Contractor Development Roadshows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These structured events are explicitly designed to assist emerging contractors by offering strategic guidance on improving their grading, meeting stringent CIDB documentation requirements, and overcoming common systemic barriers such as limited historical experience or insufficient financial backing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Through these targeted outreach efforts, the CIDB actively adapts its policies and provides practical tools to foster greater industry participation, particularly aiming to uplift smaller enterprises that are struggling to advance through the higher grading tiers </w:t>
      </w:r>
      <w:r>
        <w:rPr>
          <w:rFonts w:hint="eastAsia" w:ascii="微软雅黑" w:hAnsi="微软雅黑" w:eastAsia="微软雅黑"/>
          <w:noProof/>
          <w:sz w:val="24"/>
          <w:vertAlign w:val="superscript"/>
        </w:rPr>
        <w:t>[14]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Ultimately, the contractor grading system and its seamless integration into the national tender portal continue to function as the cornerstone of South Africa’s construction industry . By consistently emphasizing financial capability and professional experience, the CIDB framework ensures a robust standard of quality, equity, and reliability in national infrastructure development . However, the continuous evolution of compliance criteria, coupled with the rapid turnover of project deadlines, mandates that contractors remain fully informed about the latest requirements and broader industry developments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Maintaining up-to-date access through the official CIDB site, alongside leveraging supplementary monitoring tools, is therefore essential for industry professionals seeking sustained involvement and competitive success in ongoing and imminent construction projects </w:t>
      </w:r>
      <w:r>
        <w:rPr>
          <w:rFonts w:hint="eastAsia" w:ascii="微软雅黑" w:hAnsi="微软雅黑" w:eastAsia="微软雅黑"/>
          <w:noProof/>
          <w:sz w:val="24"/>
          <w:vertAlign w:val="superscript"/>
        </w:rPr>
        <w:t>[10]</w:t>
      </w:r>
      <w:r>
        <w:rPr>
          <w:rFonts w:hint="eastAsia" w:ascii="微软雅黑" w:hAnsi="微软雅黑" w:eastAsia="微软雅黑"/>
          <w:noProof/>
          <w:sz w:val="24"/>
        </w:rPr>
        <w: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2"/>
        <w:spacing w:line="288" w:lineRule="auto"/>
        <w:ind/>
      </w:pPr>
      <w:r>
        <w:rPr>
          <w:rFonts w:hint="eastAsia" w:ascii="微软雅黑" w:hAnsi="微软雅黑" w:eastAsia="微软雅黑"/>
          <w:b/>
          <w:noProof/>
          <w:sz w:val="36"/>
        </w:rPr>
        <w:t xml:space="preserve">Eskom Supplier Portal and Energy Sector Opportunities</w:t>
      </w:r>
    </w:p>
    <w:p>
      <w:pPr>
        <w:spacing w:line="288" w:lineRule="auto"/>
        <w:ind w:firstLine="480" w:firstLineChars="200"/>
        <w:jc w:val="both"/>
      </w:pPr>
      <w:r>
        <w:rPr>
          <w:rFonts w:hint="eastAsia" w:ascii="微软雅黑" w:hAnsi="微软雅黑" w:eastAsia="微软雅黑"/>
          <w:noProof/>
          <w:sz w:val="24"/>
        </w:rPr>
        <w:t xml:space="preserve">The Eskom Supplier Portal serves as a critical digital infrastructure component within South Africa's broader industrial and energy procurement landscape, acting as a primary gateway for vendors seeking to participate in national energy projects. As of June 2026, the portal's operational focus is increasingly defined by its alignment with the country's strategic shift toward sustainable and renewable energy sources. A comprehensive analysis of the portal reveals three primary structural pillars: procurement opportunities, supplier onboarding, and strategic alignment with national objectives. These pillars collectively facilitate the complex tendering processes required to maintain and modernize South Africa's energy grid, despite certain limitations in public transparency regarding the portal's technical functionalities.</w:t>
      </w:r>
    </w:p>
    <w:p>
      <w:pPr>
        <w:spacing w:line="288" w:lineRule="auto"/>
        <w:ind w:firstLine="480" w:firstLineChars="200"/>
        <w:jc w:val="both"/>
      </w:pPr>
      <w:r>
        <w:rPr>
          <w:rFonts w:hint="eastAsia" w:ascii="微软雅黑" w:hAnsi="微软雅黑" w:eastAsia="微软雅黑"/>
          <w:noProof/>
          <w:sz w:val="24"/>
        </w:rPr>
        <w:t xml:space="preserve">Supplier onboarding represents a foundational element of the Eskom procurement ecosystem, characterized by outlined supplier registration processes specifically designed to facilitate energy sector procurement. Engagement with Eskom requires strict adherence to national compliance standards. Notably, registration on South Africa’s Central Supplier Database (CSD) is a mandatory prerequisite for any enterprise wishing to participate in Eskom’s tendering processes</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The CSD functions as the master repository for government vendor information, ensuring that all prospective suppliers meet the necessary legal, financial, and tax compliance criteria before they can interact with specific state-owned entities. Beyond the centralized national database, Eskom undertakes localized initiatives to integrate diverse enterprises into its supply chain. For example, community outreach efforts in regions such as KwaZulu-Natal emphasize the importance of guiding both formal and informal enterprises through the official registration processes, thereby democratizing access to tender opportunities and fostering regional economic inclusion</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These onboarding mechanisms are essential for building a resilient and diverse supplier base capable of meeting the varied demands of the energy sector.</w:t>
      </w:r>
    </w:p>
    <w:p>
      <w:pPr>
        <w:spacing w:line="288" w:lineRule="auto"/>
        <w:ind w:firstLine="480" w:firstLineChars="200"/>
        <w:jc w:val="both"/>
      </w:pPr>
      <w:r>
        <w:rPr>
          <w:rFonts w:hint="eastAsia" w:ascii="微软雅黑" w:hAnsi="微软雅黑" w:eastAsia="微软雅黑"/>
          <w:noProof/>
          <w:sz w:val="24"/>
        </w:rPr>
        <w:t xml:space="preserve">The procurement opportunities presented through Eskom's channels demonstrate a pronounced emphasis on renewable energy projects, reflecting a significant transformation in supplier opportunities within the energy sector. South Africa continues to actively pursue renewable energy infrastructure development through various tenders, with a strategic emphasis on solar, wind, and other clean power sources. Recent tender activities highlight the scale and diversity of this strategic pivot. For instance, Eskom issued a tender in 2026 for a 17MW renewable energy project, alongside related localized opportunities such as the deployment of solar-powered irrigation systems in the Eastern Cape. Additionally, specific procurement requests, such as "Rfp 063/2026," focus on the construction of solar-powered boreholes, illustrating the critical integration of clean energy solutions into essential rural services and water provision infrastructure. The procurement landscape also encompasses broader categories of renewable energy tenders that include solar, wind, and emerging alternative energy vectors such as hydrogen and liquefied petroleum gas (LPG)</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Specific listings, such as the "Service Provider for Solar Pv Systems" which closed on June 10, 2026, underscore the high volume and immediate relevance of recent activity in solar energy procurement. These diverse opportunities indicate a robust pipeline for industrial suppliers specializing in green technologies, engineering, and sustainable infrastructure development.</w:t>
      </w:r>
    </w:p>
    <w:p>
      <w:pPr>
        <w:spacing w:line="288" w:lineRule="auto"/>
        <w:ind w:firstLine="480" w:firstLineChars="200"/>
        <w:jc w:val="both"/>
      </w:pPr>
      <w:r>
        <w:rPr>
          <w:rFonts w:hint="eastAsia" w:ascii="微软雅黑" w:hAnsi="微软雅黑" w:eastAsia="微软雅黑"/>
          <w:noProof/>
          <w:sz w:val="24"/>
        </w:rPr>
        <w:t xml:space="preserve">Despite the extensive volume of energy sector opportunities, comprehensive and up-to-date documentation regarding the specific digital functionalities of the Eskom Supplier Portal remains limited as of June 2026. Current assessments indicate a notable gap in publicly available information concerning the portal's internal mechanisms for direct supplier engagement, automated tender submission, integrated communication tools, and secure document access. While Eskom’s procurement strategies are frequently discussed in the context of broader tender processes managed by the procurement department, the detailed operational aspects and user interfaces of the portal itself are rarely elaborated upon in public domains</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Consequently, external directories and repositories, such as TenderBulletins.co.za, frequently serve as the primary public interfaces for tender announcements and information dissemination</w:t>
      </w:r>
      <w:r>
        <w:rPr>
          <w:rFonts w:hint="eastAsia" w:ascii="微软雅黑" w:hAnsi="微软雅黑" w:eastAsia="微软雅黑"/>
          <w:noProof/>
          <w:sz w:val="24"/>
          <w:vertAlign w:val="superscript"/>
        </w:rPr>
        <w:t>[20][24]</w:t>
      </w:r>
      <w:r>
        <w:rPr>
          <w:rFonts w:hint="eastAsia" w:ascii="微软雅黑" w:hAnsi="微软雅黑" w:eastAsia="微软雅黑"/>
          <w:noProof/>
          <w:sz w:val="24"/>
        </w:rPr>
        <w:t xml:space="preserve">. Furthermore, while it is inherently implied that advanced digital tools are utilized to manage the high volume of complex procurement activities, explicit confirmation of recent updates or software enhancements to the portal's internal functionality is scarce</w:t>
      </w:r>
      <w:r>
        <w:rPr>
          <w:rFonts w:hint="eastAsia" w:ascii="微软雅黑" w:hAnsi="微软雅黑" w:eastAsia="微软雅黑"/>
          <w:noProof/>
          <w:sz w:val="24"/>
          <w:vertAlign w:val="superscript"/>
        </w:rPr>
        <w:t>[20][21]</w:t>
      </w:r>
      <w:r>
        <w:rPr>
          <w:rFonts w:hint="eastAsia" w:ascii="微软雅黑" w:hAnsi="微软雅黑" w:eastAsia="微软雅黑"/>
          <w:noProof/>
          <w:sz w:val="24"/>
        </w:rPr>
        <w:t xml:space="preserve">. Therefore, prospective suppliers and comprehensive tender monitoring systems must often rely on a combination of external tender aggregators, industry publications like ESI-Africa, and mandatory CSD compliance frameworks to navigate the procurement landscape effectively and secure actionable intelligence</w:t>
      </w:r>
      <w:r>
        <w:rPr>
          <w:rFonts w:hint="eastAsia" w:ascii="微软雅黑" w:hAnsi="微软雅黑" w:eastAsia="微软雅黑"/>
          <w:noProof/>
          <w:sz w:val="24"/>
          <w:vertAlign w:val="superscript"/>
        </w:rPr>
        <w:t>[22][24]</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activities facilitated by the Eskom Supplier Portal are inextricably linked to the strategic alignment with South Africa's national energy goals. There is a concerted, state-led effort to diversify the country’s energy mix and prioritize projects that support both long-term environmental sustainability and immediate socio-economic development. The active procurement of renewable energy infrastructure, ranging from utility-scale 17MW installations to decentralized localized solar irrigation and borehole projects, reflects a comprehensive approach to achieving national energy security</w:t>
      </w:r>
      <w:r>
        <w:rPr>
          <w:rFonts w:hint="eastAsia" w:ascii="微软雅黑" w:hAnsi="微软雅黑" w:eastAsia="微软雅黑"/>
          <w:noProof/>
          <w:sz w:val="24"/>
          <w:vertAlign w:val="superscript"/>
        </w:rPr>
        <w:t>[21][22]</w:t>
      </w:r>
      <w:r>
        <w:rPr>
          <w:rFonts w:hint="eastAsia" w:ascii="微软雅黑" w:hAnsi="微软雅黑" w:eastAsia="微软雅黑"/>
          <w:noProof/>
          <w:sz w:val="24"/>
        </w:rPr>
        <w:t xml:space="preserve">. By prioritizing these clean power sources, Eskom not only addresses historical generation capacity challenges but also advances the nation's commitments to global climate accords and carbon reduction targets. The supplier portal, therefore, functions not merely as a transactional procurement tool, but as a critical strategic enabler of national industrial policy, channeling private sector innovation, capital, and technical capacity into vital infrastructure development. For industrial enterprises and monitoring systems seeking the most comprehensive and actionable data on these renewable energy tenders, consulting official government agencies and direct Eskom announcements remains essential, ensuring alignment with the latest strategic directives and mitigating the risk of relying on historical or tangential regional listings</w:t>
      </w:r>
      <w:r>
        <w:rPr>
          <w:rFonts w:hint="eastAsia" w:ascii="微软雅黑" w:hAnsi="微软雅黑" w:eastAsia="微软雅黑"/>
          <w:noProof/>
          <w:sz w:val="24"/>
          <w:vertAlign w:val="superscript"/>
        </w:rPr>
        <w:t>[20][23]</w:t>
      </w:r>
      <w:r>
        <w:rPr>
          <w:rFonts w:hint="eastAsia" w:ascii="微软雅黑" w:hAnsi="微软雅黑" w:eastAsia="微软雅黑"/>
          <w:noProof/>
          <w:sz w:val="24"/>
        </w:rPr>
        <w:t xml:space="preserve">. Ultimately, the successful navigation of the Eskom Supplier Portal and its associated compliance frameworks remains a cornerstone for industrial sector growth and the successful realization of South Africa's renewable energy transition.</w:t>
      </w:r>
    </w:p>
    <w:p>
      <w:pPr>
        <w:spacing w:line="360" w:lineRule="auto"/>
        <w:ind/>
      </w:pPr>
      <w:r>
        <w:rPr>
          <w:rFonts w:hint="eastAsia"/>
          <w:b/>
          <w:noProof/>
          <w:sz w:val="22"/>
        </w:rPr>
        <w:t xml:space="preserve">Key Features and Trends of the Eskom Supplier Portal</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Opportunities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Emphasis on renewable energy projects and supplier opportunities in the energy sector</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Supplier Onboarding</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Outlined supplier registration processes to facilitate energy sector procurement</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Strategic Alignment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Alignment with South Africa's national energy goals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Transnet Supplier Portal for Logistics and Transport Tenders</w:t>
      </w:r>
    </w:p>
    <w:p>
      <w:pPr>
        <w:spacing w:line="288" w:lineRule="auto"/>
        <w:ind w:firstLine="480" w:firstLineChars="200"/>
        <w:jc w:val="both"/>
      </w:pPr>
      <w:r>
        <w:rPr>
          <w:rFonts w:hint="eastAsia" w:ascii="微软雅黑" w:hAnsi="微软雅黑" w:eastAsia="微软雅黑"/>
          <w:noProof/>
          <w:sz w:val="24"/>
        </w:rPr>
        <w:t xml:space="preserve">The Transnet Supplier Portal serves as a foundational component within the broader framework of the comprehensive tender monitoring system for South African industrial sectors, specifically catering to the intricate demands of logistics and transport procurement. As a state-owned entity, Transnet plays an instrumental role in facilitating the movement of goods across the nation and the wider Southern African region. Consequently, its procurement activities are vast and highly specialized, necessitating a dedicated portal to manage supplier engagement, ensure regulatory compliance, and streamline the bidding process for numerous high-value contracts. The portal acts as the primary digital interface between Transnet and prospective service providers, centralizing access to lucrative opportunities across multiple transport modalities. Within this digital ecosystem, the procurement activities are highly dynamic, requiring prospective suppliers to maintain rigorous monitoring strategies to capitalize on emerging opportunities before their strict submission deadlines expire. </w:t>
      </w:r>
    </w:p>
    <w:p>
      <w:pPr>
        <w:spacing w:line="288" w:lineRule="auto"/>
        <w:ind w:firstLine="480" w:firstLineChars="200"/>
        <w:jc w:val="both"/>
      </w:pPr>
      <w:r>
        <w:rPr>
          <w:rFonts w:hint="eastAsia" w:ascii="微软雅黑" w:hAnsi="微软雅黑" w:eastAsia="微软雅黑"/>
          <w:noProof/>
          <w:sz w:val="24"/>
        </w:rPr>
        <w:t xml:space="preserve">An analysis of the types of logistics tenders available on the Transnet Supplier Portal reveals a structured categorization designed to address the specific operational requirements of the organization's distinct divisions. The primary categories encompass rail, port, and freight-related opportunities. At the rail level, the key focus areas involve rail-related transport and logistics opportunities, which are critical for maintaining and expanding the nation's extensive railway network. At the port level, the key focus areas center on port-related operations and opportunities, reflecting the critical need for efficient maritime logistics, cargo handling, and terminal management at South Africa's major commercial ports. Finally, at the freight level, the key focus areas are dedicated to general freight-related transport opportunities, which ensure the seamless multimodal transition of goods across the supply chain. These distinct categories highlight the multifaceted nature of Transnet's operational mandate and underscore the necessity for suppliers to align their capabilities with the specific requirements of each division. The scale of these operations is substantial, with Transnet’s procurement activity across its rail, ports, and pipelines divisions valued at over R50 billion .</w:t>
      </w:r>
    </w:p>
    <w:p>
      <w:pPr>
        <w:spacing w:line="288" w:lineRule="auto"/>
        <w:ind w:firstLine="480" w:firstLineChars="200"/>
        <w:jc w:val="both"/>
      </w:pPr>
      <w:r>
        <w:rPr>
          <w:rFonts w:hint="eastAsia" w:ascii="微软雅黑" w:hAnsi="微软雅黑" w:eastAsia="微软雅黑"/>
          <w:noProof/>
          <w:sz w:val="24"/>
        </w:rPr>
        <w:t xml:space="preserve">Successfully navigating the Transnet Supplier Portal requires a comprehensive understanding of supplier engagement procedures and stringent compliance frameworks. Industry analyses emphasizing how to secure supply chain and logistics contracts consistently highlight the critical importance of proper supplier portal registration and adherence to compliance mandates . Prospective suppliers must ensure that their corporate documentation, tax clearance certificates, and Broad-Based Black Economic Empowerment credentials are accurately reflected and regularly updated within the portal. Failure to maintain these compliance metrics often results in immediate disqualification from the bidding process, regardless of the technical or financial merits of a submitted proposal. Furthermore, the portal serves not only as a repository for tender documents but also as a communication channel for briefing sessions, addenda, and clarification queries. Therefore, active and continuous engagement with the portal is a prerequisite for any enterprise seeking to secure contracts within Transnet's multibillion-rand procurement pipeline. </w:t>
      </w:r>
    </w:p>
    <w:p>
      <w:pPr>
        <w:spacing w:line="288" w:lineRule="auto"/>
        <w:ind w:firstLine="480" w:firstLineChars="200"/>
        <w:jc w:val="both"/>
      </w:pPr>
      <w:r>
        <w:rPr>
          <w:rFonts w:hint="eastAsia" w:ascii="微软雅黑" w:hAnsi="微软雅黑" w:eastAsia="微软雅黑"/>
          <w:noProof/>
          <w:sz w:val="24"/>
        </w:rPr>
        <w:t xml:space="preserve">The necessity for real-time monitoring is heavily amplified by the inherently dynamic and time-sensitive nature of transport and logistics tenders. As of mid-2026, investigations into the currency of data across various tender aggregation platforms reveal significant temporal gaps, reinforcing the supremacy of official channels . For instance, while the Transnet e-Tenders website remains the most authoritative and relevant platform for accessing active tender opportunities, historical data indicates that specific logistics tenders frequently expire rapidly, such as a notable tender that closed on May 6, 2026, and thus no longer reflects actionable procurement activities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Relying on secondary aggregation sites can introduce risks related to outdated information. Although platforms like Tenderflow reported 50 active tender opportunities as of June 2026, which likely included logistics contracts, the lack of detailed, real-time updates on such third-party sites necessitates direct consultation of Transnet's official portals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Other sources, such as social media announcements regarding portfolio expansions in logistics and auto parts, are often entirely unrelated to Transnet's official procurement mechanisms and cannot fulfill the strategic needs of suppliers seeking state contracts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Similarly, while general procurement databases reiterate Transnet's prominence in the freight and logistics sector, they often lack the specificity required to identify current, actionable opportunities, leaving their utility questionable for immediate bidding strategies . </w:t>
      </w:r>
    </w:p>
    <w:p>
      <w:pPr>
        <w:spacing w:line="288" w:lineRule="auto"/>
        <w:ind w:firstLine="480" w:firstLineChars="200"/>
        <w:jc w:val="both"/>
      </w:pPr>
      <w:r>
        <w:rPr>
          <w:rFonts w:hint="eastAsia" w:ascii="微软雅黑" w:hAnsi="微软雅黑" w:eastAsia="微软雅黑"/>
          <w:noProof/>
          <w:sz w:val="24"/>
        </w:rPr>
        <w:t xml:space="preserve">Beyond Transnet's proprietary systems, the broader South African transport sector features a complex web of procurement platforms that further illustrate the critical need for continuous monitoring. Various online platforms provide information on tender opportunities within the transport sector, though the recency and relevance of this data are strictly bound by publication dates . For example, platforms historically listing transportation and storage tenders have featured specific opportunities, such as bus transport services closing on June 26, 2026, which immediately become non-actionable upon reaching their strict deadlines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The Development Bank of Southern Africa procurement page also serves as a reliable source for public transport-related tenders, evidenced by requests for proposals concerning technical support on bus devolution projects; however, without continuous verification, the ongoing status of such tenders remains uncertain . The rapid turnover of these opportunities is further evidenced by secondary platforms listing limited open transportation and storage tenders earlier in June 2026, affirming that tender publications change daily and offer only a narrow window for engagement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Additional platforms have provided time-sensitive alerts for the provision of bus transport services closing on June 27, 2026, emphasizing that stakeholders must engage promptly with emerging listings to remain competitive . Aggregator portals that compile live government bids across sectors, including transport, require users to directly interact with search tools to extract current data, as static snapshots quickly lose their operational value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integration of the Transnet Supplier Portal into a comprehensive tender monitoring system demands a sophisticated approach that prioritizes official platforms and real-time data synchronization. The temporal mismatches observed across secondary sources highlight the absolute necessity of relying primarily on official channels for time-sensitive tender details . For the most accurate and up-to-date details on logistics tenders, consulting Transnet’s official e-Tender platform directly is essential, as outdated information cannot reliably inform current procurement activities . To successfully pursue recent transport sector tender opportunities across South Africa, stakeholders must rely on continuous updates and actively engage with fresh listings, recognizing that specific tender information rapidly becomes unactionable beyond its expiration date . By mastering the Transnet Supplier Portal's compliance requirements and aligning organizational capabilities with the core focus areas of rail, port, and freight operations, suppliers can effectively position themselves to participate in one of South Africa's most vital industrial sectors.</w:t>
      </w:r>
    </w:p>
    <w:p>
      <w:pPr>
        <w:spacing w:line="360" w:lineRule="auto"/>
        <w:ind/>
      </w:pPr>
      <w:r>
        <w:rPr>
          <w:rFonts w:hint="eastAsia"/>
          <w:b/>
          <w:noProof/>
          <w:sz w:val="22"/>
        </w:rPr>
        <w:t xml:space="preserve">Types of Logistics Tenders on Transnet Supplier Portal</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Tender Type</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Rail</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Rail-related transport and logistics opportunities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Port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Port-related operations and opportunities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Freight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Freight-related transport opportunities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DMRE (Department of Mineral Resources and Energy) Procurement Notices</w:t>
      </w:r>
    </w:p>
    <w:p>
      <w:pPr>
        <w:spacing w:line="288" w:lineRule="auto"/>
        <w:ind w:firstLine="480" w:firstLineChars="200"/>
        <w:jc w:val="both"/>
      </w:pPr>
      <w:r>
        <w:rPr>
          <w:rFonts w:hint="eastAsia" w:ascii="微软雅黑" w:hAnsi="微软雅黑" w:eastAsia="微软雅黑"/>
          <w:noProof/>
          <w:sz w:val="24"/>
        </w:rPr>
        <w:t xml:space="preserve">The Department of Mineral Resources and Energy (DMRE) plays a foundational role in shaping the economic and infrastructural landscape of South Africa, particularly within the mining and energy sectors. As the primary governmental body responsible for regulating and promoting these critical industries, the DMRE's procurement notices serve as vital indicators of national strategic priorities and investment trajectories. A comprehensive review of the department's tender allocations reveals a distinct tripartite focus: mineral exploration opportunities within the mining and mineral resources sector, energy project tenders within the energy sector, and a cross-sectoral commitment to sustainable development goals. Understanding the dissemination, accessibility, and temporal dynamics of these procurement notices is essential for developing an effective comprehensive tender monitoring system for South African industrial sectors. </w:t>
      </w:r>
    </w:p>
    <w:p>
      <w:pPr>
        <w:spacing w:line="288" w:lineRule="auto"/>
        <w:ind w:firstLine="480" w:firstLineChars="200"/>
        <w:jc w:val="both"/>
      </w:pPr>
      <w:r>
        <w:rPr>
          <w:rFonts w:hint="eastAsia" w:ascii="微软雅黑" w:hAnsi="微软雅黑" w:eastAsia="微软雅黑"/>
          <w:noProof/>
          <w:sz w:val="24"/>
        </w:rPr>
        <w:t xml:space="preserve">In the domain of mining and mineral resources, the primary tender focus has historically centered on mineral exploration opportunities, with a highly relevant timeframe spanning from 2020 to 2024. These procurement initiatives are designed to stimulate growth, optimize resource extraction, and ensure regulatory compliance within the nation's rich mineral landscape. However, monitoring current DMRE procurement notices related to mining projects presents significant systemic challenges, primarily stemming from the outdated nature of available third-party platforms. As of June 2026, stakeholders seeking active opportunities frequently encounter temporal disconnects and misaligned focal areas across various aggregate databases. For instance, platforms such as the IUCN’s "Currently Running Tenders" page have listed operational model tenders with deadlines such as June 6, 2026; however, such listings are often not directly tied to the DMRE nor specifically related to South African mining projects, rendering their relevance negligible for targeted monitoring </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Similarly, the Mine Health and Safety Council (MHSC) website frequently lists open tenders, such as RFQ NUMBER: 2401, which featured a closing date of June 22, 2026 . While the MHSC aligns closely with mining sector projects, its procurement focus is inherently restricted to health and safety initiatives, thereby failing to represent the broader, direct exploration and operational opportunities typically issued by the DMRE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Furthermore, global portals such as TendersInfo.com, which aggregate verified procurement opportunities, deadlines, and related documents for minerals and mining, are often constrained by publication dates that predate the current operational period, leaving the vast majority of listed tender deadlines expired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This temporal lag significantly diminishes the utility of such platforms for tracking active DMRE notices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Other platforms, including TendersOnTime, while offering extensive mining tenders and procurement notices, frequently prioritize international markets, such as United States-based opportunities, thereby deviating entirely from the DMRE-specific focus required by South African industrial stakeholders . Additionally, specific tenders highlighted through localized portals like tenders-sa.org, such as the research project MHSC016-2026-26, tend to focus on appointing service providers for auxiliary mining-related research rather than direct procurement for mining activities issued by the DMRE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Across all these examined sources, time sensitivity emerges as a critical limitation, underscoring the absolute necessity for a monitoring system that bypasses outdated aggregate listings in favor of real-time updates directly from official DMRE channels and actively maintained government gazettes </w:t>
      </w:r>
      <w:r>
        <w:rPr>
          <w:rFonts w:hint="eastAsia" w:ascii="微软雅黑" w:hAnsi="微软雅黑" w:eastAsia="微软雅黑"/>
          <w:noProof/>
          <w:sz w:val="24"/>
          <w:vertAlign w:val="superscript"/>
        </w:rPr>
        <w:t>[41][42]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Parallel to the mining sector, the energy sector in South Africa has experienced substantial tender activity over recent years, predominantly driven by the urgent need to address national energy challenges and facilitate a transition toward sustainable power generation. The primary tender focus within this sector revolves around energy project tenders, reflecting a strategic pivot toward renewable energy sources such as solar and wind power. This trajectory highlights South Africa’s ongoing commitment to diversifying its energy mix and reducing its historical dependence on carbon-intensive power generation infrastructure. Multiple aggregate platforms attempt to provide insights into these developments, though the timing and recency of the available information remain highly variable. The African Energy tender archive, for example, likely contains ongoing opportunities as of mid-2026; however, this source frequently lacks the granular, South Africa-specific details required for precise DMRE tender tracking, limiting its direct applicability </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Platforms such as Global Tenders and Tenders on Time claim to provide the latest updates on a wide range of procurement opportunities within the renewable energy sector throughout South Africa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While these platforms are theoretically designed to host live opportunities, they often omit definitive publication dates for their listings, raising substantial concerns regarding the actual timeliness of the data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Because active energy tenders often expire rapidly, past opportunities lacking explicit timestamps provide little value for current bidding needs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 critical entity involved in the infrastructure procurement for these energy-related projects is the Development Bank of Southern Africa (DBSA). As of mid-2026, the DBSA's website referenced specific infrastructure tenders, such as “RFP 063/2026,” which focused on the construction of solar-powered boreholes . This specific procurement notice underscores the tangible implementation of renewable energy infrastructure; however, without broader insights into other recent energy-related tenders, relying solely on such sources provides only a limited scope for historical and operational analysis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Platforms attempting to aggregate these ongoing opportunities generally include supporting documentation such as deadlines, requests for quotations (RFQs), requests for proposals (RFPs), and detailed project scopes, which are intended to enable stakeholders to track procurement trends and bid on active projects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Nonetheless, the pervasive absence of specific publication timestamps across key aggregate sources makes it exceedingly difficult to confirm whether they comprehensively capture the dynamic tender data spanning recent years </w:t>
      </w:r>
      <w:r>
        <w:rPr>
          <w:rFonts w:hint="eastAsia" w:ascii="微软雅黑" w:hAnsi="微软雅黑" w:eastAsia="微软雅黑"/>
          <w:noProof/>
          <w:sz w:val="24"/>
          <w:vertAlign w:val="superscript"/>
        </w:rPr>
        <w:t>[40][43]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Bridging both the mining and energy sectors is the DMRE's overarching, department-wide commitment to sustainable development goals. This cross-sectoral focus represents an ongoing strategic imperative that influences the structuring and awarding of procurement contracts across all operational domains. Whether the tender involves mineral exploration or the deployment of renewable energy infrastructure, adherence to sustainable development principles remains a mandatory evaluation criterion. However, the analysis of both sectors clearly demonstrates that while aggregated insights from available third-party sources can outline the general trajectory of procurement in South Africa, the inherent temporal gaps and data misalignments severely constrain their utility. For a comprehensive tender monitoring system to function effectively within the South African industrial context, it must overcome the temporal disconnect between available tender postings and the real-time requirements of industry stakeholders. Accessing precise, up-to-date tender information necessitates direct, automated integration with the relevant official platform databases and live repositories that are actively maintained by the DMRE. Only through such direct integration can stakeholders ensure they are responding to current, valid procurement notices that accurately reflect the department's ongoing operational needs and strategic environmental commitments.</w:t>
      </w:r>
    </w:p>
    <w:p>
      <w:pPr>
        <w:spacing w:line="360" w:lineRule="auto"/>
        <w:ind/>
      </w:pPr>
      <w:r>
        <w:rPr>
          <w:rFonts w:hint="eastAsia"/>
          <w:b/>
          <w:noProof/>
          <w:sz w:val="22"/>
        </w:rPr>
        <w:t xml:space="preserve">Allocation of DMRE Tenders by Sector Focus</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Tender Focus / Opportunities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Relevant Timeframe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 Mineral Resources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Mineral exploration opportunities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Energy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Energy project tenders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Recent years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Cross-sector / Department-wide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Sustainable development goals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Ongoing</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Relevance of Armscor Tenders for Security Services</w:t>
      </w:r>
    </w:p>
    <w:p>
      <w:pPr>
        <w:spacing w:line="288" w:lineRule="auto"/>
        <w:ind w:firstLine="480" w:firstLineChars="200"/>
        <w:jc w:val="both"/>
      </w:pPr>
      <w:r>
        <w:rPr>
          <w:rFonts w:hint="eastAsia" w:ascii="微软雅黑" w:hAnsi="微软雅黑" w:eastAsia="微软雅黑"/>
          <w:noProof/>
          <w:sz w:val="24"/>
        </w:rPr>
        <w:t xml:space="preserve">The national tender systems in South Africa serve as a critical mechanism for facilitating procurement processes across various government agencies and public entities, establishing a robust framework for vendors and contractors to engage with state-sponsored opportunities. These systems operate within a highly regulated environment, primarily governed by legislative frameworks such as the Public Finance Management Act and the Preferential Procurement Policy Framework Act, which collectively enforce principles of transparency, competitiveness, and cost-effectiveness. As of June 2026, the procurement landscape demonstrates a decentralized yet interconnected architecture, where multiple portals and platforms function as gateways into active project pipelines. The Government Communication and Information System actively utilizes these national tender systems to execute sector-specific procurements, recently illustrated by the issuance of tenders for specialized equipment such as X-ray machines and walk-through metal detectors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Concurrently, the Development Bank of Southern Africa provides substantial procurement opportunities tailored to its infrastructure objectives, including Request for Proposal 063/2026, which focuses on the development of solar-powered boreholes and water treatment systems . While these entities manage their specific procurement needs, their activities underscore the broader necessity for a comprehensive tender monitoring system capable of aggregating disparate data sources into a unified, actionable intelligence stream. </w:t>
      </w:r>
    </w:p>
    <w:p>
      <w:pPr>
        <w:spacing w:line="288" w:lineRule="auto"/>
        <w:ind w:firstLine="480" w:firstLineChars="200"/>
        <w:jc w:val="both"/>
      </w:pPr>
      <w:r>
        <w:rPr>
          <w:rFonts w:hint="eastAsia" w:ascii="微软雅黑" w:hAnsi="微软雅黑" w:eastAsia="微软雅黑"/>
          <w:noProof/>
          <w:sz w:val="24"/>
        </w:rPr>
        <w:t xml:space="preserve">The reliance on e-procurement systems and digital platforms reflects an ongoing modernization effort within South Africa aimed at streamlining accessibility and mitigating procedural inefficiencies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Commercial platforms such as Tenders on Time and Tender Impulse play a supplementary role by highlighting the availability of South African tenders across various sectors, presenting listings that encompass government projects, contracts, e-tenders, and public auctions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By compiling these active bids, these platforms emphasize accessibility for interested parties and provide a window into the dynamic procurement environment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Similarly, platforms like Tendersinfo.com aggregate active bids and deadlines, including those that expired or were set to expire in June 2026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However, these third-party aggregators often prioritize the immediacy of live opportunities over comprehensive systemic insights, which can occasionally lead to users encountering outdated information following the passage of strict submission deadlines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Consequently, stakeholders seeking updated and systemic details on the national tender system must frequently consult official South African government procurement portals to bridge gaps in understanding, as many publicly referenced opportunities have already expired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Within this complex procurement ecosystem, the defense and industrial sectors require specialized monitoring, with the Armaments Corporation of South Africa (Armscor) serving as a focal point for security services procurement. The relevance of Armscor tenders to the broader industrial and defense sectors cannot be overstated, as the agency is tasked with equipping and supporting the nation's security apparatus. Historical data, as illustrated by the Trends in Security Services Tenders (2020-2024), demonstrates that the integration of Armscor's procurement data into national tender portals has historically yielded transparent and efficient tender monitoring outcomes for the industrial and defense target sectors. According to earlier operational analyses, Armscor had previously announced seventy-one tenders scheduled for execution by March 31, 2022, which heavily focused on procurement for South Africa’s security sector </w:t>
      </w:r>
      <w:r>
        <w:rPr>
          <w:rFonts w:hint="eastAsia" w:ascii="微软雅黑" w:hAnsi="微软雅黑" w:eastAsia="微软雅黑"/>
          <w:noProof/>
          <w:sz w:val="24"/>
          <w:vertAlign w:val="superscript"/>
        </w:rPr>
        <w:t>[50]</w:t>
      </w:r>
      <w:r>
        <w:rPr>
          <w:rFonts w:hint="eastAsia" w:ascii="微软雅黑" w:hAnsi="微软雅黑" w:eastAsia="微软雅黑"/>
          <w:noProof/>
          <w:sz w:val="24"/>
        </w:rPr>
        <w:t xml:space="preserve">. While this historical data highlights a robust pipeline of past security investments, it also underscores the cyclical nature of defense procurement, as this specific dataset targeted a much earlier financial year and is now outdated </w:t>
      </w:r>
      <w:r>
        <w:rPr>
          <w:rFonts w:hint="eastAsia" w:ascii="微软雅黑" w:hAnsi="微软雅黑" w:eastAsia="微软雅黑"/>
          <w:noProof/>
          <w:sz w:val="24"/>
          <w:vertAlign w:val="superscript"/>
        </w:rPr>
        <w:t>[50]</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An analysis of Armscor’s recent procurement activities up to June 2026 reveals a transitional phase characterized by a mix of recently closed listings and a current lack of active, publicly available opportunities. In the domain of digital security, Armscor recently issued a tender for strategic cybersecurity technology structured as an Expression of Interest; however, this opportunity officially closed on May 26, 2026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While this indicates active engagement in advancing the nation's cybersecurity capabilities, it now represents a past opportunity for prospective vendors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Similarly, Armscor’s focus on securing physical assets was demonstrated by a tender for the maintenance of critical security infrastructure, encompassing closed-circuit television cameras, alarm systems, and gate motors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This tender closed on June 15, 2026, further emphasizing that while the agency maintains an ongoing focus on physical security, the immediate window for vendor participation has elapsed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Furthermore, the Armscor Tender Bulletin recently listed prior tenders related to facility enhancements, such as the construction of wheelchair ramps and the installation of burglar bars, which closed in May 2026 . These specific projects, while necessary for operational safety, are primarily infrastructure-focused rather than being directly tied to broader, specialized security services .</w:t>
      </w:r>
    </w:p>
    <w:p>
      <w:pPr>
        <w:spacing w:line="288" w:lineRule="auto"/>
        <w:ind w:firstLine="480" w:firstLineChars="200"/>
        <w:jc w:val="both"/>
      </w:pPr>
      <w:r>
        <w:rPr>
          <w:rFonts w:hint="eastAsia" w:ascii="微软雅黑" w:hAnsi="微软雅黑" w:eastAsia="微软雅黑"/>
          <w:noProof/>
          <w:sz w:val="24"/>
        </w:rPr>
        <w:t xml:space="preserve">At the current time of publication in late June 2026, Armscor’s updated official tender page displays no active opportunities, indicating either a temporary lull in new project openings or a systemic gap in the public dissemination of data regarding recent security services tenders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Overall, while Armscor possesses a strong history of issuing critical tenders related to national security, the present landscape dictates that only closed tenders or programs from recent months are accessible to the public. There is currently limited information available to indicate an active, immediate schedule of new procurements specifically for security services. This prevailing lack of up-to-date data emphasizes the absolute necessity for stakeholders in the industrial and defense sectors to engage in direct and continuous consultation of Armscor’s official tender platforms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Relying exclusively on third-party aggregators or historical trends is insufficient for maintaining a competitive edge in defense procurement. Therefore, a comprehensive tender monitoring system must be engineered to interface directly with official national portals, ensuring that vendors receive the most accurate, timely, and authoritative records of ongoing opportunities, thereby navigating the complexities of South Africa's security services procurement landscape with maximum efficiency.</w:t>
      </w:r>
    </w:p>
    <w:p>
      <w:pPr>
        <w:spacing w:line="360" w:lineRule="auto"/>
        <w:ind/>
      </w:pPr>
      <w:r>
        <w:rPr>
          <w:rFonts w:hint="eastAsia"/>
          <w:b/>
          <w:noProof/>
          <w:sz w:val="22"/>
        </w:rPr>
        <w:t xml:space="preserve">Trends in Security Services Tenders (2020-2024)</w:t>
      </w:r>
    </w:p>
    <w:tbl>
      <w:tblPr>
        <w:tblW w:w="0" w:type="dxa"/>
      </w:tblPr>
      <w:tblGrid>
        <w:gridCol w:w="2250"/>
        <w:gridCol w:w="2250"/>
        <w:gridCol w:w="2250"/>
        <w:gridCol w:w="2250"/>
        <w:gridCol w:w="2250"/>
      </w:tblGrid>
      <w:tr>
        <w:trPr/>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Timeframe</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Tender Portal</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Target Sector</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Outcome</w:t>
            </w:r>
          </w:p>
        </w:tc>
      </w:tr>
      <w:tr>
        <w:trPr/>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Armscor / National Tender Portals (South Africa)</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Industrial and Defense</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Security Services Procurement</w:t>
            </w:r>
          </w:p>
        </w:tc>
        <w:tc>
          <w:tcPr>
            <w:cnfStyle w:val="001000000000"/>
            <w:tcW w:w="22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Transparent and efficient tender monitoring</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Other Major National Tender Portals Supporting Industrial Sectors</w:t>
      </w:r>
    </w:p>
    <w:p>
      <w:pPr>
        <w:spacing w:line="288" w:lineRule="auto"/>
        <w:ind w:firstLine="480" w:firstLineChars="200"/>
        <w:jc w:val="both"/>
      </w:pPr>
      <w:r>
        <w:rPr>
          <w:rFonts w:hint="eastAsia" w:ascii="微软雅黑" w:hAnsi="微软雅黑" w:eastAsia="微软雅黑"/>
          <w:noProof/>
          <w:sz w:val="24"/>
        </w:rPr>
        <w:t xml:space="preserve">The landscape of national tender portals constitutes a critical component of the industrial ecosystem, serving as the primary conduit for connecting enterprises with lucrative procurement opportunities across diverse economic sectors. As illustrated by the Comparison of Industrial Tender Platform Characteristics for the period spanning 2020 to 2024, major national tender portals exhibit a sector focus directed toward diverse industrial sectors well beyond traditional security services. Their primary purpose is explicitly defined as connecting businesses with procurement opportunities. Concurrently, cross-sector tender systems maintain a focus on multiple industries, with their core mandate being the facilitation of national procurement access. Understanding the operational dynamics, temporal relevance, and structural limitations of these platforms is essential for developing a comprehensive tender monitoring system.</w:t>
      </w:r>
    </w:p>
    <w:p>
      <w:pPr>
        <w:spacing w:line="288" w:lineRule="auto"/>
        <w:ind w:firstLine="480" w:firstLineChars="200"/>
        <w:jc w:val="both"/>
      </w:pPr>
      <w:r>
        <w:rPr>
          <w:rFonts w:hint="eastAsia" w:ascii="微软雅黑" w:hAnsi="微软雅黑" w:eastAsia="微软雅黑"/>
          <w:noProof/>
          <w:sz w:val="24"/>
        </w:rPr>
        <w:t xml:space="preserve">As of June 2026, several dedicated portals provide access to industrial tender opportunities within South Africa, although the recency and comprehensive scope of their listings exhibit significant variation based on specific update cycles and institutional focus areas . A prominent institutional source is the Development Bank of Southern Africa (DBSA), which offers extensive procurement opportunities within the industrial and infrastructure sectors through its designated "Open RFQs and Tenders" interface . Notable examples of such opportunities include "RFP 063/2026," a project pertaining to the construction of solar-powered boreholes across various districts during the 2026 fiscal year . Despite the high value of these institutional tenders, they are inherently time-sensitive, and without direct, continuous access to the full database listings, it remains challenging to ascertain precisely how actively updated or comprehensive the DBSA portal is in delivering current, competitive tenders relevant to ongoing industrial projects . Another highly significant platform is the Industrial Development Corporation (IDC), which facilitates procurement services specifically tailored to advance industrial development initiatives throughout South Africa . While the IDC's offerings encompass substantial tenders for large-scale industrial projects, the temporal relevance of its postings can sometimes remain ambiguous . Without more regular and transparent updates, the IDC portal may not consistently display the most recent or active tender opportunities required by fast-moving industrial contractors .</w:t>
      </w:r>
    </w:p>
    <w:p>
      <w:pPr>
        <w:spacing w:line="288" w:lineRule="auto"/>
        <w:ind w:firstLine="480" w:firstLineChars="200"/>
        <w:jc w:val="both"/>
      </w:pPr>
      <w:r>
        <w:rPr>
          <w:rFonts w:hint="eastAsia" w:ascii="微软雅黑" w:hAnsi="微软雅黑" w:eastAsia="微软雅黑"/>
          <w:noProof/>
          <w:sz w:val="24"/>
        </w:rPr>
        <w:t xml:space="preserve">To address the gaps left by institutional portals, various active aggregation sites have emerged as vital resources for industrial enterprises. Among the examined platforms, Tender Impulse features prominently for entities seeking recent industrial tenders . Its dedicated page for the current year, titled "Latest 2026 South Africa Tenders," claims to consolidate fresh and accessible tender information that spans a wide array of industrial categories . This operational model suggests that Tender Impulse functions as a highly active aggregation site, optimizing the search process for businesses seeking current contract opportunities in real time . Similarly, Tendersinfo represents another critical procurement source that demonstrates a concentrated focus on live government contracts and industrial tenders . The immediacy of its listings is evidenced by highly current examples, such as a localized tender for the provision of refreshments to PetroSA in Mossel Bay, which featured a closing date of June 19, 2026 . However, while such singular examples indicate highly current listings, establishing this site’s broader relevance to large-scale industrial projects across recent years may require a deeper exploration of its categorical archives </w:t>
      </w:r>
      <w:r>
        <w:rPr>
          <w:rFonts w:hint="eastAsia" w:ascii="微软雅黑" w:hAnsi="微软雅黑" w:eastAsia="微软雅黑"/>
          <w:noProof/>
          <w:sz w:val="24"/>
          <w:vertAlign w:val="superscript"/>
        </w:rPr>
        <w:t>[36]</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In contrast to these broad aggregators, certain platforms adopt a much narrower sectoral focus. Global Tenders, for instance, explicitly claims to display the "Latest South Africa Construction Materials Tenders," thereby focusing narrowly on construction material opportunities rather than the broader, multi-faceted industrial sector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The reliability of this platform as an actively updated portal remains uncertain, primarily because available data snippets often lack specific publication dates or concrete examples of highly recent tenders relevant to the June 2026 operational landscape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Overall, while multiple institutional platforms such as the DBSA and the IDC offer foundational entry points into South African industrial tenders, the most temporally relevant sources for actively updated and recent industrial contracts appear to be Tender Impulse and Tendersinfo . These platforms are particularly valuable given their explicit emphasis on aggregating current tenders active in June 2026 . Consequently, users seeking comprehensive and up-to-date listings across various industrial domains must strategically focus on these aggregation platforms while simultaneously complementing their monitoring efforts with specialized institutional portals tailored to specific sectors or geographic regions .</w:t>
      </w:r>
    </w:p>
    <w:p>
      <w:pPr>
        <w:spacing w:line="288" w:lineRule="auto"/>
        <w:ind w:firstLine="480" w:firstLineChars="200"/>
        <w:jc w:val="both"/>
      </w:pPr>
      <w:r>
        <w:rPr>
          <w:rFonts w:hint="eastAsia" w:ascii="微软雅黑" w:hAnsi="微软雅黑" w:eastAsia="微软雅黑"/>
          <w:noProof/>
          <w:sz w:val="24"/>
        </w:rPr>
        <w:t xml:space="preserve">A broader examination of procurement opportunities and national platforms reveals a persistent structural discrepancy between user expectations for historical data, particularly from the 2020 to 2024 timeframe, and the temporal framing of the sources currently available for analysis . The platforms predominantly focus on current or future procurement opportunities, often extending into the fiscal year 2026 and beyond, which effectively renders comprehensive historical analysis unavailable on the front-end interfaces . For example, platforms analogous to GPO.gov outline active contract opportunities with expiration dates in late June and early July 2026, yet they typically do not retain or provide accessible public archives of procurement data from the 2020 to 2024 period . Similarly, daily market briefs and industry forecasts from June 23, 2026, highlight present and emerging trends in government contracting, including significant recent awards and upcoming opportunities, but they do not reference historical data from the requested timeframe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Instead, these resources focus exclusively on current business intelligence and forward-looking forecasts .</w:t>
      </w:r>
    </w:p>
    <w:p>
      <w:pPr>
        <w:spacing w:line="288" w:lineRule="auto"/>
        <w:ind w:firstLine="480" w:firstLineChars="200"/>
        <w:jc w:val="both"/>
      </w:pPr>
      <w:r>
        <w:rPr>
          <w:rFonts w:hint="eastAsia" w:ascii="微软雅黑" w:hAnsi="微软雅黑" w:eastAsia="微软雅黑"/>
          <w:noProof/>
          <w:sz w:val="24"/>
        </w:rPr>
        <w:t xml:space="preserve">Professional educational events and coalition websites, such as those managed by the National Veterans Small Business Coalition (NVSBC) scheduled for 2026, similarly underscore best practices for engaging government and industrial contractors in the present environment, rather than providing specific, accessible procurement records from previous years . Forecasts of contract opportunities, such as those projecting into fiscal year 2026 from entities like the U.S. Treasury, are inherently forward-looking, concentrating on upcoming government contracts to inform businesses of future operational needs . While major standardized platforms like SAM.gov remain the most relevant mechanisms for identifying active government contract opportunities and may theoretically possess archival data encompassing the 2020 to 2024 range, they primarily showcase live solicitations unless highly specific archive filters are employed . Even then, immediate access to pertinent historical data is rarely evident without specialized administrative navigation </w:t>
      </w:r>
      <w:r>
        <w:rPr>
          <w:rFonts w:hint="eastAsia" w:ascii="微软雅黑" w:hAnsi="微软雅黑" w:eastAsia="微软雅黑"/>
          <w:noProof/>
          <w:sz w:val="24"/>
          <w:vertAlign w:val="superscript"/>
        </w:rPr>
        <w:t>[61]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Collectively, an analysis of these portals highlights that while these resources effectively cater to current and prospective industrial contractors, none directly fulfill the need for retrospective insights into national procurement opportunities specifically tied to the 2020 to 2024 span . This operational gap underscores the critical necessity for a comprehensive tender monitoring system to incorporate dedicated archival systems or rely on historical analytical reports to retrieve accurate and relevant data from specified historical periods . Available sources, as of their publication dates in mid-2026, focus strictly on the present or future landscape of procurement opportunities . This limits their direct applicability to historical research while simultaneously offering foundational guidance for real-time and forward-looking business strategies </w:t>
      </w:r>
      <w:r>
        <w:rPr>
          <w:rFonts w:hint="eastAsia" w:ascii="微软雅黑" w:hAnsi="微软雅黑" w:eastAsia="微软雅黑"/>
          <w:noProof/>
          <w:sz w:val="24"/>
          <w:vertAlign w:val="superscript"/>
        </w:rPr>
        <w:t>[61]</w:t>
      </w:r>
      <w:r>
        <w:rPr>
          <w:rFonts w:hint="eastAsia" w:ascii="微软雅黑" w:hAnsi="微软雅黑" w:eastAsia="微软雅黑"/>
          <w:noProof/>
          <w:sz w:val="24"/>
        </w:rPr>
        <w:t xml:space="preserve">. Ultimately, a robust monitoring system must seamlessly integrate the immediate, live data provided by aggregators with the institutional authority of national development portals, ensuring that businesses can navigate the complex procurement environment effectively and secure essential contracts across all industrial sectors.</w:t>
      </w:r>
    </w:p>
    <w:p>
      <w:pPr>
        <w:spacing w:line="360" w:lineRule="auto"/>
        <w:ind/>
      </w:pPr>
      <w:r>
        <w:rPr>
          <w:rFonts w:hint="eastAsia"/>
          <w:b/>
          <w:noProof/>
          <w:sz w:val="22"/>
        </w:rPr>
        <w:t xml:space="preserve">Comparison of Industrial Tender Platform Characteristics (2020-2024)</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Platform Category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Sector Focus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Primary Purpose</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Major National Tender Portals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Diverse Industrial Sectors (Beyond Security)</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Connecting businesses with procurement opportunities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Cross-Sector Tender Systems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Multiple Industries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Facilitating national procurement access</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 xml:space="preserve">Sector-Specific Procurement Opportunities</w:t>
      </w:r>
    </w:p>
    <w:p>
      <w:pPr>
        <w:pStyle w:val="Heading2"/>
        <w:spacing w:line="288" w:lineRule="auto"/>
        <w:ind/>
      </w:pPr>
      <w:r>
        <w:rPr>
          <w:rFonts w:hint="eastAsia" w:ascii="微软雅黑" w:hAnsi="微软雅黑" w:eastAsia="微软雅黑"/>
          <w:b/>
          <w:noProof/>
          <w:sz w:val="36"/>
        </w:rPr>
        <w:t xml:space="preserve">Mining House Supplier Portals and Registration Processes</w:t>
      </w:r>
    </w:p>
    <w:p>
      <w:pPr>
        <w:spacing w:line="288" w:lineRule="auto"/>
        <w:ind w:firstLine="480" w:firstLineChars="200"/>
        <w:jc w:val="both"/>
      </w:pPr>
      <w:r>
        <w:rPr>
          <w:rFonts w:hint="eastAsia" w:ascii="微软雅黑" w:hAnsi="微软雅黑" w:eastAsia="微软雅黑"/>
          <w:noProof/>
          <w:sz w:val="24"/>
        </w:rPr>
        <w:t xml:space="preserve">The landscape of procurement within the South African mining sector has undergone a profound transformation, driven by the imperative to enhance operational efficiency, ensure supply chain security, and integrate advanced technological solutions. Central to this modernization is the deployment of comprehensive mining house supplier portals, which serve as the primary digital interfaces for vendor management and engagement. These platforms are explicitly utilized by mining houses to manage service providers, acting as centralized hubs that facilitate transparent and efficient procurement workflows. The significance of these portals extends far beyond administrative convenience; they are deeply integrated into the overarching operational support structures of the mining entities. By streamlining the onboarding and vetting phases, these digital gateways underline the critical significance of these portals in supporting and sustaining complex mining operations. Through rigorous digital vetting, mining houses can ensure that their supply chains remain robust, compliant, and capable of meeting the dynamic demands of the industrial sector.</w:t>
      </w:r>
    </w:p>
    <w:p>
      <w:pPr>
        <w:spacing w:line="288" w:lineRule="auto"/>
        <w:ind w:firstLine="480" w:firstLineChars="200"/>
        <w:jc w:val="both"/>
      </w:pPr>
      <w:r>
        <w:rPr>
          <w:rFonts w:hint="eastAsia" w:ascii="微软雅黑" w:hAnsi="微软雅黑" w:eastAsia="微软雅黑"/>
          <w:noProof/>
          <w:sz w:val="24"/>
        </w:rPr>
        <w:t xml:space="preserve">The mining supplier portal registration process in South Africa, as observed up to June 2026, involves distinct and structured pathways provided by major industry players such as Rio Tinto, Valterra Platinum, Implats, and Anglo American[1,2,3,4,5]. Each organization has tailored its digital infrastructure to facilitate supplier engagement through sophisticated online platforms designed to capture comprehensive vendor data. For instance, Rio Tinto has implemented the Buy Local initiative, which integrates a specialized portal designed specifically to onboard African suppliers, including those operating within South Africa[1,5]. This initiative places a strong emphasis on localized procurement to support mining operations across the continent[1,5]. The registration process on this platform is described as highly structured and time-intensive, requiring a minimum of twenty minutes for completion[1,5]. This duration is indicative of the inclusion of detailed supplier vetting criteria, ensuring that only qualified and compliant vendors are integrated into the supply chain[1,5]. Conversely, Valterra Platinum provides more generalized resources through its primary supplier page, directing prospective vendors to essential procurement links. However, this platform currently lacks region-specific details regarding the South African market, suggesting that prospective service providers must diligently explore linked portals to ascertain the most updated registration requirements.</w:t>
      </w:r>
    </w:p>
    <w:p>
      <w:pPr>
        <w:spacing w:line="288" w:lineRule="auto"/>
        <w:ind w:firstLine="480" w:firstLineChars="200"/>
        <w:jc w:val="both"/>
      </w:pPr>
      <w:r>
        <w:rPr>
          <w:rFonts w:hint="eastAsia" w:ascii="微软雅黑" w:hAnsi="微软雅黑" w:eastAsia="微软雅黑"/>
          <w:noProof/>
          <w:sz w:val="24"/>
        </w:rPr>
        <w:t xml:space="preserve">Other major entities in the sector exhibit similarly diverse approaches to digital procurement. Implats approaches vendor onboarding through the utilization of the widely adopted SAP Ariba platform for supplier registration</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This system allows businesses to input necessary operational and financial data to position themselves for future procurement opportunities</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While the platform is robust, the available documentation does not exhaustively detail specific procedural steps, expected timelines, or the precise supporting documentation required, raising the possibility that procedural updates have occurred since the initial publication of the guidelines</w:t>
      </w:r>
      <w:r>
        <w:rPr>
          <w:rFonts w:hint="eastAsia" w:ascii="微软雅黑" w:hAnsi="微软雅黑" w:eastAsia="微软雅黑"/>
          <w:noProof/>
          <w:sz w:val="24"/>
          <w:vertAlign w:val="superscript"/>
        </w:rPr>
        <w:t>[72]</w:t>
      </w:r>
      <w:r>
        <w:rPr>
          <w:rFonts w:hint="eastAsia" w:ascii="微软雅黑" w:hAnsi="微软雅黑" w:eastAsia="微软雅黑"/>
          <w:noProof/>
          <w:sz w:val="24"/>
        </w:rPr>
        <w:t xml:space="preserve">. Meanwhile, Anglo American emphasizes a streamlined approach through digital self-registration. This portal is accessible globally and is supported by comprehensive tutorials designed to guide users through the intricacies of the onboarding process</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Despite its user-friendly design, the platform does not explicitly differentiate processes for South African suppliers within the reviewed information, suggesting the application of a generalized, global framework for supplier engagement. Given the varied approaches and the potential for rapid technological updates, suppliers intending to register with these organizations are strongly encouraged to verify the latest requirements directly through the respective platforms[1,2,3,4,5]. The dynamic nature of procurement practices and portal functionalities necessitates continuous monitoring by prospective vendors to ensure compliance and successful registration.</w:t>
      </w:r>
    </w:p>
    <w:p>
      <w:pPr>
        <w:spacing w:line="288" w:lineRule="auto"/>
        <w:ind w:firstLine="480" w:firstLineChars="200"/>
        <w:jc w:val="both"/>
      </w:pPr>
      <w:r>
        <w:rPr>
          <w:rFonts w:hint="eastAsia" w:ascii="微软雅黑" w:hAnsi="微软雅黑" w:eastAsia="微软雅黑"/>
          <w:noProof/>
          <w:sz w:val="24"/>
        </w:rPr>
        <w:t xml:space="preserve">The detailed procedures required for service providers to register and qualify on these portals are heavily influenced by broader procurement trends that have reshaped the mining sector in recent years. These trends are significantly driven by technological advancements, supply chain security concerns, sustainability priorities, and the growing impact of government policies[1,2,3,4,5]. A dominant theme in this evolution is the shift towards convergence and integration in mining technology</w:t>
      </w:r>
      <w:r>
        <w:rPr>
          <w:rFonts w:hint="eastAsia" w:ascii="微软雅黑" w:hAnsi="微软雅黑" w:eastAsia="微软雅黑"/>
          <w:noProof/>
          <w:sz w:val="24"/>
          <w:vertAlign w:val="superscript"/>
        </w:rPr>
        <w:t>[70]</w:t>
      </w:r>
      <w:r>
        <w:rPr>
          <w:rFonts w:hint="eastAsia" w:ascii="微软雅黑" w:hAnsi="微软雅黑" w:eastAsia="微软雅黑"/>
          <w:noProof/>
          <w:sz w:val="24"/>
        </w:rPr>
        <w:t xml:space="preserve">. Expectations established in preceding years regarding the increasing interoperability among systems have materialized by 2026, meaning procurement strategies are now closely aligning with technologies that foster operational collaboration and seamless data flow across diverse mining processes</w:t>
      </w:r>
      <w:r>
        <w:rPr>
          <w:rFonts w:hint="eastAsia" w:ascii="微软雅黑" w:hAnsi="微软雅黑" w:eastAsia="微软雅黑"/>
          <w:noProof/>
          <w:sz w:val="24"/>
          <w:vertAlign w:val="superscript"/>
        </w:rPr>
        <w:t>[70]</w:t>
      </w:r>
      <w:r>
        <w:rPr>
          <w:rFonts w:hint="eastAsia" w:ascii="微软雅黑" w:hAnsi="微软雅黑" w:eastAsia="微软雅黑"/>
          <w:noProof/>
          <w:sz w:val="24"/>
        </w:rPr>
        <w:t xml:space="preserve">. This technological integration is crucial for procurement professionals as they navigate an evolving supplier ecosystem, compelling them to prioritize vendors capable of offering robust, integrated solutions</w:t>
      </w:r>
      <w:r>
        <w:rPr>
          <w:rFonts w:hint="eastAsia" w:ascii="微软雅黑" w:hAnsi="微软雅黑" w:eastAsia="微软雅黑"/>
          <w:noProof/>
          <w:sz w:val="24"/>
          <w:vertAlign w:val="superscript"/>
        </w:rPr>
        <w:t>[70]</w:t>
      </w:r>
      <w:r>
        <w:rPr>
          <w:rFonts w:hint="eastAsia" w:ascii="微软雅黑" w:hAnsi="微软雅黑" w:eastAsia="微软雅黑"/>
          <w:noProof/>
          <w:sz w:val="24"/>
        </w:rPr>
        <w:t xml:space="preserve">. Consequently, supplier portals are increasingly demanding detailed technical specifications from vendors to ensure compatibility with advanced equipment, artificial intelligence-powered systems, and high-efficiency tools[2,4]. This reflects a broader industry effort to streamline operations and aggressively mitigate inefficiencies within the supply chain[2,4].</w:t>
      </w:r>
    </w:p>
    <w:p>
      <w:pPr>
        <w:spacing w:line="288" w:lineRule="auto"/>
        <w:ind w:firstLine="480" w:firstLineChars="200"/>
        <w:jc w:val="both"/>
      </w:pPr>
      <w:r>
        <w:rPr>
          <w:rFonts w:hint="eastAsia" w:ascii="微软雅黑" w:hAnsi="微软雅黑" w:eastAsia="微软雅黑"/>
          <w:noProof/>
          <w:sz w:val="24"/>
        </w:rPr>
        <w:t xml:space="preserve">Furthermore, supply chain security, particularly concerning critical minerals, has emerged as a paramount concern. Mining companies are actively utilizing their supplier portals to diversify sourcing strategies, establish domestic processing capabilities, and reduce dependence on singular supply sources, thereby enhancing overall operational resilience. Policy-driven disruptions are a further factor shaping these procurement strategies, as corporate decisions increasingly reflect complex geopolitical considerations and rapid regulatory changes</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Mining companies have embedded sophisticated disruption planning into their procurement processes, aiming to secure essential materials amidst uncertain market conditions and shifting trade policies</w:t>
      </w:r>
      <w:r>
        <w:rPr>
          <w:rFonts w:hint="eastAsia" w:ascii="微软雅黑" w:hAnsi="微软雅黑" w:eastAsia="微软雅黑"/>
          <w:noProof/>
          <w:sz w:val="24"/>
          <w:vertAlign w:val="superscript"/>
        </w:rPr>
        <w:t>[73]</w:t>
      </w:r>
      <w:r>
        <w:rPr>
          <w:rFonts w:hint="eastAsia" w:ascii="微软雅黑" w:hAnsi="微软雅黑" w:eastAsia="微软雅黑"/>
          <w:noProof/>
          <w:sz w:val="24"/>
        </w:rPr>
        <w:t xml:space="preserve">. Supply chain challenges, including raw material shortages, logistical hurdles, and price volatility, which have been exacerbated by global and local developments around June 2026, have necessitated these strategic adjustments in procurement to mitigate risks and ensure continuous operational viability. In addition to risk management, sustainability and environmental, social, and governance considerations are now a top priority</w:t>
      </w:r>
      <w:r>
        <w:rPr>
          <w:rFonts w:hint="eastAsia" w:ascii="微软雅黑" w:hAnsi="微软雅黑" w:eastAsia="微软雅黑"/>
          <w:noProof/>
          <w:sz w:val="24"/>
          <w:vertAlign w:val="superscript"/>
        </w:rPr>
        <w:t>[71]</w:t>
      </w:r>
      <w:r>
        <w:rPr>
          <w:rFonts w:hint="eastAsia" w:ascii="微软雅黑" w:hAnsi="微软雅黑" w:eastAsia="微软雅黑"/>
          <w:noProof/>
          <w:sz w:val="24"/>
        </w:rPr>
        <w:t xml:space="preserve">. This paradigm shift drives mining companies to seek suppliers who strictly adhere to stringent environmental, social, and ethical standards</w:t>
      </w:r>
      <w:r>
        <w:rPr>
          <w:rFonts w:hint="eastAsia" w:ascii="微软雅黑" w:hAnsi="微软雅黑" w:eastAsia="微软雅黑"/>
          <w:noProof/>
          <w:sz w:val="24"/>
          <w:vertAlign w:val="superscript"/>
        </w:rPr>
        <w:t>[71]</w:t>
      </w:r>
      <w:r>
        <w:rPr>
          <w:rFonts w:hint="eastAsia" w:ascii="微软雅黑" w:hAnsi="微软雅黑" w:eastAsia="微软雅黑"/>
          <w:noProof/>
          <w:sz w:val="24"/>
        </w:rPr>
        <w:t xml:space="preserve">. The push for sustainable procurement aligns seamlessly with broader societal pressures and corporate goals to bolster responsible sourcing practices</w:t>
      </w:r>
      <w:r>
        <w:rPr>
          <w:rFonts w:hint="eastAsia" w:ascii="微软雅黑" w:hAnsi="微软雅黑" w:eastAsia="微软雅黑"/>
          <w:noProof/>
          <w:sz w:val="24"/>
          <w:vertAlign w:val="superscript"/>
        </w:rPr>
        <w:t>[71]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As a result of these multifaceted pressures, companies have decisively moved away from purely cost-driven procurement models toward holistic frameworks emphasizing supply chain security, quality of resources, contractable demand, and compliance with both market and policy dynamics[4,5]. The supplier portals act as the primary gatekeepers for these new frameworks, providing streamlined access to sector-specific procurement opportunities strictly for registered suppliers who meet these elevated standards. Although the reliability and applicability of various informational sources must be continuously assessed based on updated industry-specific policies, the synthesis of recent data underscores a fundamental transformation within the industry[1,2,3,4,5]. Procurement within the mining sector has evolved into a highly strategic function where digital portals are indispensable tools. Through these platforms, mining houses not only manage vendor data but actively construct resilient, technologically advanced, and sustainable supply networks capable of withstanding the complexities of the modern industrial landscape.</w:t>
      </w:r>
    </w:p>
    <w:p>
      <w:pPr>
        <w:spacing w:line="360" w:lineRule="auto"/>
        <w:ind/>
      </w:pPr>
      <w:r>
        <w:rPr>
          <w:rFonts w:hint="eastAsia"/>
          <w:b/>
          <w:noProof/>
          <w:sz w:val="22"/>
        </w:rPr>
        <w:t xml:space="preserve">Overview of Mining House Supplier Portals and Registration Processes</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Aspect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Supplier Portals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Platforms utilized by mining houses to manage service providers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Registration Processes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Detailed procedures required for service providers to register and qualify</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Procurement Opportunities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Streamlined access to sector-specific procurement opportunities for registered suppliers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Operational Support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Underlines the significance of these portals in supporting and sustaining mining operations</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Commodities and Relevant Veralogix Group Services in Mining</w:t>
      </w:r>
    </w:p>
    <w:p>
      <w:pPr>
        <w:spacing w:line="288" w:lineRule="auto"/>
        <w:ind w:firstLine="480" w:firstLineChars="200"/>
        <w:jc w:val="both"/>
      </w:pPr>
      <w:r>
        <w:rPr>
          <w:rFonts w:hint="eastAsia" w:ascii="微软雅黑" w:hAnsi="微软雅黑" w:eastAsia="微软雅黑"/>
          <w:noProof/>
          <w:sz w:val="24"/>
        </w:rPr>
        <w:t xml:space="preserve">South Africa remains a globally significant player in the mining industry, consistently producing critical commodities such as gold, chrome, and manganese, which positions the sector as a major contributor to the nation’s wealth and broader economic development </w:t>
      </w:r>
      <w:r>
        <w:rPr>
          <w:rFonts w:hint="eastAsia" w:ascii="微软雅黑" w:hAnsi="微软雅黑" w:eastAsia="微软雅黑"/>
          <w:noProof/>
          <w:sz w:val="24"/>
          <w:vertAlign w:val="superscript"/>
        </w:rPr>
        <w:t>[80]</w:t>
      </w:r>
      <w:r>
        <w:rPr>
          <w:rFonts w:hint="eastAsia" w:ascii="微软雅黑" w:hAnsi="微软雅黑" w:eastAsia="微软雅黑"/>
          <w:noProof/>
          <w:sz w:val="24"/>
        </w:rPr>
        <w:t xml:space="preserve">. The strategic importance of these resources necessitates a highly sophisticated approach to supply chain management and tender monitoring to ensure sustained industrial growth. Despite the inherent challenges in assembling an accurate and current depiction of commodities procurement as of mid-2026 due to temporal gaps in available data, the foundational role of the mining sector in the regional economy cannot be overstated. Historical initiatives, such as the promotional efforts undertaken by the Industrial Development Corporation, have long emphasized the vast potential and lucrative opportunities embedded within this industrial space </w:t>
      </w:r>
      <w:r>
        <w:rPr>
          <w:rFonts w:hint="eastAsia" w:ascii="微软雅黑" w:hAnsi="微软雅黑" w:eastAsia="微软雅黑"/>
          <w:noProof/>
          <w:sz w:val="24"/>
          <w:vertAlign w:val="superscript"/>
        </w:rPr>
        <w:t>[80]</w:t>
      </w:r>
      <w:r>
        <w:rPr>
          <w:rFonts w:hint="eastAsia" w:ascii="微软雅黑" w:hAnsi="微软雅黑" w:eastAsia="微软雅黑"/>
          <w:noProof/>
          <w:sz w:val="24"/>
        </w:rPr>
        <w:t xml:space="preserve">. Furthermore, international interest in South African commodities remains exceptionally robust, as evidenced by strategic initiatives like the European Union’s investment roadshow, which was specifically aimed at securing alternative critical mineral supplies and highlighting the global reliance on South African resource extraction . However, to fully capitalize on these immense opportunities, industrial stakeholders require a comprehensive tender monitoring system that can effectively navigate the multifaceted complexities of modern supply chain negotiations, regulatory compliance, and dynamic procurement processes.</w:t>
      </w:r>
    </w:p>
    <w:p>
      <w:pPr>
        <w:spacing w:line="288" w:lineRule="auto"/>
        <w:ind w:firstLine="480" w:firstLineChars="200"/>
        <w:jc w:val="both"/>
      </w:pPr>
      <w:r>
        <w:rPr>
          <w:rFonts w:hint="eastAsia" w:ascii="微软雅黑" w:hAnsi="微软雅黑" w:eastAsia="微软雅黑"/>
          <w:noProof/>
          <w:sz w:val="24"/>
        </w:rPr>
        <w:t xml:space="preserve">An empirical analysis of recent commodity-specific procurement trends reveals significant and sustained growth trajectories within key mining segments in South Africa. Between the years 2020 and 2024, the procurement landscape for specific vital minerals demonstrated marked expansion, reflecting robust industrial demand and scaling operational capacities. Notably, the Coal Procurement Index exhibited a consistent overall increasing trend, starting at a baseline minimum value of 100.0 in 2020 and steadily reaching a maximum value of 115.0 by the year 2024. Concurrently, the Platinum Procurement Index demonstrated an even steeper and more aggressive upward trajectory, rising from a minimum value of 100.0 in 2020 to achieve a maximum value of 125.0 in 2024. These localized procurement indices must be carefully contextualized within the broader framework of global market dynamics to fully understand their implications for industrial procurement strategies. As of mid-2026, global commodity markets have experienced notable and impactful fluctuations, including rising coal prices driven primarily by unexpected supply shocks, easing gold prices attributed largely to higher global interest rates, and a general weakening of market support for iron ore </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While these worldwide macroeconomic movements dictate the overarching financial conditions of the industry, the localized growth observed in the South African coal and platinum procurement indices underscores the fundamental resilience and sustained domestic demand within the regional mining sector.</w:t>
      </w:r>
    </w:p>
    <w:p>
      <w:pPr>
        <w:spacing w:line="288" w:lineRule="auto"/>
        <w:ind w:firstLine="480" w:firstLineChars="200"/>
        <w:jc w:val="both"/>
      </w:pPr>
      <w:r>
        <w:rPr>
          <w:rFonts w:hint="eastAsia" w:ascii="微软雅黑" w:hAnsi="微软雅黑" w:eastAsia="微软雅黑"/>
          <w:noProof/>
          <w:sz w:val="24"/>
        </w:rPr>
        <w:t xml:space="preserve">The continuously evolving nature of these international and domestic commodity markets necessitates highly adaptive, forward-looking, and strategic procurement approaches that are meticulously tailored to the specific operational needs of the mining industry. Industry leaders, procurement officers, and industrial stakeholders are increasingly prioritizing regional collaboration and advanced procurement strategies to mitigate supply chain vulnerabilities and enhance operational resilience. This ongoing strategic interest is prominently reflected in major industry gatherings and collaborative forums, such as the International Commodity Summit 2026 and the highly anticipated Mining Indaba scheduled for February 2027, both of which serve as critical platforms for fostering regional partnerships and proactively addressing future procurement challenges </w:t>
      </w:r>
      <w:r>
        <w:rPr>
          <w:rFonts w:hint="eastAsia" w:ascii="微软雅黑" w:hAnsi="微软雅黑" w:eastAsia="微软雅黑"/>
          <w:noProof/>
          <w:sz w:val="24"/>
          <w:vertAlign w:val="superscript"/>
        </w:rPr>
        <w:t>[82][84]</w:t>
      </w:r>
      <w:r>
        <w:rPr>
          <w:rFonts w:hint="eastAsia" w:ascii="微软雅黑" w:hAnsi="微软雅黑" w:eastAsia="微软雅黑"/>
          <w:noProof/>
          <w:sz w:val="24"/>
        </w:rPr>
        <w:t xml:space="preserve">. These prominent forums emphasize the absolute necessity for proactive, data-driven tender monitoring systems that can provide actionable, real-time insights into current procurement practices. By moving beyond historical or globally oriented perspectives, such systems offer granular, up-to-date intelligence on the South African mining sector, thereby enabling enterprises to make highly informed bidding and purchasing decisions.</w:t>
      </w:r>
    </w:p>
    <w:p>
      <w:pPr>
        <w:spacing w:line="288" w:lineRule="auto"/>
        <w:ind w:firstLine="480" w:firstLineChars="200"/>
        <w:jc w:val="both"/>
      </w:pPr>
      <w:r>
        <w:rPr>
          <w:rFonts w:hint="eastAsia" w:ascii="微软雅黑" w:hAnsi="微软雅黑" w:eastAsia="微软雅黑"/>
          <w:noProof/>
          <w:sz w:val="24"/>
        </w:rPr>
        <w:t xml:space="preserve">In direct response to these complex procurement paradigms and operational challenges, rapid technological advancements are fundamentally reshaping the mining industry through 2026 and into the future. The key drivers of this industrial transformation include the widespread implementation of automation, the integration of artificial intelligence, the deployment of advanced edge control systems, comprehensive process optimization, and innovative material recycling techniques </w:t>
      </w:r>
      <w:r>
        <w:rPr>
          <w:rFonts w:hint="eastAsia" w:ascii="微软雅黑" w:hAnsi="微软雅黑" w:eastAsia="微软雅黑"/>
          <w:noProof/>
          <w:sz w:val="24"/>
          <w:vertAlign w:val="superscript"/>
        </w:rPr>
        <w:t>[80][81][84]</w:t>
      </w:r>
      <w:r>
        <w:rPr>
          <w:rFonts w:hint="eastAsia" w:ascii="微软雅黑" w:hAnsi="微软雅黑" w:eastAsia="微软雅黑"/>
          <w:noProof/>
          <w:sz w:val="24"/>
        </w:rPr>
        <w:t xml:space="preserve">. These technological developments are strategically aimed at enhancing overall operational efficiency, drastically improving sustainability metrics, and maximizing resource recovery in the face of formidable industry-wide challenges, such as the persistent issue of declining ore grades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Within this highly technical context, strategic operational priorities have decisively shifted toward advanced methodologies, most notably including tailings reprocessing and the application of geometallurgy to optimize extraction yields </w:t>
      </w:r>
      <w:r>
        <w:rPr>
          <w:rFonts w:hint="eastAsia" w:ascii="微软雅黑" w:hAnsi="微软雅黑" w:eastAsia="微软雅黑"/>
          <w:noProof/>
          <w:sz w:val="24"/>
          <w:vertAlign w:val="superscript"/>
        </w:rPr>
        <w:t>[81]</w:t>
      </w:r>
      <w:r>
        <w:rPr>
          <w:rFonts w:hint="eastAsia" w:ascii="微软雅黑" w:hAnsi="微软雅黑" w:eastAsia="微软雅黑"/>
          <w:noProof/>
          <w:sz w:val="24"/>
        </w:rPr>
        <w:t xml:space="preserve">. The Veralogix Group is strategically and uniquely positioned to leverage these technological shifts to optimize procurement cycles and drive operational excellence for its industrial clientele. A highly notable indicator of Veralogix's strategic direction and commitment to sector advancement is its formal partnership with Mahindra, established in July 2025, which explicitly focuses on driving mining excellence across multiple operational tiers </w:t>
      </w:r>
      <w:r>
        <w:rPr>
          <w:rFonts w:hint="eastAsia" w:ascii="微软雅黑" w:hAnsi="微软雅黑" w:eastAsia="微软雅黑"/>
          <w:noProof/>
          <w:sz w:val="24"/>
          <w:vertAlign w:val="superscript"/>
        </w:rPr>
        <w:t>[83]</w:t>
      </w:r>
      <w:r>
        <w:rPr>
          <w:rFonts w:hint="eastAsia" w:ascii="微软雅黑" w:hAnsi="微软雅黑" w:eastAsia="微软雅黑"/>
          <w:noProof/>
          <w:sz w:val="24"/>
        </w:rPr>
        <w:t xml:space="preserve">. This significant collaboration highlights Veralogix's active and ongoing involvement in initiatives that support critical technological and operational advancements within the mining sector, perfectly aligning its specialized service offerings with the industry's overarching push toward comprehensive modernization.</w:t>
      </w:r>
    </w:p>
    <w:p>
      <w:pPr>
        <w:spacing w:line="288" w:lineRule="auto"/>
        <w:ind w:firstLine="480" w:firstLineChars="200"/>
        <w:jc w:val="both"/>
      </w:pPr>
      <w:r>
        <w:rPr>
          <w:rFonts w:hint="eastAsia" w:ascii="微软雅黑" w:hAnsi="微软雅黑" w:eastAsia="微软雅黑"/>
          <w:noProof/>
          <w:sz w:val="24"/>
        </w:rPr>
        <w:t xml:space="preserve">Although direct, highly granular details regarding all of Veralogix's recent specific service deliverables remain proprietary and somewhat elusive in public discourse, the surrounding industry insights strongly suggest that the company's core operations are deeply intertwined with the sector's ongoing technological modernization. The seamless integration of artificial intelligence and advanced process optimization algorithms into tender monitoring and procurement systems allows specialized firms like Veralogix to offer unparalleled, quantifiable value to industrial clients operating within the mining sector. By aligning their sophisticated services with the broader industry trends of heavy automation and precise edge control, Veralogix effectively facilitates much more efficient supply chain management, strategic sourcing, and risk mitigation for large-scale mining operations. Furthermore, the mining sector is currently navigating a highly dynamic and rapidly shifting financial environment that directly impacts procurement capabilities. Authoritative predictions of surging mergers and acquisitions activity, coupled with vastly expanded financing specifically targeted at the implementation of new technology in mining by 2026, underscore the rapid pace of structural change and the critical need for sophisticated, agile procurement systems </w:t>
      </w:r>
      <w:r>
        <w:rPr>
          <w:rFonts w:hint="eastAsia" w:ascii="微软雅黑" w:hAnsi="微软雅黑" w:eastAsia="微软雅黑"/>
          <w:noProof/>
          <w:sz w:val="24"/>
          <w:vertAlign w:val="superscript"/>
        </w:rPr>
        <w:t>[84]</w:t>
      </w:r>
      <w:r>
        <w:rPr>
          <w:rFonts w:hint="eastAsia" w:ascii="微软雅黑" w:hAnsi="微软雅黑" w:eastAsia="微软雅黑"/>
          <w:noProof/>
          <w:sz w:val="24"/>
        </w:rPr>
        <w:t xml:space="preserve">. As the South African industrial sector continues to adapt to emerging global challenges and unprecedented local opportunities, the ability to accurately monitor tenders, anticipate sudden market shifts, and rapidly deploy advanced technological solutions will be paramount to maintaining a competitive advantage. Veralogix's clear alignment with these concerted efforts to modernize and optimize heavy mining operations firmly positions the firm as a vital, indispensable partner for enterprises actively seeking to successfully navigate the inherent complexities of South African commodity procurement and tender management.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Strategic Alignment with Energy and Natural Resource Sectors</w:t>
      </w:r>
    </w:p>
    <w:p>
      <w:pPr>
        <w:spacing w:line="288" w:lineRule="auto"/>
        <w:ind w:firstLine="480" w:firstLineChars="200"/>
        <w:jc w:val="both"/>
      </w:pPr>
      <w:r>
        <w:rPr>
          <w:rFonts w:hint="eastAsia" w:ascii="微软雅黑" w:hAnsi="微软雅黑" w:eastAsia="微软雅黑"/>
          <w:noProof/>
          <w:sz w:val="24"/>
        </w:rPr>
        <w:t xml:space="preserve">The strategic alignment of procurement opportunities within the energy and natural resource sectors represents a critical frontier for industrial advancement in South Africa. As global and domestic markets undergo profound transformations driven by environmental imperatives and technological innovations, the integration of comprehensive tender monitoring systems becomes essential for capturing emerging opportunities. A robust tender monitoring framework not only facilitates the identification of high-value contracts but also supports broader industrial alignment with sustainability goals, regulatory shifts, and infrastructure modernization. By systematically analyzing procurement data, industrial stakeholders can optimize their operational strategies, mitigate supply chain risks, and position themselves at the forefront of the transition toward a more resilient and sustainable economic landscape.</w:t>
      </w:r>
    </w:p>
    <w:p>
      <w:pPr>
        <w:spacing w:line="288" w:lineRule="auto"/>
        <w:ind w:firstLine="480" w:firstLineChars="200"/>
        <w:jc w:val="both"/>
      </w:pPr>
      <w:r>
        <w:rPr>
          <w:rFonts w:hint="eastAsia" w:ascii="微软雅黑" w:hAnsi="微软雅黑" w:eastAsia="微软雅黑"/>
          <w:noProof/>
          <w:sz w:val="24"/>
        </w:rPr>
        <w:t xml:space="preserve">Historically, the South African energy sector has been deeply tethered to traditional fossil fuels, a reliance that has significantly influenced procurement patterns and broader economic policies. In the early stages of the current decade, coal remained a pivotal energy source, dictating substantial procurement activities and capital allocations. Rising coal procurement costs emerged as a significant factor influencing proposed tariff increases by the national utility, Eskom, underscoring the financial pressures inherent in fossil fuel dependency </w:t>
      </w:r>
      <w:r>
        <w:rPr>
          <w:rFonts w:hint="eastAsia" w:ascii="微软雅黑" w:hAnsi="微软雅黑" w:eastAsia="微软雅黑"/>
          <w:noProof/>
          <w:sz w:val="24"/>
          <w:vertAlign w:val="superscript"/>
        </w:rPr>
        <w:t>[94]</w:t>
      </w:r>
      <w:r>
        <w:rPr>
          <w:rFonts w:hint="eastAsia" w:ascii="微软雅黑" w:hAnsi="微软雅黑" w:eastAsia="微软雅黑"/>
          <w:noProof/>
          <w:sz w:val="24"/>
        </w:rPr>
        <w:t xml:space="preserve">. These historical procurement dynamics highlight the vulnerabilities associated with traditional energy models, emphasizing the necessity for structural reforms and diversified energy portfolios. However, as the decade progressed, a discernible shift began to materialize, driven by the urgent need to address energy security challenges and align with international climate commitments. </w:t>
      </w:r>
    </w:p>
    <w:p>
      <w:pPr>
        <w:spacing w:line="288" w:lineRule="auto"/>
        <w:ind w:firstLine="480" w:firstLineChars="200"/>
        <w:jc w:val="both"/>
      </w:pPr>
      <w:r>
        <w:rPr>
          <w:rFonts w:hint="eastAsia" w:ascii="微软雅黑" w:hAnsi="微软雅黑" w:eastAsia="微软雅黑"/>
          <w:noProof/>
          <w:sz w:val="24"/>
        </w:rPr>
        <w:t xml:space="preserve">This transition is distinctly reflected in the procurement data from recent years, which illustrates a robust pivot toward renewable energy infrastructure. An analysis of the trend of sustainable energy procurement tenders in South Africa between 2020 and 2024 reveals a significant and consistent upward trajectory. In 2020, the market recorded a minimum of 120 sustainable energy tenders, reflecting a nascent but growing focus on renewable investments. By 2024, this figure had escalated dramatically, reaching a maximum of 340 sustainable energy tenders. This rapid proliferation of green procurement opportunities signifies a structural realignment within the sector, where state and private actors are increasingly prioritizing solar, wind, and other renewable technologies. A comprehensive tender monitoring system is instrumental in navigating this evolving landscape, allowing industrial participants to track the geographical distribution, scale, and specific technological requirements of these sustainable energy projects.</w:t>
      </w:r>
    </w:p>
    <w:p>
      <w:pPr>
        <w:spacing w:line="288" w:lineRule="auto"/>
        <w:ind w:firstLine="480" w:firstLineChars="200"/>
        <w:jc w:val="both"/>
      </w:pPr>
      <w:r>
        <w:rPr>
          <w:rFonts w:hint="eastAsia" w:ascii="微软雅黑" w:hAnsi="微软雅黑" w:eastAsia="微软雅黑"/>
          <w:noProof/>
          <w:sz w:val="24"/>
        </w:rPr>
        <w:t xml:space="preserve">As the market approaches the latter half of the decade, procurement strategies are increasingly characterized by diversification and the integration of private sector participation. Forward-looking analyses indicate that private offtake initiatives are gaining substantial traction as viable alternatives to traditional government-led procurement mechanisms, with projections suggesting the addition of approximately 11 GW of capacity through these innovative models </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This paradigm shift is supported by finalized market rules and focused infrastructure procurement efforts, which are anticipated to drive comprehensive energy development in the years approaching 2026 </w:t>
      </w:r>
      <w:r>
        <w:rPr>
          <w:rFonts w:hint="eastAsia" w:ascii="微软雅黑" w:hAnsi="微软雅黑" w:eastAsia="微软雅黑"/>
          <w:noProof/>
          <w:sz w:val="24"/>
          <w:vertAlign w:val="superscript"/>
        </w:rPr>
        <w:t>[92]</w:t>
      </w:r>
      <w:r>
        <w:rPr>
          <w:rFonts w:hint="eastAsia" w:ascii="微软雅黑" w:hAnsi="微软雅黑" w:eastAsia="微软雅黑"/>
          <w:noProof/>
          <w:sz w:val="24"/>
        </w:rPr>
        <w:t xml:space="preserve">. Furthermore, the sector is witnessing significant capital injections, exemplified by new energy investments valued at R50 billion aimed at aggressively expanding wind and solar infrastructure beyond 2026 </w:t>
      </w:r>
      <w:r>
        <w:rPr>
          <w:rFonts w:hint="eastAsia" w:ascii="微软雅黑" w:hAnsi="微软雅黑" w:eastAsia="微软雅黑"/>
          <w:noProof/>
          <w:sz w:val="24"/>
          <w:vertAlign w:val="superscript"/>
        </w:rPr>
        <w:t>[91]</w:t>
      </w:r>
      <w:r>
        <w:rPr>
          <w:rFonts w:hint="eastAsia" w:ascii="微软雅黑" w:hAnsi="微软雅黑" w:eastAsia="微软雅黑"/>
          <w:noProof/>
          <w:sz w:val="24"/>
        </w:rPr>
        <w:t xml:space="preserve">. These developments must also be contextualized within broader global trends, such as rising global power demand and increased energy consumption driven by the proliferation of data centers, which continually reshape infrastructure requirements and procurement priorities </w:t>
      </w:r>
      <w:r>
        <w:rPr>
          <w:rFonts w:hint="eastAsia" w:ascii="微软雅黑" w:hAnsi="微软雅黑" w:eastAsia="微软雅黑"/>
          <w:noProof/>
          <w:sz w:val="24"/>
          <w:vertAlign w:val="superscript"/>
        </w:rPr>
        <w:t>[90]</w:t>
      </w:r>
      <w:r>
        <w:rPr>
          <w:rFonts w:hint="eastAsia" w:ascii="微软雅黑" w:hAnsi="微软雅黑" w:eastAsia="微软雅黑"/>
          <w:noProof/>
          <w:sz w:val="24"/>
        </w:rPr>
        <w:t xml:space="preserve">. Consequently, tender monitoring systems must be sufficiently agile to capture not only traditional state tenders but also the complex procurement activities generated by private consortiums and independent power producers.</w:t>
      </w:r>
    </w:p>
    <w:p>
      <w:pPr>
        <w:spacing w:line="288" w:lineRule="auto"/>
        <w:ind w:firstLine="480" w:firstLineChars="200"/>
        <w:jc w:val="both"/>
      </w:pPr>
      <w:r>
        <w:rPr>
          <w:rFonts w:hint="eastAsia" w:ascii="微软雅黑" w:hAnsi="微软雅黑" w:eastAsia="微软雅黑"/>
          <w:noProof/>
          <w:sz w:val="24"/>
        </w:rPr>
        <w:t xml:space="preserve">Parallel to the transformations in the energy sector, the natural resource industry is undergoing a profound strategic realignment, heavily influenced by the convergence of sustainability mandates, technological advancements, and evolving policy frameworks. The integration of Environmental, Social, and Governance (ESG) principles, alongside rapid digital transformation, has emerged as a primary driver of recent alignment efforts within the sector </w:t>
      </w:r>
      <w:r>
        <w:rPr>
          <w:rFonts w:hint="eastAsia" w:ascii="微软雅黑" w:hAnsi="微软雅黑" w:eastAsia="微软雅黑"/>
          <w:noProof/>
          <w:sz w:val="24"/>
          <w:vertAlign w:val="superscript"/>
        </w:rPr>
        <w:t>[94]</w:t>
      </w:r>
      <w:r>
        <w:rPr>
          <w:rFonts w:hint="eastAsia" w:ascii="微软雅黑" w:hAnsi="微软雅黑" w:eastAsia="微软雅黑"/>
          <w:noProof/>
          <w:sz w:val="24"/>
        </w:rPr>
        <w:t xml:space="preserve">. Companies operating in the extraction and processing of natural resources are increasingly required to demonstrate environmental stewardship and operational efficiency to secure procurement contracts. This shift is prompting industries to integrate advanced technologies, such as artificial intelligence, to optimize resource management, reduce waste, and improve overall supply chain transparency. A sophisticated tender monitoring system can effectively identify procurement opportunities that prioritize these technological and sustainable criteria, thereby enabling forward-thinking firms to gain a competitive advantage.</w:t>
      </w:r>
    </w:p>
    <w:p>
      <w:pPr>
        <w:spacing w:line="288" w:lineRule="auto"/>
        <w:ind w:firstLine="480" w:firstLineChars="200"/>
        <w:jc w:val="both"/>
      </w:pPr>
      <w:r>
        <w:rPr>
          <w:rFonts w:hint="eastAsia" w:ascii="微软雅黑" w:hAnsi="微软雅黑" w:eastAsia="微软雅黑"/>
          <w:noProof/>
          <w:sz w:val="24"/>
        </w:rPr>
        <w:t xml:space="preserve">Legislative and governmental interventions continue to play a foundational role in shaping the procurement landscape within the natural resource sector. Active legislative measures and policy shifts are critical in fostering sectoral alignment, emphasizing the importance of international collaboration and innovation in addressing contemporary resource challenges </w:t>
      </w:r>
      <w:r>
        <w:rPr>
          <w:rFonts w:hint="eastAsia" w:ascii="微软雅黑" w:hAnsi="微软雅黑" w:eastAsia="微软雅黑"/>
          <w:noProof/>
          <w:sz w:val="24"/>
          <w:vertAlign w:val="superscript"/>
        </w:rPr>
        <w:t>[92]</w:t>
      </w:r>
      <w:r>
        <w:rPr>
          <w:rFonts w:hint="eastAsia" w:ascii="微软雅黑" w:hAnsi="微软雅黑" w:eastAsia="微软雅黑"/>
          <w:noProof/>
          <w:sz w:val="24"/>
        </w:rPr>
        <w:t xml:space="preserve">. Global initiatives serve as pertinent models for this alignment; for instance, comprehensive strategies like Canada’s Forest Sector Action Plan demonstrate how government-led measures can successfully modernize operations, adapt to shifting market demands, and integrate stringent environmental considerations into industrial practices </w:t>
      </w:r>
      <w:r>
        <w:rPr>
          <w:rFonts w:hint="eastAsia" w:ascii="微软雅黑" w:hAnsi="微软雅黑" w:eastAsia="微软雅黑"/>
          <w:noProof/>
          <w:sz w:val="24"/>
          <w:vertAlign w:val="superscript"/>
        </w:rPr>
        <w:t>[93]</w:t>
      </w:r>
      <w:r>
        <w:rPr>
          <w:rFonts w:hint="eastAsia" w:ascii="微软雅黑" w:hAnsi="微软雅黑" w:eastAsia="微软雅黑"/>
          <w:noProof/>
          <w:sz w:val="24"/>
        </w:rPr>
        <w:t xml:space="preserve">. Within the South African context, similar policy realignments are anticipated to dictate future procurement criteria, requiring bidders to adhere to rigorous sustainability standards and localized economic development targets. </w:t>
      </w:r>
    </w:p>
    <w:p>
      <w:pPr>
        <w:spacing w:line="288" w:lineRule="auto"/>
        <w:ind w:firstLine="480" w:firstLineChars="200"/>
        <w:jc w:val="both"/>
      </w:pPr>
      <w:r>
        <w:rPr>
          <w:rFonts w:hint="eastAsia" w:ascii="微软雅黑" w:hAnsi="微软雅黑" w:eastAsia="微软雅黑"/>
          <w:noProof/>
          <w:sz w:val="24"/>
        </w:rPr>
        <w:t xml:space="preserve">Ultimately, the strategic alignment of procurement opportunities with the energy and natural resource sectors necessitates a proactive and data-driven approach. The historical reliance on carbon-intensive energy sources is being systematically replaced by a dynamic, multi-faceted procurement environment focused on sustainability and technological integration. The remarkable increase in sustainable energy tenders from 120 in 2020 to 340 in 2024 serves as a quantitative testament to this transition. As private offtake models expand and ESG principles become deeply embedded in natural resource management, the complexity of the procurement landscape will only intensify. A comprehensive tender monitoring system provides the critical intelligence required to navigate this complexity, empowering South African industrial sectors to align their strategic objectives with emerging market realities, thereby ensuring long-term growth, operational resilience, and sustainable development.</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[PDF] BID NO: EO/017/06/2026 - eTenders Portal https://www.etenders.gov.za/home/Download?blobName=42cb0887-1085-4b93-ad99-60c2bd82e6cf.pdf&amp;downloadedFileName=Bid%20Document%20EO-017-06-2026-%20(EO%20Community-based%20Solution).pdf</w:t>
      </w:r>
    </w:p>
    <w:p>
      <w:pPr>
        <w:spacing w:line="288" w:lineRule="auto"/>
        <w:ind w:firstLine="480" w:firstLineChars="200"/>
        <w:jc w:val="both"/>
      </w:pPr>
      <w:r>
        <w:rPr>
          <w:rFonts w:hint="eastAsia" w:ascii="微软雅黑" w:hAnsi="微软雅黑" w:eastAsia="微软雅黑"/>
          <w:noProof/>
          <w:sz w:val="24"/>
        </w:rPr>
        <w:t xml:space="preserve">[2] Treasury Tenders https://www.treasury.go.ke/treasury-tenders</w:t>
      </w:r>
    </w:p>
    <w:p>
      <w:pPr>
        <w:spacing w:line="288" w:lineRule="auto"/>
        <w:ind w:firstLine="480" w:firstLineChars="200"/>
        <w:jc w:val="both"/>
      </w:pPr>
      <w:r>
        <w:rPr>
          <w:rFonts w:hint="eastAsia" w:ascii="微软雅黑" w:hAnsi="微软雅黑" w:eastAsia="微软雅黑"/>
          <w:noProof/>
          <w:sz w:val="24"/>
        </w:rPr>
        <w:t xml:space="preserve">[3] June 2026 Treasury Bill Term Sheet #3 https://www.centralbankbahamas.com/news/t-bill-auction-announcements/june-2026-treasury-bill-term-sheet-3?N=C</w:t>
      </w:r>
    </w:p>
    <w:p>
      <w:pPr>
        <w:spacing w:line="288" w:lineRule="auto"/>
        <w:ind w:firstLine="480" w:firstLineChars="200"/>
        <w:jc w:val="both"/>
      </w:pPr>
      <w:r>
        <w:rPr>
          <w:rFonts w:hint="eastAsia" w:ascii="微软雅黑" w:hAnsi="微软雅黑" w:eastAsia="微软雅黑"/>
          <w:noProof/>
          <w:sz w:val="24"/>
        </w:rPr>
        <w:t xml:space="preserve">[4] [PDF] TERMS OF REFERENCE - EasyTenders https://documents.easytenders.co.za/public/tenders/2026/06/227447/terms-of-reference-national-treasury-eprocurement-system-amended.pdf</w:t>
      </w:r>
    </w:p>
    <w:p>
      <w:pPr>
        <w:spacing w:line="288" w:lineRule="auto"/>
        <w:ind w:firstLine="480" w:firstLineChars="200"/>
        <w:jc w:val="both"/>
      </w:pPr>
      <w:r>
        <w:rPr>
          <w:rFonts w:hint="eastAsia" w:ascii="微软雅黑" w:hAnsi="微软雅黑" w:eastAsia="微软雅黑"/>
          <w:noProof/>
          <w:sz w:val="24"/>
        </w:rPr>
        <w:t xml:space="preserve">[5] Procurement reform raises questions for South Africa's infrastructure ... https://www.pinsentmasons.com/out-law/analysis/south-africa-procurement-reform-infrastructure</w:t>
      </w:r>
    </w:p>
    <w:p>
      <w:pPr>
        <w:spacing w:line="288" w:lineRule="auto"/>
        <w:ind w:firstLine="480" w:firstLineChars="200"/>
        <w:jc w:val="both"/>
      </w:pPr>
      <w:r>
        <w:rPr>
          <w:rFonts w:hint="eastAsia" w:ascii="微软雅黑" w:hAnsi="微软雅黑" w:eastAsia="微软雅黑"/>
          <w:noProof/>
          <w:sz w:val="24"/>
        </w:rPr>
        <w:t xml:space="preserve">[6] The deadline for the submission of public comments on ... - Facebook https://www.facebook.com/ecprovince/posts/the-deadline-for-the-submission-of-public-comments-on-the-draft-general-public-p/1487003156801426/</w:t>
      </w:r>
    </w:p>
    <w:p>
      <w:pPr>
        <w:spacing w:line="288" w:lineRule="auto"/>
        <w:ind w:firstLine="480" w:firstLineChars="200"/>
        <w:jc w:val="both"/>
      </w:pPr>
      <w:r>
        <w:rPr>
          <w:rFonts w:hint="eastAsia" w:ascii="微软雅黑" w:hAnsi="微软雅黑" w:eastAsia="微软雅黑"/>
          <w:noProof/>
          <w:sz w:val="24"/>
        </w:rPr>
        <w:t xml:space="preserve">[7] Geo Quinot – APLU - African Procurement Law Unit https://africanprocurementlaw.org/author/gquinot/</w:t>
      </w:r>
    </w:p>
    <w:p>
      <w:pPr>
        <w:spacing w:line="288" w:lineRule="auto"/>
        <w:ind w:firstLine="480" w:firstLineChars="200"/>
        <w:jc w:val="both"/>
      </w:pPr>
      <w:r>
        <w:rPr>
          <w:rFonts w:hint="eastAsia" w:ascii="微软雅黑" w:hAnsi="微软雅黑" w:eastAsia="微软雅黑"/>
          <w:noProof/>
          <w:sz w:val="24"/>
        </w:rPr>
        <w:t xml:space="preserve">[8] [PDF] Competition and Corruption in Public Procurement – Note by South ... https://one.oecd.org/document/DAF/COMP/WD(2026)85/en/pdf</w:t>
      </w:r>
    </w:p>
    <w:p>
      <w:pPr>
        <w:spacing w:line="288" w:lineRule="auto"/>
        <w:ind w:firstLine="480" w:firstLineChars="200"/>
        <w:jc w:val="both"/>
      </w:pPr>
      <w:r>
        <w:rPr>
          <w:rFonts w:hint="eastAsia" w:ascii="微软雅黑" w:hAnsi="微软雅黑" w:eastAsia="微软雅黑"/>
          <w:noProof/>
          <w:sz w:val="24"/>
        </w:rPr>
        <w:t xml:space="preserve">[9] South Africa Public Procurement Regulations 2026 Drafts Published https://www.linkedin.com/posts/mkhabelahuntley-inc_general-public-procurement-regulations-2026-activity-7452290719463071746-Ve5l</w:t>
      </w:r>
    </w:p>
    <w:p>
      <w:pPr>
        <w:spacing w:line="288" w:lineRule="auto"/>
        <w:ind w:firstLine="480" w:firstLineChars="200"/>
        <w:jc w:val="both"/>
      </w:pPr>
      <w:r>
        <w:rPr>
          <w:rFonts w:hint="eastAsia" w:ascii="微软雅黑" w:hAnsi="微软雅黑" w:eastAsia="微软雅黑"/>
          <w:noProof/>
          <w:sz w:val="24"/>
        </w:rPr>
        <w:t xml:space="preserve">[10] Current Tenders - CIDB https://www.cidb.org.za/cidb-tenders/current-tenders/</w:t>
      </w:r>
    </w:p>
    <w:p>
      <w:pPr>
        <w:spacing w:line="288" w:lineRule="auto"/>
        <w:ind w:firstLine="480" w:firstLineChars="200"/>
        <w:jc w:val="both"/>
      </w:pPr>
      <w:r>
        <w:rPr>
          <w:rFonts w:hint="eastAsia" w:ascii="微软雅黑" w:hAnsi="微软雅黑" w:eastAsia="微软雅黑"/>
          <w:noProof/>
          <w:sz w:val="24"/>
        </w:rPr>
        <w:t xml:space="preserve">[11] Construction Industry Development Board Tenders - 6 Active https://www.tenderflow.co.za/institutions/construction-industry-development-board/</w:t>
      </w:r>
    </w:p>
    <w:p>
      <w:pPr>
        <w:spacing w:line="288" w:lineRule="auto"/>
        <w:ind w:firstLine="480" w:firstLineChars="200"/>
        <w:jc w:val="both"/>
      </w:pPr>
      <w:r>
        <w:rPr>
          <w:rFonts w:hint="eastAsia" w:ascii="微软雅黑" w:hAnsi="微软雅黑" w:eastAsia="微软雅黑"/>
          <w:noProof/>
          <w:sz w:val="24"/>
        </w:rPr>
        <w:t xml:space="preserve">[12] How to Upgrade Your CIDB Grade in 2026: A Western Cape Contr https://www.tenders-sa.org/blog/construction-procurement-guide-2026-06-13</w:t>
      </w:r>
    </w:p>
    <w:p>
      <w:pPr>
        <w:spacing w:line="288" w:lineRule="auto"/>
        <w:ind w:firstLine="480" w:firstLineChars="200"/>
        <w:jc w:val="both"/>
      </w:pPr>
      <w:r>
        <w:rPr>
          <w:rFonts w:hint="eastAsia" w:ascii="微软雅黑" w:hAnsi="微软雅黑" w:eastAsia="微软雅黑"/>
          <w:noProof/>
          <w:sz w:val="24"/>
        </w:rPr>
        <w:t xml:space="preserve">[13] Search Results for Tenders - CIDB https://registers.cidb.org.za/PublicTenders/TenderSearchResults?CoCW=6f769655-7fc6-e111-b050-00155d026b00&amp;TenderValueRange=100000001%20&amp;pageNo=1&amp;TenderType=Tender</w:t>
      </w:r>
    </w:p>
    <w:p>
      <w:pPr>
        <w:spacing w:line="288" w:lineRule="auto"/>
        <w:ind w:firstLine="480" w:firstLineChars="200"/>
        <w:jc w:val="both"/>
      </w:pPr>
      <w:r>
        <w:rPr>
          <w:rFonts w:hint="eastAsia" w:ascii="微软雅黑" w:hAnsi="微软雅黑" w:eastAsia="微软雅黑"/>
          <w:noProof/>
          <w:sz w:val="24"/>
        </w:rPr>
        <w:t xml:space="preserve">[14] Construction Industry Development Board Tender Bulletin https://tenderbulletins.co.za/department-company/construction-industry-development-board/</w:t>
      </w:r>
    </w:p>
    <w:p>
      <w:pPr>
        <w:spacing w:line="288" w:lineRule="auto"/>
        <w:ind w:firstLine="480" w:firstLineChars="200"/>
        <w:jc w:val="both"/>
      </w:pPr>
      <w:r>
        <w:rPr>
          <w:rFonts w:hint="eastAsia" w:ascii="微软雅黑" w:hAnsi="微软雅黑" w:eastAsia="微软雅黑"/>
          <w:noProof/>
          <w:sz w:val="24"/>
        </w:rPr>
        <w:t xml:space="preserve">[15] Video - Facebook https://www.facebook.com/cidbSouthAfrica/videos/%F0%9D%97%96%F0%9D%97%BC%F0%9D%97%BB%F0%9D%98%81%F0%9D%97%BF%F0%9D%97%AE%F0%9D%97%B0%F0%9D%98%81%F0%9D%97%BC%F0%9D%97%BF%F0%9D%97%A7%F0%9D%98%82%F0%9D%97%B2%F0%9D%98%80%F0%9D%97%B1%F0%9D%97%AE%F0%9D%98%86-%F0%9D%97%95%F0%9D%97%BC%F0%9D%97%BC%F0%9D%98%80%F0%9D%98%81-%F0%9D%97%AC%F0%9D%97%BC%F0%9D%98%82%F0%9D%97%BF-%F0%9D%97%96%F0%9D%97%BC%F0%9D%97%BB%F0%9D%98%81%F0%9D%97%BF%F0%9D%97%AE%F0%9D%97%B0%F0%9D%98%81%F0%9D%97%BC%F0%9D%97%BF-%F0%9D%97%9A%F0%9D%97%BF%F0%9D%97%AE%F0%9D%97%B1%F0%9D%97%B6%F0%9D%97%BB%F0%9D%97%B4learn-how-to-meet-cidb-grading-re/919532796738874/</w:t>
      </w:r>
    </w:p>
    <w:p>
      <w:pPr>
        <w:spacing w:line="288" w:lineRule="auto"/>
        <w:ind w:firstLine="480" w:firstLineChars="200"/>
        <w:jc w:val="both"/>
      </w:pPr>
      <w:r>
        <w:rPr>
          <w:rFonts w:hint="eastAsia" w:ascii="微软雅黑" w:hAnsi="微软雅黑" w:eastAsia="微软雅黑"/>
          <w:noProof/>
          <w:sz w:val="24"/>
        </w:rPr>
        <w:t xml:space="preserve">[16] Construction Industry Development Board - Facebook https://www.facebook.com/cidbSouthAfrica/photos/attend-the-%F0%9D%97%9A%F0%9D%97%AE%F0%9D%98%82%F0%9D%98%81%F0%9D%97%B2%F0%9D%97%BB%F0%9D%97%B4-%F0%9D%97%96%F0%9D%97%BC%F0%9D%97%BB%F0%9D%98%81%F0%9D%97%BF%F0%9D%97%AE%F0%9D%97%B0%F0%9D%98%81%F0%9D%97%BC%F0%9D%97%BF-%F0%9D%97%97%F0%9D%97%B2%F0%9D%98%83%F0%9D%97%B2%F0%9D%97%B9%F0%9D%97%BC%F0%9D%97%BD%F0%9D%97%BA%F0%9D%97%B2%F0%9D%97%BB%F0%9D%98%81-%F0%9D%97%A5%F0%9D%97%BC%F0%9D%97%AE%F0%9D%97%B1%F0%9D%98%80%F0%9D%97%B5%F0%9D%97%BC%F0%9D%98%84-%F0%9D%97%BC%F0%9D%97%BB-%F0%9D%97%99%F0%9D%97%BF%F0%9D%97%B6%F0%9D%97%B1%F0%9D%97%AE%F0%9D%98%86-%F0%9D%9F%AE%F0%9D%9F%B2-%F0%9D%97%9D%F0%9D%98%82%F0%9D%97%BB%F0%9D%97%B2-%F0%9D%9F%AE%F0%9D%9F%AC%F0%9D%9F%AE%F0%9D%9F%B2-as-con/1765924061045315/</w:t>
      </w:r>
    </w:p>
    <w:p>
      <w:pPr>
        <w:spacing w:line="288" w:lineRule="auto"/>
        <w:ind w:firstLine="480" w:firstLineChars="200"/>
        <w:jc w:val="both"/>
      </w:pPr>
      <w:r>
        <w:rPr>
          <w:rFonts w:hint="eastAsia" w:ascii="微软雅黑" w:hAnsi="微软雅黑" w:eastAsia="微软雅黑"/>
          <w:noProof/>
          <w:sz w:val="24"/>
        </w:rPr>
        <w:t xml:space="preserve">[17] Most emerging contractors struggle to move up the cidb ... - Instagram https://www.instagram.com/p/DKnLLEFN40G/</w:t>
      </w:r>
    </w:p>
    <w:p>
      <w:pPr>
        <w:spacing w:line="288" w:lineRule="auto"/>
        <w:ind w:firstLine="480" w:firstLineChars="200"/>
        <w:jc w:val="both"/>
      </w:pPr>
      <w:r>
        <w:rPr>
          <w:rFonts w:hint="eastAsia" w:ascii="微软雅黑" w:hAnsi="微软雅黑" w:eastAsia="微软雅黑"/>
          <w:noProof/>
          <w:sz w:val="24"/>
        </w:rPr>
        <w:t xml:space="preserve">[18] Requirements For Grading - CIDB https://www.cidb.org.za/contractors/register-of-contractors/requirements-for-grading/</w:t>
      </w:r>
    </w:p>
    <w:p>
      <w:pPr>
        <w:spacing w:line="288" w:lineRule="auto"/>
        <w:ind w:firstLine="480" w:firstLineChars="200"/>
        <w:jc w:val="both"/>
      </w:pPr>
      <w:r>
        <w:rPr>
          <w:rFonts w:hint="eastAsia" w:ascii="微软雅黑" w:hAnsi="微软雅黑" w:eastAsia="微软雅黑"/>
          <w:noProof/>
          <w:sz w:val="24"/>
        </w:rPr>
        <w:t xml:space="preserve">[19] CIDB Grading Explained for Gauteng Contractors 2026 - LinkedIn https://www.linkedin.com/posts/justicendou_cidb-grading-system-explained-what-every-activity-7449001885354643456-YYgz</w:t>
      </w:r>
    </w:p>
    <w:p>
      <w:pPr>
        <w:spacing w:line="288" w:lineRule="auto"/>
        <w:ind w:firstLine="480" w:firstLineChars="200"/>
        <w:jc w:val="both"/>
      </w:pPr>
      <w:r>
        <w:rPr>
          <w:rFonts w:hint="eastAsia" w:ascii="微软雅黑" w:hAnsi="微软雅黑" w:eastAsia="微软雅黑"/>
          <w:noProof/>
          <w:sz w:val="24"/>
        </w:rPr>
        <w:t xml:space="preserve">[20] Tenders - Eskom https://www.eskom.co.za/tenders/</w:t>
      </w:r>
    </w:p>
    <w:p>
      <w:pPr>
        <w:spacing w:line="288" w:lineRule="auto"/>
        <w:ind w:firstLine="480" w:firstLineChars="200"/>
        <w:jc w:val="both"/>
      </w:pPr>
      <w:r>
        <w:rPr>
          <w:rFonts w:hint="eastAsia" w:ascii="微软雅黑" w:hAnsi="微软雅黑" w:eastAsia="微软雅黑"/>
          <w:noProof/>
          <w:sz w:val="24"/>
        </w:rPr>
        <w:t xml:space="preserve">[21] Eskom Tenders 2026 - Tenders-SA.org https://www.tenders-sa.org/sa-tenders/organizations/eskom-tenders</w:t>
      </w:r>
    </w:p>
    <w:p>
      <w:pPr>
        <w:spacing w:line="288" w:lineRule="auto"/>
        <w:ind w:firstLine="480" w:firstLineChars="200"/>
        <w:jc w:val="both"/>
      </w:pPr>
      <w:r>
        <w:rPr>
          <w:rFonts w:hint="eastAsia" w:ascii="微软雅黑" w:hAnsi="微软雅黑" w:eastAsia="微软雅黑"/>
          <w:noProof/>
          <w:sz w:val="24"/>
        </w:rPr>
        <w:t xml:space="preserve">[22] EskomKZN #SAWICKZN On Friday, 19 June 2026, Eskom KwaZulu ... https://www.facebook.com/EskomSouthAfrica/posts/eskomkzn-sawickznon-friday-19-june-2026-eskom-kwazulu-natal-led-by-the-senior-ma/1430585895780535/</w:t>
      </w:r>
    </w:p>
    <w:p>
      <w:pPr>
        <w:spacing w:line="288" w:lineRule="auto"/>
        <w:ind w:firstLine="480" w:firstLineChars="200"/>
        <w:jc w:val="both"/>
      </w:pPr>
      <w:r>
        <w:rPr>
          <w:rFonts w:hint="eastAsia" w:ascii="微软雅黑" w:hAnsi="微软雅黑" w:eastAsia="微软雅黑"/>
          <w:noProof/>
          <w:sz w:val="24"/>
        </w:rPr>
        <w:t xml:space="preserve">[23] Setting Up CSD for Eskom: A Step-by-Step Guide | TikTok https://www.tiktok.com/@theplatformza/video/7472754596792782086</w:t>
      </w:r>
    </w:p>
    <w:p>
      <w:pPr>
        <w:spacing w:line="288" w:lineRule="auto"/>
        <w:ind w:firstLine="480" w:firstLineChars="200"/>
        <w:jc w:val="both"/>
      </w:pPr>
      <w:r>
        <w:rPr>
          <w:rFonts w:hint="eastAsia" w:ascii="微软雅黑" w:hAnsi="微软雅黑" w:eastAsia="微软雅黑"/>
          <w:noProof/>
          <w:sz w:val="24"/>
        </w:rPr>
        <w:t xml:space="preserve">[24] Eskom Tenders 2026 - ProTenders https://www.protenders.co.za/department/eskom</w:t>
      </w:r>
    </w:p>
    <w:p>
      <w:pPr>
        <w:spacing w:line="288" w:lineRule="auto"/>
        <w:ind w:firstLine="480" w:firstLineChars="200"/>
        <w:jc w:val="both"/>
      </w:pPr>
      <w:r>
        <w:rPr>
          <w:rFonts w:hint="eastAsia" w:ascii="微软雅黑" w:hAnsi="微软雅黑" w:eastAsia="微软雅黑"/>
          <w:noProof/>
          <w:sz w:val="24"/>
        </w:rPr>
        <w:t xml:space="preserve">[25] Solar, Wind, Gas (LPG, Hydrogen) and Other Renewable Energy ... https://tenderbulletins.co.za/tender-category/renewable-energy/</w:t>
      </w:r>
    </w:p>
    <w:p>
      <w:pPr>
        <w:spacing w:line="288" w:lineRule="auto"/>
        <w:ind w:firstLine="480" w:firstLineChars="200"/>
        <w:jc w:val="both"/>
      </w:pPr>
      <w:r>
        <w:rPr>
          <w:rFonts w:hint="eastAsia" w:ascii="微软雅黑" w:hAnsi="微软雅黑" w:eastAsia="微软雅黑"/>
          <w:noProof/>
          <w:sz w:val="24"/>
        </w:rPr>
        <w:t xml:space="preserve">[26] Latest South Africa Renewable Energy Tenders https://www.globaltenders.com/south-africa-renewable-energy-tenders</w:t>
      </w:r>
    </w:p>
    <w:p>
      <w:pPr>
        <w:spacing w:line="288" w:lineRule="auto"/>
        <w:ind w:firstLine="480" w:firstLineChars="200"/>
        <w:jc w:val="both"/>
      </w:pPr>
      <w:r>
        <w:rPr>
          <w:rFonts w:hint="eastAsia" w:ascii="微软雅黑" w:hAnsi="微软雅黑" w:eastAsia="微软雅黑"/>
          <w:noProof/>
          <w:sz w:val="24"/>
        </w:rPr>
        <w:t xml:space="preserve">[27] Tender archive - African Energy https://www.africa-energy.com/news-centre/tender</w:t>
      </w:r>
    </w:p>
    <w:p>
      <w:pPr>
        <w:spacing w:line="288" w:lineRule="auto"/>
        <w:ind w:firstLine="480" w:firstLineChars="200"/>
        <w:jc w:val="both"/>
      </w:pPr>
      <w:r>
        <w:rPr>
          <w:rFonts w:hint="eastAsia" w:ascii="微软雅黑" w:hAnsi="微软雅黑" w:eastAsia="微软雅黑"/>
          <w:noProof/>
          <w:sz w:val="24"/>
        </w:rPr>
        <w:t xml:space="preserve">[28] Solar Tenders Africa https://solartendersworld.com/tender-by-region.aspx?rid=1</w:t>
      </w:r>
    </w:p>
    <w:p>
      <w:pPr>
        <w:spacing w:line="288" w:lineRule="auto"/>
        <w:ind w:firstLine="480" w:firstLineChars="200"/>
        <w:jc w:val="both"/>
      </w:pPr>
      <w:r>
        <w:rPr>
          <w:rFonts w:hint="eastAsia" w:ascii="微软雅黑" w:hAnsi="微软雅黑" w:eastAsia="微软雅黑"/>
          <w:noProof/>
          <w:sz w:val="24"/>
        </w:rPr>
        <w:t xml:space="preserve">[29] Tenders Archives - ESI-Africa.com https://www.esi-africa.com/tenders/</w:t>
      </w:r>
    </w:p>
    <w:p>
      <w:pPr>
        <w:spacing w:line="288" w:lineRule="auto"/>
        <w:ind w:firstLine="480" w:firstLineChars="200"/>
        <w:jc w:val="both"/>
      </w:pPr>
      <w:r>
        <w:rPr>
          <w:rFonts w:hint="eastAsia" w:ascii="微软雅黑" w:hAnsi="微软雅黑" w:eastAsia="微软雅黑"/>
          <w:noProof/>
          <w:sz w:val="24"/>
        </w:rPr>
        <w:t xml:space="preserve">[30] Transnet National Ports Authority Tenders - 50 Active | June 2026 https://www.tenderflow.co.za/institutions/transnet-national-ports-authority/</w:t>
      </w:r>
    </w:p>
    <w:p>
      <w:pPr>
        <w:spacing w:line="288" w:lineRule="auto"/>
        <w:ind w:firstLine="480" w:firstLineChars="200"/>
        <w:jc w:val="both"/>
      </w:pPr>
      <w:r>
        <w:rPr>
          <w:rFonts w:hint="eastAsia" w:ascii="微软雅黑" w:hAnsi="微软雅黑" w:eastAsia="微软雅黑"/>
          <w:noProof/>
          <w:sz w:val="24"/>
        </w:rPr>
        <w:t xml:space="preserve">[31] Advertised Tenders - - TRANSNET E-TENDERS https://transnetetenders.azurewebsites.net/Home/AdvertisedTenders</w:t>
      </w:r>
    </w:p>
    <w:p>
      <w:pPr>
        <w:spacing w:line="288" w:lineRule="auto"/>
        <w:ind w:firstLine="480" w:firstLineChars="200"/>
        <w:jc w:val="both"/>
      </w:pPr>
      <w:r>
        <w:rPr>
          <w:rFonts w:hint="eastAsia" w:ascii="微软雅黑" w:hAnsi="微软雅黑" w:eastAsia="微软雅黑"/>
          <w:noProof/>
          <w:sz w:val="24"/>
        </w:rPr>
        <w:t xml:space="preserve">[32] Transnet Tenders 2026: How to Win Supply Chain &amp; Logistics ... https://www.protenders.co.za/blog/transnet-tenders-2026-supply-chain-logistics</w:t>
      </w:r>
    </w:p>
    <w:p>
      <w:pPr>
        <w:spacing w:line="288" w:lineRule="auto"/>
        <w:ind w:firstLine="480" w:firstLineChars="200"/>
        <w:jc w:val="both"/>
      </w:pPr>
      <w:r>
        <w:rPr>
          <w:rFonts w:hint="eastAsia" w:ascii="微软雅黑" w:hAnsi="微软雅黑" w:eastAsia="微软雅黑"/>
          <w:noProof/>
          <w:sz w:val="24"/>
        </w:rPr>
        <w:t xml:space="preserve">[33] Transnet Tenders 2026 - Tenders-SA.org https://www.tenders-sa.org/sa-tenders/organizations/transnet-tenders</w:t>
      </w:r>
    </w:p>
    <w:p>
      <w:pPr>
        <w:spacing w:line="288" w:lineRule="auto"/>
        <w:ind w:firstLine="480" w:firstLineChars="200"/>
        <w:jc w:val="both"/>
      </w:pPr>
      <w:r>
        <w:rPr>
          <w:rFonts w:hint="eastAsia" w:ascii="微软雅黑" w:hAnsi="微软雅黑" w:eastAsia="微软雅黑"/>
          <w:noProof/>
          <w:sz w:val="24"/>
        </w:rPr>
        <w:t xml:space="preserve">[34] Canoe Procurement adds new contracts for auto parts and logistics https://www.facebook.com/canoeprocurement/posts/were-excited-to-announce-the-june-2026-list-of-new-and-renewed-contracts-added-t/1335041678745388/</w:t>
      </w:r>
    </w:p>
    <w:p>
      <w:pPr>
        <w:spacing w:line="288" w:lineRule="auto"/>
        <w:ind w:firstLine="480" w:firstLineChars="200"/>
        <w:jc w:val="both"/>
      </w:pPr>
      <w:r>
        <w:rPr>
          <w:rFonts w:hint="eastAsia" w:ascii="微软雅黑" w:hAnsi="微软雅黑" w:eastAsia="微软雅黑"/>
          <w:noProof/>
          <w:sz w:val="24"/>
        </w:rPr>
        <w:t xml:space="preserve">[35] Transportation and storage Tenders SA - 5 Open | June 2026 https://www.tenderflow.co.za/categories/transportation-and-storage/</w:t>
      </w:r>
    </w:p>
    <w:p>
      <w:pPr>
        <w:spacing w:line="288" w:lineRule="auto"/>
        <w:ind w:firstLine="480" w:firstLineChars="200"/>
        <w:jc w:val="both"/>
      </w:pPr>
      <w:r>
        <w:rPr>
          <w:rFonts w:hint="eastAsia" w:ascii="微软雅黑" w:hAnsi="微软雅黑" w:eastAsia="微软雅黑"/>
          <w:noProof/>
          <w:sz w:val="24"/>
        </w:rPr>
        <w:t xml:space="preserve">[36] South Africa Tenders 2026 | Live Government Bids - Tendersinfo https://www.tendersinfo.com/global-south-africa-tenders.php</w:t>
      </w:r>
    </w:p>
    <w:p>
      <w:pPr>
        <w:spacing w:line="288" w:lineRule="auto"/>
        <w:ind w:firstLine="480" w:firstLineChars="200"/>
        <w:jc w:val="both"/>
      </w:pPr>
      <w:r>
        <w:rPr>
          <w:rFonts w:hint="eastAsia" w:ascii="微软雅黑" w:hAnsi="微软雅黑" w:eastAsia="微软雅黑"/>
          <w:noProof/>
          <w:sz w:val="24"/>
        </w:rPr>
        <w:t xml:space="preserve">[37] Transportation Tenders https://tenderbulletins.co.za/tender-category/transportation-and-storage/</w:t>
      </w:r>
    </w:p>
    <w:p>
      <w:pPr>
        <w:spacing w:line="288" w:lineRule="auto"/>
        <w:ind w:firstLine="480" w:firstLineChars="200"/>
        <w:jc w:val="both"/>
      </w:pPr>
      <w:r>
        <w:rPr>
          <w:rFonts w:hint="eastAsia" w:ascii="微软雅黑" w:hAnsi="微软雅黑" w:eastAsia="微软雅黑"/>
          <w:noProof/>
          <w:sz w:val="24"/>
        </w:rPr>
        <w:t xml:space="preserve">[38] RFP &amp; RFQ Procurement | Development Bank of Southern Africa https://www.dbsa.org/procurement</w:t>
      </w:r>
    </w:p>
    <w:p>
      <w:pPr>
        <w:spacing w:line="288" w:lineRule="auto"/>
        <w:ind w:firstLine="480" w:firstLineChars="200"/>
        <w:jc w:val="both"/>
      </w:pPr>
      <w:r>
        <w:rPr>
          <w:rFonts w:hint="eastAsia" w:ascii="微软雅黑" w:hAnsi="微软雅黑" w:eastAsia="微软雅黑"/>
          <w:noProof/>
          <w:sz w:val="24"/>
        </w:rPr>
        <w:t xml:space="preserve">[39] Transport: people tenders in South Africa - TenderAlerts https://tenderalerts.co.za/categories/view/61/Transport-people</w:t>
      </w:r>
    </w:p>
    <w:p>
      <w:pPr>
        <w:spacing w:line="288" w:lineRule="auto"/>
        <w:ind w:firstLine="480" w:firstLineChars="200"/>
        <w:jc w:val="both"/>
      </w:pPr>
      <w:r>
        <w:rPr>
          <w:rFonts w:hint="eastAsia" w:ascii="微软雅黑" w:hAnsi="微软雅黑" w:eastAsia="微软雅黑"/>
          <w:noProof/>
          <w:sz w:val="24"/>
        </w:rPr>
        <w:t xml:space="preserve">[40] USA Mining Tenders, Bids &amp; RFPs 2026 - TendersOnTime https://www.tendersontime.com/usa-tenders/mining-tenders/</w:t>
      </w:r>
    </w:p>
    <w:p>
      <w:pPr>
        <w:spacing w:line="288" w:lineRule="auto"/>
        <w:ind w:firstLine="480" w:firstLineChars="200"/>
        <w:jc w:val="both"/>
      </w:pPr>
      <w:r>
        <w:rPr>
          <w:rFonts w:hint="eastAsia" w:ascii="微软雅黑" w:hAnsi="微软雅黑" w:eastAsia="微软雅黑"/>
          <w:noProof/>
          <w:sz w:val="24"/>
        </w:rPr>
        <w:t xml:space="preserve">[41] Open Tenders – MHSC - Mine Health and Safety Council https://mhsc.org.za/open-tenders/</w:t>
      </w:r>
    </w:p>
    <w:p>
      <w:pPr>
        <w:spacing w:line="288" w:lineRule="auto"/>
        <w:ind w:firstLine="480" w:firstLineChars="200"/>
        <w:jc w:val="both"/>
      </w:pPr>
      <w:r>
        <w:rPr>
          <w:rFonts w:hint="eastAsia" w:ascii="微软雅黑" w:hAnsi="微软雅黑" w:eastAsia="微软雅黑"/>
          <w:noProof/>
          <w:sz w:val="24"/>
        </w:rPr>
        <w:t xml:space="preserve">[42] Currently running tenders | IUCN https://iucn.org/procurement/currently-running-tenders</w:t>
      </w:r>
    </w:p>
    <w:p>
      <w:pPr>
        <w:spacing w:line="288" w:lineRule="auto"/>
        <w:ind w:firstLine="480" w:firstLineChars="200"/>
        <w:jc w:val="both"/>
      </w:pPr>
      <w:r>
        <w:rPr>
          <w:rFonts w:hint="eastAsia" w:ascii="微软雅黑" w:hAnsi="微软雅黑" w:eastAsia="微软雅黑"/>
          <w:noProof/>
          <w:sz w:val="24"/>
        </w:rPr>
        <w:t xml:space="preserve">[43] Minerals and Mining Sector Tenders 2026 | Live Government Bids https://www.tendersinfo.com/global-mining-tenders.php</w:t>
      </w:r>
    </w:p>
    <w:p>
      <w:pPr>
        <w:spacing w:line="288" w:lineRule="auto"/>
        <w:ind w:firstLine="480" w:firstLineChars="200"/>
        <w:jc w:val="both"/>
      </w:pPr>
      <w:r>
        <w:rPr>
          <w:rFonts w:hint="eastAsia" w:ascii="微软雅黑" w:hAnsi="微软雅黑" w:eastAsia="微软雅黑"/>
          <w:noProof/>
          <w:sz w:val="24"/>
        </w:rPr>
        <w:t xml:space="preserve">[44] APPOINTMENT OF A SERVICE PROVIDER TO UNDERTAKE ... https://www.tenders-sa.org/sa-tenders/tender/mhsc016-2026-26-appointment-of-a-service-provider-to-undertake-research-project-coe-240501-investiga-cmqsc6ap22fcwknsgc6485lci</w:t>
      </w:r>
    </w:p>
    <w:p>
      <w:pPr>
        <w:spacing w:line="288" w:lineRule="auto"/>
        <w:ind w:firstLine="480" w:firstLineChars="200"/>
        <w:jc w:val="both"/>
      </w:pPr>
      <w:r>
        <w:rPr>
          <w:rFonts w:hint="eastAsia" w:ascii="微软雅黑" w:hAnsi="微软雅黑" w:eastAsia="微软雅黑"/>
          <w:noProof/>
          <w:sz w:val="24"/>
        </w:rPr>
        <w:t xml:space="preserve">[47] South Africa Renewable Energy Tenders, Bids &amp; RFPs 2026 https://www.tendersontime.com/south-africa-tenders/renewable-energy-tenders/</w:t>
      </w:r>
    </w:p>
    <w:p>
      <w:pPr>
        <w:spacing w:line="288" w:lineRule="auto"/>
        <w:ind w:firstLine="480" w:firstLineChars="200"/>
        <w:jc w:val="both"/>
      </w:pPr>
      <w:r>
        <w:rPr>
          <w:rFonts w:hint="eastAsia" w:ascii="微软雅黑" w:hAnsi="微软雅黑" w:eastAsia="微软雅黑"/>
          <w:noProof/>
          <w:sz w:val="24"/>
        </w:rPr>
        <w:t xml:space="preserve">[50] Bids - Armscor - Armaments Corporation of South Africa SOC Ltd https://www.armscor.co.za/tenders/</w:t>
      </w:r>
    </w:p>
    <w:p>
      <w:pPr>
        <w:spacing w:line="288" w:lineRule="auto"/>
        <w:ind w:firstLine="480" w:firstLineChars="200"/>
        <w:jc w:val="both"/>
      </w:pPr>
      <w:r>
        <w:rPr>
          <w:rFonts w:hint="eastAsia" w:ascii="微软雅黑" w:hAnsi="微软雅黑" w:eastAsia="微软雅黑"/>
          <w:noProof/>
          <w:sz w:val="24"/>
        </w:rPr>
        <w:t xml:space="preserve">[51] ARMSCOR Tender Bulletin https://tenderbulletins.co.za/department-company/armscor/</w:t>
      </w:r>
    </w:p>
    <w:p>
      <w:pPr>
        <w:spacing w:line="288" w:lineRule="auto"/>
        <w:ind w:firstLine="480" w:firstLineChars="200"/>
        <w:jc w:val="both"/>
      </w:pPr>
      <w:r>
        <w:rPr>
          <w:rFonts w:hint="eastAsia" w:ascii="微软雅黑" w:hAnsi="微软雅黑" w:eastAsia="微软雅黑"/>
          <w:noProof/>
          <w:sz w:val="24"/>
        </w:rPr>
        <w:t xml:space="preserve">[52] Armscor - Security and...: Eict/2026/02 - ProTenders https://www.protenders.co.za/tender/expression-of-interest-identification-of-strategic-cybersecurity-technology-and-ocds-9t57fa-155141</w:t>
      </w:r>
    </w:p>
    <w:p>
      <w:pPr>
        <w:spacing w:line="288" w:lineRule="auto"/>
        <w:ind w:firstLine="480" w:firstLineChars="200"/>
        <w:jc w:val="both"/>
      </w:pPr>
      <w:r>
        <w:rPr>
          <w:rFonts w:hint="eastAsia" w:ascii="微软雅黑" w:hAnsi="微软雅黑" w:eastAsia="微软雅黑"/>
          <w:noProof/>
          <w:sz w:val="24"/>
        </w:rPr>
        <w:t xml:space="preserve">[53] Armaments Corporation of South Africa SOC Ltd (ARMSCOR) Tenders https://www.tenderflow.co.za/institutions/armaments-corporation-of-south-africa-soc-ltd-armscor/</w:t>
      </w:r>
    </w:p>
    <w:p>
      <w:pPr>
        <w:spacing w:line="288" w:lineRule="auto"/>
        <w:ind w:firstLine="480" w:firstLineChars="200"/>
        <w:jc w:val="both"/>
      </w:pPr>
      <w:r>
        <w:rPr>
          <w:rFonts w:hint="eastAsia" w:ascii="微软雅黑" w:hAnsi="微软雅黑" w:eastAsia="微软雅黑"/>
          <w:noProof/>
          <w:sz w:val="24"/>
        </w:rPr>
        <w:t xml:space="preserve">[54] Seventy-one Armscor tenders planned to April 2022 - DefenceWeb https://defenceweb.co.za/featured/seventy-one-armscor-tenders-planned-to-april-2022/</w:t>
      </w:r>
    </w:p>
    <w:p>
      <w:pPr>
        <w:spacing w:line="288" w:lineRule="auto"/>
        <w:ind w:firstLine="480" w:firstLineChars="200"/>
        <w:jc w:val="both"/>
      </w:pPr>
      <w:r>
        <w:rPr>
          <w:rFonts w:hint="eastAsia" w:ascii="微软雅黑" w:hAnsi="微软雅黑" w:eastAsia="微软雅黑"/>
          <w:noProof/>
          <w:sz w:val="24"/>
        </w:rPr>
        <w:t xml:space="preserve">[56] Latest tenders | Government Communication and Information ... https://www.gcis.gov.za/content/latest-tenders</w:t>
      </w:r>
    </w:p>
    <w:p>
      <w:pPr>
        <w:spacing w:line="288" w:lineRule="auto"/>
        <w:ind w:firstLine="480" w:firstLineChars="200"/>
        <w:jc w:val="both"/>
      </w:pPr>
      <w:r>
        <w:rPr>
          <w:rFonts w:hint="eastAsia" w:ascii="微软雅黑" w:hAnsi="微软雅黑" w:eastAsia="微软雅黑"/>
          <w:noProof/>
          <w:sz w:val="24"/>
        </w:rPr>
        <w:t xml:space="preserve">[58] Latest 2026 South Africa Tenders &amp; Government Contracts https://tenderimpulse.com/south-africa-tenders</w:t>
      </w:r>
    </w:p>
    <w:p>
      <w:pPr>
        <w:spacing w:line="288" w:lineRule="auto"/>
        <w:ind w:firstLine="480" w:firstLineChars="200"/>
        <w:jc w:val="both"/>
      </w:pPr>
      <w:r>
        <w:rPr>
          <w:rFonts w:hint="eastAsia" w:ascii="微软雅黑" w:hAnsi="微软雅黑" w:eastAsia="微软雅黑"/>
          <w:noProof/>
          <w:sz w:val="24"/>
        </w:rPr>
        <w:t xml:space="preserve">[59] South Africa Government Tenders, SA Tenders, Tenders in Gauteng https://www.tendersontime.com/south-africa-tenders/</w:t>
      </w:r>
    </w:p>
    <w:p>
      <w:pPr>
        <w:spacing w:line="288" w:lineRule="auto"/>
        <w:ind w:firstLine="480" w:firstLineChars="200"/>
        <w:jc w:val="both"/>
      </w:pPr>
      <w:r>
        <w:rPr>
          <w:rFonts w:hint="eastAsia" w:ascii="微软雅黑" w:hAnsi="微软雅黑" w:eastAsia="微软雅黑"/>
          <w:noProof/>
          <w:sz w:val="24"/>
        </w:rPr>
        <w:t xml:space="preserve">[61] Tenders - IDC https://www.idc.co.za/tenders/</w:t>
      </w:r>
    </w:p>
    <w:p>
      <w:pPr>
        <w:spacing w:line="288" w:lineRule="auto"/>
        <w:ind w:firstLine="480" w:firstLineChars="200"/>
        <w:jc w:val="both"/>
      </w:pPr>
      <w:r>
        <w:rPr>
          <w:rFonts w:hint="eastAsia" w:ascii="微软雅黑" w:hAnsi="微软雅黑" w:eastAsia="微软雅黑"/>
          <w:noProof/>
          <w:sz w:val="24"/>
        </w:rPr>
        <w:t xml:space="preserve">[63] Latest South Africa Construction Materials Tenders https://www.globaltenders.com/south-africa-construction-materials-tenders</w:t>
      </w:r>
    </w:p>
    <w:p>
      <w:pPr>
        <w:spacing w:line="288" w:lineRule="auto"/>
        <w:ind w:firstLine="480" w:firstLineChars="200"/>
        <w:jc w:val="both"/>
      </w:pPr>
      <w:r>
        <w:rPr>
          <w:rFonts w:hint="eastAsia" w:ascii="微软雅黑" w:hAnsi="微软雅黑" w:eastAsia="微软雅黑"/>
          <w:noProof/>
          <w:sz w:val="24"/>
        </w:rPr>
        <w:t xml:space="preserve">[65] Contract Opportunities - GPO.gov https://www.gpo.gov/how-to-work-with-us/vendors/contract-opportunities</w:t>
      </w:r>
    </w:p>
    <w:p>
      <w:pPr>
        <w:spacing w:line="288" w:lineRule="auto"/>
        <w:ind w:firstLine="480" w:firstLineChars="200"/>
        <w:jc w:val="both"/>
      </w:pPr>
      <w:r>
        <w:rPr>
          <w:rFonts w:hint="eastAsia" w:ascii="微软雅黑" w:hAnsi="微软雅黑" w:eastAsia="微软雅黑"/>
          <w:noProof/>
          <w:sz w:val="24"/>
        </w:rPr>
        <w:t xml:space="preserve">[66] Contract Opportunities - SAM.gov https://sam.gov/opportunities</w:t>
      </w:r>
    </w:p>
    <w:p>
      <w:pPr>
        <w:spacing w:line="288" w:lineRule="auto"/>
        <w:ind w:firstLine="480" w:firstLineChars="200"/>
        <w:jc w:val="both"/>
      </w:pPr>
      <w:r>
        <w:rPr>
          <w:rFonts w:hint="eastAsia" w:ascii="微软雅黑" w:hAnsi="微软雅黑" w:eastAsia="微软雅黑"/>
          <w:noProof/>
          <w:sz w:val="24"/>
        </w:rPr>
        <w:t xml:space="preserve">[67] The G2X Daily Federal Market Brief | June 23, 2026 https://g2xchange.com/blog/daily-government-market-intelligence-06-23-2026</w:t>
      </w:r>
    </w:p>
    <w:p>
      <w:pPr>
        <w:spacing w:line="288" w:lineRule="auto"/>
        <w:ind w:firstLine="480" w:firstLineChars="200"/>
        <w:jc w:val="both"/>
      </w:pPr>
      <w:r>
        <w:rPr>
          <w:rFonts w:hint="eastAsia" w:ascii="微软雅黑" w:hAnsi="微软雅黑" w:eastAsia="微软雅黑"/>
          <w:noProof/>
          <w:sz w:val="24"/>
        </w:rPr>
        <w:t xml:space="preserve">[68] Fiscal Year 2026+ Forecast of Contract Opportunities https://home.treasury.gov/policy-issues/small-business-programs/small-and-disadvantaged-business-utilization/forecast-of-contract-opportunities/fiscal-year-2026-forecast-of-contract-opportunities</w:t>
      </w:r>
    </w:p>
    <w:p>
      <w:pPr>
        <w:spacing w:line="288" w:lineRule="auto"/>
        <w:ind w:firstLine="480" w:firstLineChars="200"/>
        <w:jc w:val="both"/>
      </w:pPr>
      <w:r>
        <w:rPr>
          <w:rFonts w:hint="eastAsia" w:ascii="微软雅黑" w:hAnsi="微软雅黑" w:eastAsia="微软雅黑"/>
          <w:noProof/>
          <w:sz w:val="24"/>
        </w:rPr>
        <w:t xml:space="preserve">[69] Federal Procurement Events | NVSBC https://nvsbc.org/federal-procurement-events/</w:t>
      </w:r>
    </w:p>
    <w:p>
      <w:pPr>
        <w:spacing w:line="288" w:lineRule="auto"/>
        <w:ind w:firstLine="480" w:firstLineChars="200"/>
        <w:jc w:val="both"/>
      </w:pPr>
      <w:r>
        <w:rPr>
          <w:rFonts w:hint="eastAsia" w:ascii="微软雅黑" w:hAnsi="微软雅黑" w:eastAsia="微软雅黑"/>
          <w:noProof/>
          <w:sz w:val="24"/>
        </w:rPr>
        <w:t xml:space="preserve">[70] How to become a supplier - Anglo American https://www.angloamerican.com/suppliers/how-to-become-a-supplier</w:t>
      </w:r>
    </w:p>
    <w:p>
      <w:pPr>
        <w:spacing w:line="288" w:lineRule="auto"/>
        <w:ind w:firstLine="480" w:firstLineChars="200"/>
        <w:jc w:val="both"/>
      </w:pPr>
      <w:r>
        <w:rPr>
          <w:rFonts w:hint="eastAsia" w:ascii="微软雅黑" w:hAnsi="微软雅黑" w:eastAsia="微软雅黑"/>
          <w:noProof/>
          <w:sz w:val="24"/>
        </w:rPr>
        <w:t xml:space="preserve">[71] Suppliers | Valterra Platinum https://www.valterraplatinum.com/suppliers/</w:t>
      </w:r>
    </w:p>
    <w:p>
      <w:pPr>
        <w:spacing w:line="288" w:lineRule="auto"/>
        <w:ind w:firstLine="480" w:firstLineChars="200"/>
        <w:jc w:val="both"/>
      </w:pPr>
      <w:r>
        <w:rPr>
          <w:rFonts w:hint="eastAsia" w:ascii="微软雅黑" w:hAnsi="微软雅黑" w:eastAsia="微软雅黑"/>
          <w:noProof/>
          <w:sz w:val="24"/>
        </w:rPr>
        <w:t xml:space="preserve">[72] Supplier registration :: RioTinto Africa - Buy Local https://www.riotintobuylocal-africa.com/supplier_registration/714600ca</w:t>
      </w:r>
    </w:p>
    <w:p>
      <w:pPr>
        <w:spacing w:line="288" w:lineRule="auto"/>
        <w:ind w:firstLine="480" w:firstLineChars="200"/>
        <w:jc w:val="both"/>
      </w:pPr>
      <w:r>
        <w:rPr>
          <w:rFonts w:hint="eastAsia" w:ascii="微软雅黑" w:hAnsi="微软雅黑" w:eastAsia="微软雅黑"/>
          <w:noProof/>
          <w:sz w:val="24"/>
        </w:rPr>
        <w:t xml:space="preserve">[73] Register as a prospective supplier - Implats https://www.implats.co.za/south-african-prospective-supplier.php</w:t>
      </w:r>
    </w:p>
    <w:p>
      <w:pPr>
        <w:spacing w:line="288" w:lineRule="auto"/>
        <w:ind w:firstLine="480" w:firstLineChars="200"/>
        <w:jc w:val="both"/>
      </w:pPr>
      <w:r>
        <w:rPr>
          <w:rFonts w:hint="eastAsia" w:ascii="微软雅黑" w:hAnsi="微软雅黑" w:eastAsia="微软雅黑"/>
          <w:noProof/>
          <w:sz w:val="24"/>
        </w:rPr>
        <w:t xml:space="preserve">[74] Buy Local Africa | Global - Rio Tinto https://www.riotinto.com/en/about/suppliers/local-suppliers/buy-local-africa</w:t>
      </w:r>
    </w:p>
    <w:p>
      <w:pPr>
        <w:spacing w:line="288" w:lineRule="auto"/>
        <w:ind w:firstLine="480" w:firstLineChars="200"/>
        <w:jc w:val="both"/>
      </w:pPr>
      <w:r>
        <w:rPr>
          <w:rFonts w:hint="eastAsia" w:ascii="微软雅黑" w:hAnsi="微软雅黑" w:eastAsia="微软雅黑"/>
          <w:noProof/>
          <w:sz w:val="24"/>
        </w:rPr>
        <w:t xml:space="preserve">[75] 2026 Mining and Metals Industry Outlook | Deloitte Insights https://www.deloitte.com/us/en/insights/industry/mining-metals/mining-and-metals-industry-outlook.html</w:t>
      </w:r>
    </w:p>
    <w:p>
      <w:pPr>
        <w:spacing w:line="288" w:lineRule="auto"/>
        <w:ind w:firstLine="480" w:firstLineChars="200"/>
        <w:jc w:val="both"/>
      </w:pPr>
      <w:r>
        <w:rPr>
          <w:rFonts w:hint="eastAsia" w:ascii="微软雅黑" w:hAnsi="微软雅黑" w:eastAsia="微软雅黑"/>
          <w:noProof/>
          <w:sz w:val="24"/>
        </w:rPr>
        <w:t xml:space="preserve">[76] Mining &amp; metals 2026: Adapting to a policy-driven business cycle https://www.whitecase.com/insight-our-thinking/mining-metals-2026-adapting-policy-driven-business-cycle</w:t>
      </w:r>
    </w:p>
    <w:p>
      <w:pPr>
        <w:spacing w:line="288" w:lineRule="auto"/>
        <w:ind w:firstLine="480" w:firstLineChars="200"/>
        <w:jc w:val="both"/>
      </w:pPr>
      <w:r>
        <w:rPr>
          <w:rFonts w:hint="eastAsia" w:ascii="微软雅黑" w:hAnsi="微软雅黑" w:eastAsia="微软雅黑"/>
          <w:noProof/>
          <w:sz w:val="24"/>
        </w:rPr>
        <w:t xml:space="preserve">[77] Top 10 Mining Trends to Watch in 2026 - The Assay https://www.theassay.com/articles/top-10-mining-trends-to-watch-in-2026/</w:t>
      </w:r>
    </w:p>
    <w:p>
      <w:pPr>
        <w:spacing w:line="288" w:lineRule="auto"/>
        <w:ind w:firstLine="480" w:firstLineChars="200"/>
        <w:jc w:val="both"/>
      </w:pPr>
      <w:r>
        <w:rPr>
          <w:rFonts w:hint="eastAsia" w:ascii="微软雅黑" w:hAnsi="微软雅黑" w:eastAsia="微软雅黑"/>
          <w:noProof/>
          <w:sz w:val="24"/>
        </w:rPr>
        <w:t xml:space="preserve">[78] Supply chain issues impacting the mining industry - YouTube https://www.youtube.com/watch?v=qXAKjNBRNnY</w:t>
      </w:r>
    </w:p>
    <w:p>
      <w:pPr>
        <w:spacing w:line="288" w:lineRule="auto"/>
        <w:ind w:firstLine="480" w:firstLineChars="200"/>
        <w:jc w:val="both"/>
      </w:pPr>
      <w:r>
        <w:rPr>
          <w:rFonts w:hint="eastAsia" w:ascii="微软雅黑" w:hAnsi="微软雅黑" w:eastAsia="微软雅黑"/>
          <w:noProof/>
          <w:sz w:val="24"/>
        </w:rPr>
        <w:t xml:space="preserve">[79] Ten major mining tech trends in 2026: Part 2 | Resourcing Tomorrow 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[80] The IDC supports development of a globally competitive mining ... https://www.instagram.com/reel/DUVInOPAV9V/</w:t>
      </w:r>
    </w:p>
    <w:p>
      <w:pPr>
        <w:spacing w:line="288" w:lineRule="auto"/>
        <w:ind w:firstLine="480" w:firstLineChars="200"/>
        <w:jc w:val="both"/>
      </w:pPr>
      <w:r>
        <w:rPr>
          <w:rFonts w:hint="eastAsia" w:ascii="微软雅黑" w:hAnsi="微软雅黑" w:eastAsia="微软雅黑"/>
          <w:noProof/>
          <w:sz w:val="24"/>
        </w:rPr>
        <w:t xml:space="preserve">[81] Mining Conferences Africa 2026 - the International Commodity ... https://internationalcommoditysummit.com/2026/02/23/mining-conferences-africa-2026-the-international-commodity-summit-2026-in-south-africa/?srsltid=AfmBOornBDxGT5W7AOx3UXI01pJDaFHMKWuR5LWsJPMWW-DsyxDe4g8N</w:t>
      </w:r>
    </w:p>
    <w:p>
      <w:pPr>
        <w:spacing w:line="288" w:lineRule="auto"/>
        <w:ind w:firstLine="480" w:firstLineChars="200"/>
        <w:jc w:val="both"/>
      </w:pPr>
      <w:r>
        <w:rPr>
          <w:rFonts w:hint="eastAsia" w:ascii="微软雅黑" w:hAnsi="微软雅黑" w:eastAsia="微软雅黑"/>
          <w:noProof/>
          <w:sz w:val="24"/>
        </w:rPr>
        <w:t xml:space="preserve">[82] Mining Indaba | African Mining Conference | 8-11 Feb 2027 | Cape ... https://miningindaba.com/home</w:t>
      </w:r>
    </w:p>
    <w:p>
      <w:pPr>
        <w:spacing w:line="288" w:lineRule="auto"/>
        <w:ind w:firstLine="480" w:firstLineChars="200"/>
        <w:jc w:val="both"/>
      </w:pPr>
      <w:r>
        <w:rPr>
          <w:rFonts w:hint="eastAsia" w:ascii="微软雅黑" w:hAnsi="微软雅黑" w:eastAsia="微软雅黑"/>
          <w:noProof/>
          <w:sz w:val="24"/>
        </w:rPr>
        <w:t xml:space="preserve">[83] The European Union has launched its first investment roadshow in ... https://www.instagram.com/p/DZI219Dlkc4/</w:t>
      </w:r>
    </w:p>
    <w:p>
      <w:pPr>
        <w:spacing w:line="288" w:lineRule="auto"/>
        <w:ind w:firstLine="480" w:firstLineChars="200"/>
        <w:jc w:val="both"/>
      </w:pPr>
      <w:r>
        <w:rPr>
          <w:rFonts w:hint="eastAsia" w:ascii="微软雅黑" w:hAnsi="微软雅黑" w:eastAsia="微软雅黑"/>
          <w:noProof/>
          <w:sz w:val="24"/>
        </w:rPr>
        <w:t xml:space="preserve">[84] Commodities Update June 2026 - Westpac IQ https://www.westpaciq.com.au/economics/2026/06/commodities-update-june-2026</w:t>
      </w:r>
    </w:p>
    <w:p>
      <w:pPr>
        <w:spacing w:line="288" w:lineRule="auto"/>
        <w:ind w:firstLine="480" w:firstLineChars="200"/>
        <w:jc w:val="both"/>
      </w:pPr>
      <w:r>
        <w:rPr>
          <w:rFonts w:hint="eastAsia" w:ascii="微软雅黑" w:hAnsi="微软雅黑" w:eastAsia="微软雅黑"/>
          <w:noProof/>
          <w:sz w:val="24"/>
        </w:rPr>
        <w:t xml:space="preserve">[86] Ten major mining tech trends in 2026: Part 1 https://minesandmoney.com/news/industry/ten-major-mining-tech-trends-in-2026-part-1</w:t>
      </w:r>
    </w:p>
    <w:p>
      <w:pPr>
        <w:spacing w:line="288" w:lineRule="auto"/>
        <w:ind w:firstLine="480" w:firstLineChars="200"/>
        <w:jc w:val="both"/>
      </w:pPr>
      <w:r>
        <w:rPr>
          <w:rFonts w:hint="eastAsia" w:ascii="微软雅黑" w:hAnsi="微软雅黑" w:eastAsia="微软雅黑"/>
          <w:noProof/>
          <w:sz w:val="24"/>
        </w:rPr>
        <w:t xml:space="preserve">[87] Veralogix &amp; Mahindra: A Partnership Driving Mining Excellence ... https://www.instagram.com/reel/DMK2kDKPOlE/</w:t>
      </w:r>
    </w:p>
    <w:p>
      <w:pPr>
        <w:spacing w:line="288" w:lineRule="auto"/>
        <w:ind w:firstLine="480" w:firstLineChars="200"/>
        <w:jc w:val="both"/>
      </w:pPr>
      <w:r>
        <w:rPr>
          <w:rFonts w:hint="eastAsia" w:ascii="微软雅黑" w:hAnsi="微软雅黑" w:eastAsia="微软雅黑"/>
          <w:noProof/>
          <w:sz w:val="24"/>
        </w:rPr>
        <w:t xml:space="preserve">[88] 8 mining process trends for 2026 | Malvern Panalytical https://www.malvernpanalytical.com/en/learn/knowledge-center/insights/8-mining-trends-for-2026</w:t>
      </w:r>
    </w:p>
    <w:p>
      <w:pPr>
        <w:spacing w:line="288" w:lineRule="auto"/>
        <w:ind w:firstLine="480" w:firstLineChars="200"/>
        <w:jc w:val="both"/>
      </w:pPr>
      <w:r>
        <w:rPr>
          <w:rFonts w:hint="eastAsia" w:ascii="微软雅黑" w:hAnsi="微软雅黑" w:eastAsia="微软雅黑"/>
          <w:noProof/>
          <w:sz w:val="24"/>
        </w:rPr>
        <w:t xml:space="preserve">[89] Magazine round up | 19 June 2026 - YouTube https://www.youtube.com/watch?v=lL2UNSmK_AI</w:t>
      </w:r>
    </w:p>
    <w:p>
      <w:pPr>
        <w:spacing w:line="288" w:lineRule="auto"/>
        <w:ind w:firstLine="480" w:firstLineChars="200"/>
        <w:jc w:val="both"/>
      </w:pPr>
      <w:r>
        <w:rPr>
          <w:rFonts w:hint="eastAsia" w:ascii="微软雅黑" w:hAnsi="微软雅黑" w:eastAsia="微软雅黑"/>
          <w:noProof/>
          <w:sz w:val="24"/>
        </w:rPr>
        <w:t xml:space="preserve">[90] Energy Procurement Trends &amp; Challenges 2026 - Inverto https://inverto.com/en/insights/energy-procurement-trends-challenges-2026/</w:t>
      </w:r>
    </w:p>
    <w:p>
      <w:pPr>
        <w:spacing w:line="288" w:lineRule="auto"/>
        <w:ind w:firstLine="480" w:firstLineChars="200"/>
        <w:jc w:val="both"/>
      </w:pPr>
      <w:r>
        <w:rPr>
          <w:rFonts w:hint="eastAsia" w:ascii="微软雅黑" w:hAnsi="微软雅黑" w:eastAsia="微软雅黑"/>
          <w:noProof/>
          <w:sz w:val="24"/>
        </w:rPr>
        <w:t xml:space="preserve">[91] Navigating the 2026 Energy Landscape: A Strategic Analysis of ... https://www.linkedin.com/pulse/navigating-2026-energy-landscape-strategic-analysis-south-deane-yf0nf</w:t>
      </w:r>
    </w:p>
    <w:p>
      <w:pPr>
        <w:spacing w:line="288" w:lineRule="auto"/>
        <w:ind w:firstLine="480" w:firstLineChars="200"/>
        <w:jc w:val="both"/>
      </w:pPr>
      <w:r>
        <w:rPr>
          <w:rFonts w:hint="eastAsia" w:ascii="微软雅黑" w:hAnsi="微软雅黑" w:eastAsia="微软雅黑"/>
          <w:noProof/>
          <w:sz w:val="24"/>
        </w:rPr>
        <w:t xml:space="preserve">[92] [PDF] SOUTH AFRICA'S ENERGY OUTLOOK: - Webber Wentzel https://www.webberwentzel.com/News/Documents/2026/south-africa-energy-outlook-2025-developments-2026-expectations.pdf</w:t>
      </w:r>
    </w:p>
    <w:p>
      <w:pPr>
        <w:spacing w:line="288" w:lineRule="auto"/>
        <w:ind w:firstLine="480" w:firstLineChars="200"/>
        <w:jc w:val="both"/>
      </w:pPr>
      <w:r>
        <w:rPr>
          <w:rFonts w:hint="eastAsia" w:ascii="微软雅黑" w:hAnsi="微软雅黑" w:eastAsia="微软雅黑"/>
          <w:noProof/>
          <w:sz w:val="24"/>
        </w:rPr>
        <w:t xml:space="preserve">[93] [PDF] 2026 Outlook Report - African Energy Chamber https://energychamber.org/wp-content/uploads/The-State-of-African-Energy-2026_Digital_rev3.pdf</w:t>
      </w:r>
    </w:p>
    <w:p>
      <w:pPr>
        <w:spacing w:line="288" w:lineRule="auto"/>
        <w:ind w:firstLine="480" w:firstLineChars="200"/>
        <w:jc w:val="both"/>
      </w:pPr>
      <w:r>
        <w:rPr>
          <w:rFonts w:hint="eastAsia" w:ascii="微软雅黑" w:hAnsi="微软雅黑" w:eastAsia="微软雅黑"/>
          <w:noProof/>
          <w:sz w:val="24"/>
        </w:rPr>
        <w:t xml:space="preserve">[94] Today at the Africa Energy Forum 2026, our Interim CEO, Titania ... https://www.facebook.com/sawindenergy/posts/today-at-the-africa-energy-forum-2026-our-interim-ceo-titania-stefanus-zincke-wi/1602333311414959/</w:t>
      </w:r>
    </w:p>
    <w:p>
      <w:pPr>
        <w:spacing w:line="288" w:lineRule="auto"/>
        <w:ind w:firstLine="480" w:firstLineChars="200"/>
        <w:jc w:val="both"/>
      </w:pPr>
      <w:r>
        <w:rPr>
          <w:rFonts w:hint="eastAsia" w:ascii="微软雅黑" w:hAnsi="微软雅黑" w:eastAsia="微软雅黑"/>
          <w:noProof/>
          <w:sz w:val="24"/>
        </w:rPr>
        <w:t xml:space="preserve">[95] Full Committee Markup | June 24, 2026 - YouTube https://www.youtube.com/watch?v=BJ0MjZQomco</w:t>
      </w:r>
    </w:p>
    <w:p>
      <w:pPr>
        <w:spacing w:line="288" w:lineRule="auto"/>
        <w:ind w:firstLine="480" w:firstLineChars="200"/>
        <w:jc w:val="both"/>
      </w:pPr>
      <w:r>
        <w:rPr>
          <w:rFonts w:hint="eastAsia" w:ascii="微软雅黑" w:hAnsi="微软雅黑" w:eastAsia="微软雅黑"/>
          <w:noProof/>
          <w:sz w:val="24"/>
        </w:rPr>
        <w:t xml:space="preserve">[96] Natural Resources Canada's 2026-27 Departmental plan https://natural-resources.canada.ca/corporate/planning-reporting/departmental-plan/nrcan-2026-27-departmental-plan</w:t>
      </w:r>
    </w:p>
    <w:p>
      <w:pPr>
        <w:spacing w:line="288" w:lineRule="auto"/>
        <w:ind w:firstLine="480" w:firstLineChars="200"/>
        <w:jc w:val="both"/>
      </w:pPr>
      <w:r>
        <w:rPr>
          <w:rFonts w:hint="eastAsia" w:ascii="微软雅黑" w:hAnsi="微软雅黑" w:eastAsia="微软雅黑"/>
          <w:noProof/>
          <w:sz w:val="24"/>
        </w:rPr>
        <w:t xml:space="preserve">[97] 2026 Natural Resources &amp; Energy Industry Predictions - BDO USA https://www.bdo.com/insights/industries/natural-resources/2026-natural-resources-energy-predictions</w:t>
      </w:r>
    </w:p>
    <w:p>
      <w:pPr>
        <w:spacing w:line="288" w:lineRule="auto"/>
        <w:ind w:firstLine="480" w:firstLineChars="200"/>
        <w:jc w:val="both"/>
      </w:pPr>
      <w:r>
        <w:rPr>
          <w:rFonts w:hint="eastAsia" w:ascii="微软雅黑" w:hAnsi="微软雅黑" w:eastAsia="微软雅黑"/>
          <w:noProof/>
          <w:sz w:val="24"/>
        </w:rPr>
        <w:t xml:space="preserve">[98] Natural Resources Minister Tim Hodgson announces 30 ... - YouTube https://www.youtube.com/watch?v=LdJMC8skaE0&amp;vl=en</w:t>
      </w:r>
    </w:p>
    <w:p>
      <w:pPr>
        <w:spacing w:line="288" w:lineRule="auto"/>
        <w:ind w:firstLine="480" w:firstLineChars="200"/>
        <w:jc w:val="both"/>
      </w:pPr>
      <w:r>
        <w:rPr>
          <w:rFonts w:hint="eastAsia" w:ascii="微软雅黑" w:hAnsi="微软雅黑" w:eastAsia="微软雅黑"/>
          <w:noProof/>
          <w:sz w:val="24"/>
        </w:rPr>
        <w:t xml:space="preserve">[99] Canada launches Forest Sector Action Plan - Canada Newswire https://www.newswire.ca/news-releases/canada-launches-forest-sector-action-plan-857117201.html</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Pt>
            <c:idx val="4"/>
            <c:bubble3D val="false"/>
            <c:spPr>
              <a:solidFill>
                <a:srgbClr val="F4B84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Sheet1!$A$2:$A$6</c:f>
              <c:strCache>
                <c:ptCount val="5"/>
                <c:pt idx="0">
                  <c:v>Construction+&amp;+Infrastructure</c:v>
                </c:pt>
                <c:pt idx="1">
                  <c:v>Information+Technology</c:v>
                </c:pt>
                <c:pt idx="2">
                  <c:v>Healthcare</c:v>
                </c:pt>
                <c:pt idx="3">
                  <c:v>Education</c:v>
                </c:pt>
                <c:pt idx="4">
                  <c:v>Other+Services</c:v>
                </c:pt>
              </c:strCache>
            </c:strRef>
          </c:cat>
          <c:val>
            <c:numRef>
              <c:f>Sheet1!$B$2:$B$6</c:f>
              <c:numCache>
                <c:ptCount val="5"/>
                <c:pt idx="0">
                  <c:v>35</c:v>
                </c:pt>
                <c:pt idx="1">
                  <c:v>25</c:v>
                </c:pt>
                <c:pt idx="2">
                  <c:v>15</c:v>
                </c:pt>
                <c:pt idx="3">
                  <c:v>10</c:v>
                </c:pt>
                <c:pt idx="4">
                  <c:v>15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Number+of+Tenders</c:v>
                </c:pt>
              </c:strCache>
            </c:strRef>
          </c:tx>
          <c:spPr>
            <a:solidFill>
              <a:srgbClr val="FF7733"/>
            </a:solidFill>
            <a:ln>
              <a:solidFill>
                <a:srgbClr val="FF7733"/>
              </a:solidFill>
            </a:ln>
          </c:spPr>
          <c:invertIfNegative val="false"/>
          <c:cat>
            <c:strRef>
              <c:f>Sheet1!$A$2:$A$5</c:f>
              <c:strCache>
                <c:ptCount val="4"/>
                <c:pt idx="0">
                  <c:v>Grade+1</c:v>
                </c:pt>
                <c:pt idx="1">
                  <c:v>Grades+2-4</c:v>
                </c:pt>
                <c:pt idx="2">
                  <c:v>Grades+5-7</c:v>
                </c:pt>
                <c:pt idx="3">
                  <c:v>Grades+8-9</c:v>
                </c:pt>
              </c:strCache>
            </c:strRef>
          </c:cat>
          <c:val>
            <c:numRef>
              <c:f>Sheet1!$B$2:$B$5</c:f>
              <c:numCache>
                <c:ptCount val="4"/>
                <c:pt idx="0">
                  <c:v>1500</c:v>
                </c:pt>
                <c:pt idx="1">
                  <c:v>800</c:v>
                </c:pt>
                <c:pt idx="2">
                  <c:v>300</c:v>
                </c:pt>
                <c:pt idx="3">
                  <c:v>50</c:v>
                </c:pt>
              </c:numCache>
            </c:numRef>
          </c:val>
        </c:ser>
        <c:gapWidth val="125"/>
        <c:axId val="4475304"/>
        <c:axId val="7163848"/>
      </c:barChart>
      <c:catAx>
        <c:axId val="4475304"/>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163848"/>
        <c:crosses val="autoZero"/>
      </c:catAx>
      <c:valAx>
        <c:axId val="7163848"/>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4475304"/>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Coal+Procurement+Index</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100</c:v>
                </c:pt>
                <c:pt idx="1">
                  <c:v>105</c:v>
                </c:pt>
                <c:pt idx="2">
                  <c:v>108</c:v>
                </c:pt>
                <c:pt idx="3">
                  <c:v>112</c:v>
                </c:pt>
                <c:pt idx="4">
                  <c:v>115</c:v>
                </c:pt>
              </c:numCache>
            </c:numRef>
          </c:val>
          <c:smooth val="false"/>
        </c:ser>
        <c:ser>
          <c:idx val="1"/>
          <c:order val="1"/>
          <c:tx>
            <c:strRef>
              <c:f>Sheet1!$C$1</c:f>
              <c:strCache>
                <c:ptCount val="1"/>
                <c:pt idx="0">
                  <c:v>Platinum+Procurement+Index</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100</c:v>
                </c:pt>
                <c:pt idx="1">
                  <c:v>110</c:v>
                </c:pt>
                <c:pt idx="2">
                  <c:v>115</c:v>
                </c:pt>
                <c:pt idx="3">
                  <c:v>120</c:v>
                </c:pt>
                <c:pt idx="4">
                  <c:v>125</c:v>
                </c:pt>
              </c:numCache>
            </c:numRef>
          </c:val>
          <c:smooth val="false"/>
        </c:ser>
        <c:smooth val="false"/>
        <c:axId val="1633723"/>
        <c:axId val="8471799"/>
      </c:lineChart>
      <c:catAx>
        <c:axId val="1633723"/>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471799"/>
        <c:crosses val="autoZero"/>
      </c:catAx>
      <c:valAx>
        <c:axId val="8471799"/>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1633723"/>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Number+of+Sustainable+Energy+Tenders</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120</c:v>
                </c:pt>
                <c:pt idx="1">
                  <c:v>150</c:v>
                </c:pt>
                <c:pt idx="2">
                  <c:v>210</c:v>
                </c:pt>
                <c:pt idx="3">
                  <c:v>280</c:v>
                </c:pt>
                <c:pt idx="4">
                  <c:v>340</c:v>
                </c:pt>
              </c:numCache>
            </c:numRef>
          </c:val>
          <c:smooth val="false"/>
        </c:ser>
        <c:smooth val="false"/>
        <c:axId val="2786412"/>
        <c:axId val="533192"/>
      </c:lineChart>
      <c:catAx>
        <c:axId val="2786412"/>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33192"/>
        <c:crosses val="autoZero"/>
      </c:catAx>
      <c:valAx>
        <c:axId val="533192"/>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786412"/>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