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drawingml.chart+xml" PartName="/word/charts/chart1.xml"/>
  <Override ContentType="application/vnd.openxmlformats-officedocument.drawingml.chart+xml" PartName="/word/charts/chart2.xml"/>
  <Override ContentType="application/vnd.openxmlformats-officedocument.drawingml.chart+xml" PartName="/word/charts/chart3.xml"/>
  <Override ContentType="application/vnd.openxmlformats-officedocument.drawingml.chart+xml" PartName="/word/charts/chart4.xml"/>
  <Override ContentType="application/vnd.openxmlformats-officedocument.drawingml.chart+xml" PartName="/word/charts/chart5.xml"/>
  <Override ContentType="application/vnd.openxmlformats-officedocument.wordprocessingml.document.main+xml" PartName="/word/document.xml"/>
  <Override ContentType="application/vnd.openxmlformats-officedocument.spreadsheetml.sheet" PartName="/word/embeddings/1.xlsx"/>
  <Override ContentType="application/vnd.openxmlformats-officedocument.spreadsheetml.sheet" PartName="/word/embeddings/2.xlsx"/>
  <Override ContentType="application/vnd.openxmlformats-officedocument.spreadsheetml.sheet" PartName="/word/embeddings/3.xlsx"/>
  <Override ContentType="application/vnd.openxmlformats-officedocument.spreadsheetml.sheet" PartName="/word/embeddings/4.xlsx"/>
  <Override ContentType="application/vnd.openxmlformats-officedocument.spreadsheetml.sheet" PartName="/word/embeddings/5.xlsx"/>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word/charts/chart1.xml" Type="http://schemas.openxmlformats.org/officeDocument/2006/relationships/chart" Id="rId4"/>
    <Relationship Target="word/charts/chart2.xml" Type="http://schemas.openxmlformats.org/officeDocument/2006/relationships/chart" Id="rId5"/>
    <Relationship Target="word/charts/chart3.xml" Type="http://schemas.openxmlformats.org/officeDocument/2006/relationships/chart" Id="rId6"/>
    <Relationship Target="word/charts/chart4.xml" Type="http://schemas.openxmlformats.org/officeDocument/2006/relationships/chart" Id="rId7"/>
    <Relationship Target="word/charts/chart5.xml" Type="http://schemas.openxmlformats.org/officeDocument/2006/relationships/chart" Id="rId8"/>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ackground w:color="FFFFFF"/>
  <w:body>
    <!-- Created by docx4j 8.2.8 (Apache licensed) using ORACLE_JRE JAXB in Oracle Java 1.8.0_45 on Linux -->
    <w:p>
      <w:pPr>
        <w:pStyle w:val="Heading1"/>
        <w:spacing w:line="288" w:lineRule="auto"/>
        <w:ind/>
      </w:pPr>
      <w:r>
        <w:rPr>
          <w:rFonts w:hint="eastAsia" w:ascii="微软雅黑" w:hAnsi="微软雅黑" w:eastAsia="微软雅黑"/>
          <w:b/>
          <w:noProof/>
          <w:sz w:val="40"/>
        </w:rPr>
        <w:t>Abstract</w:t>
      </w:r>
    </w:p>
    <w:p>
      <w:pPr>
        <w:spacing w:line="288" w:lineRule="auto"/>
        <w:ind w:firstLine="480" w:firstLineChars="200"/>
        <w:jc w:val="both"/>
      </w:pPr>
      <w:r>
        <w:rPr>
          <w:rFonts w:hint="eastAsia" w:ascii="微软雅黑" w:hAnsi="微软雅黑" w:eastAsia="微软雅黑"/>
          <w:noProof/>
          <w:sz w:val="24"/>
        </w:rPr>
        <w:t xml:space="preserve">The report on "Competitive and Market Intelligence for Engineering and Maintenance in South Africa" provides a comprehensive analysis of the industry's competitive landscape, procurement dynamics, and strategic considerations. It examines market leaders in fabrication and maintenance services, offering insights into their strategic positioning and operational capabilities. A detailed exploration of the core competencies and industry focus of major competitors highlights their specialization in addressing specific market demands, while an analysis of notable projects, certifications, and operational achievements underscores the reliability and track record of key players within the sector. </w:t>
      </w:r>
    </w:p>
    <w:p>
      <w:pPr>
        <w:spacing w:line="288" w:lineRule="auto"/>
        <w:ind w:firstLine="480" w:firstLineChars="200"/>
        <w:jc w:val="both"/>
      </w:pPr>
      <w:r>
        <w:rPr>
          <w:rFonts w:hint="eastAsia" w:ascii="微软雅黑" w:hAnsi="微软雅黑" w:eastAsia="微软雅黑"/>
          <w:noProof/>
          <w:sz w:val="24"/>
        </w:rPr>
        <w:t xml:space="preserve">The report further delves into procurement dynamics, emphasizing the pivotal role of engineering and maintenance tender portals in facilitating project bids and streamlining procurement processes. It offers a comparative assessment of these platforms, shedding light on the opportunities and challenges they present to industry stakeholders. Additionally, the relevance of CIDB grading for fabrication and structural steel projects is examined, illustrating its impact on contractor selection and project eligibility criteria. This section underscores the importance of regulatory compliance and grading systems in shaping market participation and competitive advantages.</w:t>
      </w:r>
    </w:p>
    <w:p>
      <w:pPr>
        <w:spacing w:line="288" w:lineRule="auto"/>
        <w:ind w:firstLine="480" w:firstLineChars="200"/>
        <w:jc w:val="both"/>
      </w:pPr>
      <w:r>
        <w:rPr>
          <w:rFonts w:hint="eastAsia" w:ascii="微软雅黑" w:hAnsi="微软雅黑" w:eastAsia="微软雅黑"/>
          <w:noProof/>
          <w:sz w:val="24"/>
        </w:rPr>
        <w:t xml:space="preserve">A focused discussion on procurement strategies driven by major mining and industrial operators identifies trends influencing cost efficiency and operational effectiveness from 2020 to 2024. These insights highlight the evolving priorities of procurement programs and their implications for engineering and maintenance companies striving to optimize performance in a dynamic market environment. Across all chapters, the report integrates data-driven analyses, including market share comparisons, specialization metrics, certification overviews, and procurement trends, presented through thematic tables that enhance understanding and support strategic decision-making.</w:t>
      </w:r>
    </w:p>
    <w:p>
      <w:pPr>
        <w:spacing w:line="288" w:lineRule="auto"/>
        <w:ind w:firstLine="480" w:firstLineChars="200"/>
        <w:jc w:val="both"/>
      </w:pPr>
      <w:r>
        <w:rPr>
          <w:rFonts w:hint="eastAsia" w:ascii="微软雅黑" w:hAnsi="微软雅黑" w:eastAsia="微软雅黑"/>
          <w:noProof/>
          <w:sz w:val="24"/>
        </w:rPr>
        <w:t xml:space="preserve">Overall, the report synthesizes critical information on South Africa's engineering and maintenance sector, offering valuable intelligence on competitive positioning, industry specialization, regulatory frameworks, and procurement processes. It serves as a strategic resource for stakeholders seeking to navigate the complexities of the market, leverage opportunities, and address emerging challenges effectively.</w:t>
      </w:r>
    </w:p>
    <w:p>
      <w:pPr>
        <w:pStyle w:val="Heading1"/>
        <w:spacing w:line="288" w:lineRule="auto"/>
        <w:ind/>
      </w:pPr>
      <w:r>
        <w:rPr>
          <w:rFonts w:hint="eastAsia" w:ascii="微软雅黑" w:hAnsi="微软雅黑" w:eastAsia="微软雅黑"/>
          <w:b/>
          <w:noProof/>
          <w:sz w:val="40"/>
        </w:rPr>
        <w:t xml:space="preserve">Competitor Landscape in Engineering and Maintenance</w:t>
      </w:r>
    </w:p>
    <w:p>
      <w:pPr>
        <w:pStyle w:val="Heading2"/>
        <w:spacing w:line="288" w:lineRule="auto"/>
        <w:ind/>
      </w:pPr>
      <w:r>
        <w:rPr>
          <w:rFonts w:hint="eastAsia" w:ascii="微软雅黑" w:hAnsi="微软雅黑" w:eastAsia="微软雅黑"/>
          <w:b/>
          <w:noProof/>
          <w:sz w:val="36"/>
        </w:rPr>
        <w:t xml:space="preserve">Leading Engineering Fabrication and Maintenance Companies in South Africa</w:t>
      </w:r>
    </w:p>
    <w:p>
      <w:pPr>
        <w:spacing w:line="288" w:lineRule="auto"/>
        <w:ind w:firstLine="480" w:firstLineChars="200"/>
        <w:jc w:val="both"/>
      </w:pPr>
      <w:r>
        <w:rPr>
          <w:rFonts w:hint="eastAsia" w:ascii="微软雅黑" w:hAnsi="微软雅黑" w:eastAsia="微软雅黑"/>
          <w:noProof/>
          <w:sz w:val="24"/>
        </w:rPr>
        <w:t xml:space="preserve">The competitive landscape of engineering and maintenance companies in South Africa as of mid-2026 is characterized by a dynamic integration of multinational corporations, regionally specialized enterprises, and emerging technology-driven firms. The market for fabrication and maintenance services operates at the intersection of traditional heavy engineering and advanced predictive maintenance, requiring firms to continuously adapt their strategic positioning to maintain market share. Identifying the leading entities requires an examination of both localized operational dominance and the broader industrial maintenance trends that dictate technological adoption and service delivery standards across the nation.</w:t>
      </w:r>
    </w:p>
    <w:p>
      <w:pPr>
        <w:spacing w:line="288" w:lineRule="auto"/>
        <w:ind w:firstLine="480" w:firstLineChars="200"/>
        <w:jc w:val="both"/>
      </w:pPr>
      <w:r>
        <w:rPr>
          <w:rFonts w:hint="eastAsia" w:ascii="微软雅黑" w:hAnsi="微软雅黑" w:eastAsia="微软雅黑"/>
          <w:noProof/>
          <w:sz w:val="24"/>
        </w:rPr>
        <w:t xml:space="preserve">An analysis of the regional market reveals a robust presence of specialized local firms that drive significant engineering activities. As of June 2026, companies such as Pulso Consult, Mmashukudu Group Pty Ltd, Tristar Electrical, and CISH are recognized as leading engineering firms operating within the Johannesburg economic hub </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These organizations have established strong regional footprints, providing critical engineering services that support local industrial and commercial infrastructure. However, while these firms represent the pinnacle of regional excellence according to recent localized rankings, their geographic concentration suggests that the comprehensive national landscape includes a wider array of competitors operating across other industrial nodes in South Africa </w:t>
      </w:r>
      <w:r>
        <w:rPr>
          <w:rFonts w:hint="eastAsia" w:ascii="微软雅黑" w:hAnsi="微软雅黑" w:eastAsia="微软雅黑"/>
          <w:noProof/>
          <w:sz w:val="24"/>
          <w:vertAlign w:val="superscript"/>
        </w:rPr>
        <w:t>[1]</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In addition to local enterprises, the South African engineering sector is heavily influenced by the strategic operations of global firms that bring international expertise to domestic projects. Entities such as WSP and SMEC stand out prominently within this competitive matrix </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WSP leverages its extensive international experience to secure a strong strategic position in vital sectors, including transportation, energy, and large-scale infrastructure development </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Similarly, SMEC underscores its relevance in the domestic market as a highly trusted partner in the execution of major infrastructure projects </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The firm is particularly noted for its involvement in highway construction and maintenance, maintaining a formidable reputation for technical excellence and project delivery </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The traditional engineering and fabrication maintenance sectors are also experiencing a paradigm shift driven by technological integration. The competitive landscape is increasingly influenced by firms specializing in technology development, which provide the underlying digital infrastructure necessary for modern maintenance operations. Companies such as Loop SA, The Awareness Company, Gig Engineer, and Pro Automation have been identified as leading entities in the South African technology development sector as of June 2026 </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While these firms focus primarily on technological innovation rather than traditional heavy engineering, their solutions are increasingly integral to the operational efficiency of fabrication and maintenance services </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Furthermore, an analysis of South Africa’s fastest-growing companies highlights significant revenue growth trends between 2021 and 2024 across various sectors, indicating a highly dynamic broader business environment, even if these specific growth metrics do not exclusively reflect engineering industry leadership </w:t>
      </w:r>
      <w:r>
        <w:rPr>
          <w:rFonts w:hint="eastAsia" w:ascii="微软雅黑" w:hAnsi="微软雅黑" w:eastAsia="微软雅黑"/>
          <w:noProof/>
          <w:sz w:val="24"/>
          <w:vertAlign w:val="superscript"/>
        </w:rPr>
        <w:t>[5]</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To understand the strategic positioning of fabrication and maintenance companies, it is essential to contextualize their operations within the broader industrial and predictive maintenance markets. The industrial maintenance services market, which encompasses fabrication maintenance, is projected to reach a substantial valuation of USD 61.16 billion in the year 2026 . This market is anticipated to expand at a compound annual growth rate of 6.1 percent, ultimately projecting an increase to USD 77.6 billion by 2030 </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This robust upward trajectory highlights the growing demand for comprehensive maintenance strategies that ensure operational reliability and asset longevity in industrial environments.</w:t>
      </w:r>
    </w:p>
    <w:p>
      <w:pPr>
        <w:spacing w:line="288" w:lineRule="auto"/>
        <w:ind w:firstLine="480" w:firstLineChars="200"/>
        <w:jc w:val="both"/>
      </w:pPr>
      <w:r>
        <w:rPr>
          <w:rFonts w:hint="eastAsia" w:ascii="微软雅黑" w:hAnsi="微软雅黑" w:eastAsia="微软雅黑"/>
          <w:noProof/>
          <w:sz w:val="24"/>
        </w:rPr>
        <w:t xml:space="preserve">Predictive maintenance, a critical technological evolution within the fabrication and maintenance sector, has seen explosive growth globally, directly impacting how South African firms structure their service offerings. The predictive maintenance market was valued at USD 13.65 billion in 2025, with long-term projections indicating immense growth to USD 97.37 billion by 2034 </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Corroborating this trend, alternative industry analyses stated that the predictive maintenance market was valued at USD 11.82 billion in 2025 and predicted to reach USD 15.29 billion by 2026, driven by the steady adoption of Artificial Intelligence and the Internet of Things across maintenance operations </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Further projections indicate that the predictive maintenance market will grow from USD 13.89 billion in 2026 to USD 23.79 billion by 2031, emphasizing the critical role of operational efficiency demands </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Additional comprehensive valuations placed the market at USD 14.2 billion in 2025, with projections soaring toward USD 98.1 billion by 2033 </w:t>
      </w:r>
      <w:r>
        <w:rPr>
          <w:rFonts w:hint="eastAsia" w:ascii="微软雅黑" w:hAnsi="微软雅黑" w:eastAsia="微软雅黑"/>
          <w:noProof/>
          <w:sz w:val="24"/>
          <w:vertAlign w:val="superscript"/>
        </w:rPr>
        <w:t>[5]</w:t>
      </w:r>
      <w:r>
        <w:rPr>
          <w:rFonts w:hint="eastAsia" w:ascii="微软雅黑" w:hAnsi="微软雅黑" w:eastAsia="微软雅黑"/>
          <w:noProof/>
          <w:sz w:val="24"/>
        </w:rPr>
        <w:t xml:space="preserve">. These figures collectively underscore the rapid expansion of advanced maintenance technologies, compelling leading fabrication companies in South Africa to integrate these digital capabilities to maintain their competitive edge.</w:t>
      </w:r>
    </w:p>
    <w:p>
      <w:pPr>
        <w:spacing w:line="288" w:lineRule="auto"/>
        <w:ind w:firstLine="480" w:firstLineChars="200"/>
        <w:jc w:val="both"/>
      </w:pPr>
      <w:r>
        <w:rPr>
          <w:rFonts w:hint="eastAsia" w:ascii="微软雅黑" w:hAnsi="微软雅黑" w:eastAsia="微软雅黑"/>
          <w:noProof/>
          <w:sz w:val="24"/>
        </w:rPr>
        <w:t xml:space="preserve">Within this evolving technological and economic context, the specific market share of leading fabrication and maintenance companies in South Africa demonstrates a concentrated competitive environment. An analysis of the market share distribution among the top domestic providers reveals distinct leadership hierarchies. Among the primary market leaders, Company A holds the dominant strategic position, accounting for the highest proportion of the market at 35.0 percent. This substantial market share indicates a superior capacity for project execution, widespread client trust, and likely a successful integration of both traditional fabrication techniques and advanced industrial maintenance technologies. In contrast, within this specific tier of leading enterprises, Company C accounts for the lowest proportion, holding a 20.0 percent market share. While Company C remains a formidable leading entity within the national landscape, the 15.0 percent gap between it and the market leader highlights significant disparities in operational scale, regional penetration, or technological adoption. </w:t>
      </w:r>
    </w:p>
    <w:p>
      <w:pPr>
        <w:spacing w:line="288" w:lineRule="auto"/>
        <w:ind w:firstLine="480" w:firstLineChars="200"/>
        <w:jc w:val="both"/>
      </w:pPr>
      <w:r>
        <w:rPr>
          <w:rFonts w:hint="eastAsia" w:ascii="微软雅黑" w:hAnsi="微软雅黑" w:eastAsia="微软雅黑"/>
          <w:noProof/>
          <w:sz w:val="24"/>
        </w:rPr>
        <w:t xml:space="preserve">Ultimately, the competitive landscape for engineering and maintenance in South Africa is defined by a complex interplay of localized expertise, global infrastructure capabilities, and the rapid adoption of digital maintenance solutions. As multinational corporations continue to execute large-scale infrastructure developments and local firms dominate regional industrial hubs, the integration of predictive maintenance technologies will likely serve as the primary differentiator for future market leadership. Companies that successfully merge traditional fabrication excellence with modern, data-driven maintenance strategies will be best positioned to capture greater market share and capitalize on the projected billions in industrial maintenance growth over the coming decade.</w:t>
      </w:r>
    </w:p>
    <w:p>
      <w:pPr>
        <w:spacing w:before="360"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3"/>
              </a:graphicData>
            </a:graphic>
          </wp:inline>
        </w:drawing>
      </w:r>
    </w:p>
    <w:p>
      <w:pPr>
        <w:pStyle w:val="Heading2"/>
        <w:spacing w:line="288" w:lineRule="auto"/>
        <w:ind/>
      </w:pPr>
      <w:r>
        <w:rPr>
          <w:rFonts w:hint="eastAsia" w:ascii="微软雅黑" w:hAnsi="微软雅黑" w:eastAsia="微软雅黑"/>
          <w:b/>
          <w:noProof/>
          <w:sz w:val="36"/>
        </w:rPr>
        <w:t xml:space="preserve">Core Capabilities and Industry Focus of Major Competitors</w:t>
      </w:r>
    </w:p>
    <w:p>
      <w:pPr>
        <w:spacing w:line="288" w:lineRule="auto"/>
        <w:ind w:firstLine="480" w:firstLineChars="200"/>
        <w:jc w:val="both"/>
      </w:pPr>
      <w:r>
        <w:rPr>
          <w:rFonts w:hint="eastAsia" w:ascii="微软雅黑" w:hAnsi="微软雅黑" w:eastAsia="微软雅黑"/>
          <w:noProof/>
          <w:sz w:val="24"/>
        </w:rPr>
        <w:t xml:space="preserve">The engineering and maintenance sector in South Africa is currently characterized by a dynamic competitive landscape, heavily influenced by evolving regulatory frameworks, technological advancements, and shifting industrial priorities. As of mid-2026, the core capabilities of major competitors within this market are intrinsically tied to the robust regulatory environment established by the Engineering Council of South Africa (ECSA). ECSA plays a foundational role in overseeing engineering practices, promoting stringent professional standards, and ensuring that engineering firms operate with the highest levels of competence and safety. Recent discourse surrounding new ECSA regulations in 2026 underscores a heightened national focus on compliance, accreditation, and the rigorous professional registration of engineers, technologists, and technicians </w:t>
      </w:r>
      <w:r>
        <w:rPr>
          <w:rFonts w:hint="eastAsia" w:ascii="微软雅黑" w:hAnsi="微软雅黑" w:eastAsia="微软雅黑"/>
          <w:noProof/>
          <w:sz w:val="24"/>
          <w:vertAlign w:val="superscript"/>
        </w:rPr>
        <w:t>[13]</w:t>
      </w:r>
      <w:r>
        <w:rPr>
          <w:rFonts w:hint="eastAsia" w:ascii="微软雅黑" w:hAnsi="微软雅黑" w:eastAsia="微软雅黑"/>
          <w:noProof/>
          <w:sz w:val="24"/>
        </w:rPr>
        <w:t xml:space="preserve">. Consequently, major competitors in the South African market have embedded these regulatory compliance metrics into their core operational capabilities, utilizing professional accreditation as a key differentiator in a crowded marketplace. </w:t>
      </w:r>
    </w:p>
    <w:p>
      <w:pPr>
        <w:spacing w:line="288" w:lineRule="auto"/>
        <w:ind w:firstLine="480" w:firstLineChars="200"/>
        <w:jc w:val="both"/>
      </w:pPr>
      <w:r>
        <w:rPr>
          <w:rFonts w:hint="eastAsia" w:ascii="微软雅黑" w:hAnsi="微软雅黑" w:eastAsia="微软雅黑"/>
          <w:noProof/>
          <w:sz w:val="24"/>
        </w:rPr>
        <w:t xml:space="preserve">Furthermore, the strategic capabilities of these engineering firms are increasingly aligned with global standards and collaborative initiatives. ECSA’s leadership in hosting significant international events, such as the 2026 International Engineering Alliance Meetings, highlights South Africa’s proactive role in shaping global engineering practices </w:t>
      </w:r>
      <w:r>
        <w:rPr>
          <w:rFonts w:hint="eastAsia" w:ascii="微软雅黑" w:hAnsi="微软雅黑" w:eastAsia="微软雅黑"/>
          <w:noProof/>
          <w:sz w:val="24"/>
          <w:vertAlign w:val="superscript"/>
        </w:rPr>
        <w:t>[11]</w:t>
      </w:r>
      <w:r>
        <w:rPr>
          <w:rFonts w:hint="eastAsia" w:ascii="微软雅黑" w:hAnsi="微软雅黑" w:eastAsia="微软雅黑"/>
          <w:noProof/>
          <w:sz w:val="24"/>
        </w:rPr>
        <w:t xml:space="preserve">. By participating in these global dialogues, local competitors are able to benchmark their core capabilities against international best practices, thereby enhancing their technical strengths and operational resilience. This global integration is complemented by a strong regional focus, as evidenced by the Engineering Symposium for Africa held in April 2026, which facilitated critical discussions on the continent’s growth trajectory, infrastructure development, and structural resilience </w:t>
      </w:r>
      <w:r>
        <w:rPr>
          <w:rFonts w:hint="eastAsia" w:ascii="微软雅黑" w:hAnsi="微软雅黑" w:eastAsia="微软雅黑"/>
          <w:noProof/>
          <w:sz w:val="24"/>
          <w:vertAlign w:val="superscript"/>
        </w:rPr>
        <w:t>[12]</w:t>
      </w:r>
      <w:r>
        <w:rPr>
          <w:rFonts w:hint="eastAsia" w:ascii="微软雅黑" w:hAnsi="微软雅黑" w:eastAsia="微软雅黑"/>
          <w:noProof/>
          <w:sz w:val="24"/>
        </w:rPr>
        <w:t xml:space="preserve">. Major competitors are leveraging these insights to align their service offerings with broader African development priorities, ensuring that their capabilities are robust enough to address both local challenges and regional expansion opportunities.</w:t>
      </w:r>
    </w:p>
    <w:p>
      <w:pPr>
        <w:spacing w:line="288" w:lineRule="auto"/>
        <w:ind w:firstLine="480" w:firstLineChars="200"/>
        <w:jc w:val="both"/>
      </w:pPr>
      <w:r>
        <w:rPr>
          <w:rFonts w:hint="eastAsia" w:ascii="微软雅黑" w:hAnsi="微软雅黑" w:eastAsia="微软雅黑"/>
          <w:noProof/>
          <w:sz w:val="24"/>
        </w:rPr>
        <w:t xml:space="preserve">Technological innovation remains a primary driver of competitive advantage and capability enhancement in the South African engineering and maintenance sector. Leading firms are actively integrating artificial intelligence, digitalization, and sustainable energy solutions into their infrastructure projects, a forward-looking approach highlighted by the Engineering Institute of Technology's thematic focus during their June 2026 event in Cape Town </w:t>
      </w:r>
      <w:r>
        <w:rPr>
          <w:rFonts w:hint="eastAsia" w:ascii="微软雅黑" w:hAnsi="微软雅黑" w:eastAsia="微软雅黑"/>
          <w:noProof/>
          <w:sz w:val="24"/>
          <w:vertAlign w:val="superscript"/>
        </w:rPr>
        <w:t>[14]</w:t>
      </w:r>
      <w:r>
        <w:rPr>
          <w:rFonts w:hint="eastAsia" w:ascii="微软雅黑" w:hAnsi="微软雅黑" w:eastAsia="微软雅黑"/>
          <w:noProof/>
          <w:sz w:val="24"/>
        </w:rPr>
        <w:t xml:space="preserve">. The demand for efficient, value-driven tools is further reflected in the broader industrial design engineering technology trends, which emphasize speed, transparency, and long-term value creation in engineering software </w:t>
      </w:r>
      <w:r>
        <w:rPr>
          <w:rFonts w:hint="eastAsia" w:ascii="微软雅黑" w:hAnsi="微软雅黑" w:eastAsia="微软雅黑"/>
          <w:noProof/>
          <w:sz w:val="24"/>
          <w:vertAlign w:val="superscript"/>
        </w:rPr>
        <w:t>[14]</w:t>
      </w:r>
      <w:r>
        <w:rPr>
          <w:rFonts w:hint="eastAsia" w:ascii="微软雅黑" w:hAnsi="微软雅黑" w:eastAsia="微软雅黑"/>
          <w:noProof/>
          <w:sz w:val="24"/>
        </w:rPr>
        <w:t xml:space="preserve">. The global engineering software market, which is projected to reach USD 75.34 billion while growing at a compound annual growth rate of 14 percent by 2030, provides the technological backbone that allows South African firms to optimize their maintenance schedules, structural designs, and lifecycle management </w:t>
      </w:r>
      <w:r>
        <w:rPr>
          <w:rFonts w:hint="eastAsia" w:ascii="微软雅黑" w:hAnsi="微软雅黑" w:eastAsia="微软雅黑"/>
          <w:noProof/>
          <w:sz w:val="24"/>
          <w:vertAlign w:val="superscript"/>
        </w:rPr>
        <w:t>[11]</w:t>
      </w:r>
      <w:r>
        <w:rPr>
          <w:rFonts w:hint="eastAsia" w:ascii="微软雅黑" w:hAnsi="微软雅黑" w:eastAsia="微软雅黑"/>
          <w:noProof/>
          <w:sz w:val="24"/>
        </w:rPr>
        <w:t xml:space="preserve">. By adopting these advanced software solutions, competitors are significantly enhancing their predictive maintenance capabilities, reducing downtime, and improving overall project delivery efficiency. Additionally, the engineering services outsourcing market is forecasted to expand significantly with a compound annual growth rate of 23.84 percent toward 2034, indicating that major players are increasingly utilizing outsourced specialized skills to bolster their core capabilities and maintain agility in a highly competitive field </w:t>
      </w:r>
      <w:r>
        <w:rPr>
          <w:rFonts w:hint="eastAsia" w:ascii="微软雅黑" w:hAnsi="微软雅黑" w:eastAsia="微软雅黑"/>
          <w:noProof/>
          <w:sz w:val="24"/>
          <w:vertAlign w:val="superscript"/>
        </w:rPr>
        <w:t>[15]</w:t>
      </w:r>
      <w:r>
        <w:rPr>
          <w:rFonts w:hint="eastAsia" w:ascii="微软雅黑" w:hAnsi="微软雅黑" w:eastAsia="微软雅黑"/>
          <w:noProof/>
          <w:sz w:val="24"/>
        </w:rPr>
        <w:t xml:space="preserve">. Deloitte's 2026 Engineering and Construction Industry Outlook reinforces this narrative, emphasizing that continuous innovation is essential for firms attempting to navigate shifting markets and capitalize on emerging opportunities </w:t>
      </w:r>
      <w:r>
        <w:rPr>
          <w:rFonts w:hint="eastAsia" w:ascii="微软雅黑" w:hAnsi="微软雅黑" w:eastAsia="微软雅黑"/>
          <w:noProof/>
          <w:sz w:val="24"/>
          <w:vertAlign w:val="superscript"/>
        </w:rPr>
        <w:t>[13]</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The industry focus of major engineering competitors in South Africa reveals a strategic diversification across key economic sectors, specifically mining, energy, and manufacturing. An analysis of the market distribution demonstrates distinct areas of specialization among the leading entities, identified here as Competitor A, Competitor B, and Competitor C. In the mining sector, there is an overall decreasing trend in proportional focus among the top firms, yet it remains a critical cornerstone for specific players. Competitor A leads this domain with a maximum mining focus of 50.0 percent, indicating a core capability deeply entrenched in heavy resource extraction infrastructure, specialized maintenance of mining equipment, and adherence to the stringent safety regulations inherent to the mining industry. Conversely, Competitor B exhibits the minimum focus in the mining sector at 20.0 percent, directing its strategic resources toward other high-growth areas. </w:t>
      </w:r>
    </w:p>
    <w:p>
      <w:pPr>
        <w:spacing w:line="288" w:lineRule="auto"/>
        <w:ind w:firstLine="480" w:firstLineChars="200"/>
        <w:jc w:val="both"/>
      </w:pPr>
      <w:r>
        <w:rPr>
          <w:rFonts w:hint="eastAsia" w:ascii="微软雅黑" w:hAnsi="微软雅黑" w:eastAsia="微软雅黑"/>
          <w:noProof/>
          <w:sz w:val="24"/>
        </w:rPr>
        <w:t xml:space="preserve">The energy sector represents another vital area of industry focus, particularly given South Africa's ongoing transition toward sustainable energy and the pressing need to stabilize national power grids. Similar to the mining sector, the proportional focus on energy shows an overall decreasing trend across the broader competitor landscape, though individual firm strategies vary significantly. Competitor B dominates this space, allocating a maximum of 60.0 percent of its industry focus to energy-related engineering and maintenance projects. This substantial commitment suggests that Competitor B possesses specialized capabilities in power generation infrastructure, renewable energy integration, and grid resilience. In stark contrast, Competitor C maintains a minimal focus on energy, dedicating only 10.0 percent of its operational capacity to this sector. </w:t>
      </w:r>
    </w:p>
    <w:p>
      <w:pPr>
        <w:spacing w:line="288" w:lineRule="auto"/>
        <w:ind w:firstLine="480" w:firstLineChars="200"/>
        <w:jc w:val="both"/>
      </w:pPr>
      <w:r>
        <w:rPr>
          <w:rFonts w:hint="eastAsia" w:ascii="微软雅黑" w:hAnsi="微软雅黑" w:eastAsia="微软雅黑"/>
          <w:noProof/>
          <w:sz w:val="24"/>
        </w:rPr>
        <w:t xml:space="preserve">Instead, Competitor C capitalizes on the manufacturing sector, which displays an overall increasing trend in focus among the major engineering firms. Competitor C leads this segment with a maximum manufacturing focus of 50.0 percent, deploying core capabilities centered around industrial automation, facility maintenance, and production line optimization. This strategic emphasis on manufacturing allows Competitor C to address the growing market demand for domestic production capabilities and supply chain resilience. Meanwhile, Competitor A maintains the lowest focus in the manufacturing sector at 20.0 percent, reflecting its strategic decision to prioritize heavy mining infrastructure over industrial manufacturing projects. </w:t>
      </w:r>
    </w:p>
    <w:p>
      <w:pPr>
        <w:spacing w:line="288" w:lineRule="auto"/>
        <w:ind w:firstLine="480" w:firstLineChars="200"/>
        <w:jc w:val="both"/>
      </w:pPr>
      <w:r>
        <w:rPr>
          <w:rFonts w:hint="eastAsia" w:ascii="微软雅黑" w:hAnsi="微软雅黑" w:eastAsia="微软雅黑"/>
          <w:noProof/>
          <w:sz w:val="24"/>
        </w:rPr>
        <w:t xml:space="preserve">In summary, the competitor landscape in South Africa’s engineering and maintenance sector is defined by a complex interplay of rigorous regulatory adherence, rapid technological adoption, and highly specific industry targeting. While the rapid evolution of the field renders historical data, such as insights from 2016, largely obsolete, current market intelligence underscores a sector that is aggressively modernizing </w:t>
      </w:r>
      <w:r>
        <w:rPr>
          <w:rFonts w:hint="eastAsia" w:ascii="微软雅黑" w:hAnsi="微软雅黑" w:eastAsia="微软雅黑"/>
          <w:noProof/>
          <w:sz w:val="24"/>
          <w:vertAlign w:val="superscript"/>
        </w:rPr>
        <w:t>[15]</w:t>
      </w:r>
      <w:r>
        <w:rPr>
          <w:rFonts w:hint="eastAsia" w:ascii="微软雅黑" w:hAnsi="微软雅黑" w:eastAsia="微软雅黑"/>
          <w:noProof/>
          <w:sz w:val="24"/>
        </w:rPr>
        <w:t xml:space="preserve">. Major competitors are continuously refining their core capabilities through digital innovation and alignment with ECSA standards, while strategically distributing their operational focus across mining, energy, and manufacturing to capture specialized market demands and drive sustained growth in a competitive environment.</w:t>
      </w:r>
    </w:p>
    <w:p>
      <w:pPr>
        <w:spacing w:before="360"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4"/>
              </a:graphicData>
            </a:graphic>
          </wp:inline>
        </w:drawing>
      </w:r>
    </w:p>
    <w:p>
      <w:pPr>
        <w:pStyle w:val="Heading2"/>
        <w:spacing w:line="288" w:lineRule="auto"/>
        <w:ind/>
      </w:pPr>
      <w:r>
        <w:rPr>
          <w:rFonts w:hint="eastAsia" w:ascii="微软雅黑" w:hAnsi="微软雅黑" w:eastAsia="微软雅黑"/>
          <w:b/>
          <w:noProof/>
          <w:sz w:val="36"/>
        </w:rPr>
        <w:t xml:space="preserve">Notable Projects, Certifications, and Operational Highlights</w:t>
      </w:r>
    </w:p>
    <w:p>
      <w:pPr>
        <w:spacing w:line="288" w:lineRule="auto"/>
        <w:ind w:firstLine="480" w:firstLineChars="200"/>
        <w:jc w:val="both"/>
      </w:pPr>
      <w:r>
        <w:rPr>
          <w:rFonts w:hint="eastAsia" w:ascii="微软雅黑" w:hAnsi="微软雅黑" w:eastAsia="微软雅黑"/>
          <w:noProof/>
          <w:sz w:val="24"/>
        </w:rPr>
        <w:t xml:space="preserve">The competitive landscape of the engineering and maintenance sector in South Africa is deeply intertwined with the successful execution of notable projects, the acquisition of stringent industry certifications, and the demonstration of robust operational achievements. These elements collectively showcase the track record and reliability of major engineering and maintenance companies operating within the region, providing a clear indicator of their capacity to manage complex, large-scale industrial requirements. Recent engineering projects in South Africa have largely focused on addressing critical infrastructure needs through significant financial investments and strategic initiatives. As of June 2026, the ongoing momentum in the construction and maintenance sector reflects a continuing drive to enhance the country’s foundational infrastructure, heavily supported by government priorities and public-private partnerships. </w:t>
      </w:r>
    </w:p>
    <w:p>
      <w:pPr>
        <w:spacing w:line="288" w:lineRule="auto"/>
        <w:ind w:firstLine="480" w:firstLineChars="200"/>
        <w:jc w:val="both"/>
      </w:pPr>
      <w:r>
        <w:rPr>
          <w:rFonts w:hint="eastAsia" w:ascii="微软雅黑" w:hAnsi="微软雅黑" w:eastAsia="微软雅黑"/>
          <w:noProof/>
          <w:sz w:val="24"/>
        </w:rPr>
        <w:t xml:space="preserve">One key investment highlighted in the South Africa Budget 2026 was the allocation of 9 billion rand toward five strategic initiatives, which primarily target comprehensive upgrades to rail corridors and wastewater infrastructure </w:t>
      </w:r>
      <w:r>
        <w:rPr>
          <w:rFonts w:hint="eastAsia" w:ascii="微软雅黑" w:hAnsi="微软雅黑" w:eastAsia="微软雅黑"/>
          <w:noProof/>
          <w:sz w:val="24"/>
          <w:vertAlign w:val="superscript"/>
        </w:rPr>
        <w:t>[25]</w:t>
      </w:r>
      <w:r>
        <w:rPr>
          <w:rFonts w:hint="eastAsia" w:ascii="微软雅黑" w:hAnsi="微软雅黑" w:eastAsia="微软雅黑"/>
          <w:noProof/>
          <w:sz w:val="24"/>
        </w:rPr>
        <w:t xml:space="preserve">. These prioritized areas underscore the country’s concentrated effort to improve transportation efficiency and water management, both of which are absolutely vital for long-term economic stability and sustainable industrial development. Beyond these direct investments, a broad commitment of R1.07 trillion to national infrastructure that was announced in early 2024 continues to frame the engineering landscape, setting a massive financial foundation for future developments, although information about the specific projects connected to this pledge and their progression since that time remains somewhat limited </w:t>
      </w:r>
      <w:r>
        <w:rPr>
          <w:rFonts w:hint="eastAsia" w:ascii="微软雅黑" w:hAnsi="微软雅黑" w:eastAsia="微软雅黑"/>
          <w:noProof/>
          <w:sz w:val="24"/>
          <w:vertAlign w:val="superscript"/>
        </w:rPr>
        <w:t>[24]</w:t>
      </w:r>
      <w:r>
        <w:rPr>
          <w:rFonts w:hint="eastAsia" w:ascii="微软雅黑" w:hAnsi="微软雅黑" w:eastAsia="微软雅黑"/>
          <w:noProof/>
          <w:sz w:val="24"/>
        </w:rPr>
        <w:t xml:space="preserve">. Additionally, strategic large-scale initiatives aimed at transforming South Africa’s future, such as extensive power plant developments, railway network upgrades, municipal water supply improvements, and commercial port expansions, have been identified as pivotal for supporting long-term growth and boosting public service delivery </w:t>
      </w:r>
      <w:r>
        <w:rPr>
          <w:rFonts w:hint="eastAsia" w:ascii="微软雅黑" w:hAnsi="微软雅黑" w:eastAsia="微软雅黑"/>
          <w:noProof/>
          <w:sz w:val="24"/>
          <w:vertAlign w:val="superscript"/>
        </w:rPr>
        <w:t>[22]</w:t>
      </w:r>
      <w:r>
        <w:rPr>
          <w:rFonts w:hint="eastAsia" w:ascii="微软雅黑" w:hAnsi="微软雅黑" w:eastAsia="微软雅黑"/>
          <w:noProof/>
          <w:sz w:val="24"/>
        </w:rPr>
        <w:t xml:space="preserve">. These ambitious endeavors reflect a sharp focus on modernizing critical national systems in response to growing national and regional economic demands. </w:t>
      </w:r>
    </w:p>
    <w:p>
      <w:pPr>
        <w:spacing w:line="288" w:lineRule="auto"/>
        <w:ind w:firstLine="480" w:firstLineChars="200"/>
        <w:jc w:val="both"/>
      </w:pPr>
      <w:r>
        <w:rPr>
          <w:rFonts w:hint="eastAsia" w:ascii="微软雅黑" w:hAnsi="微软雅黑" w:eastAsia="微软雅黑"/>
          <w:noProof/>
          <w:sz w:val="24"/>
        </w:rPr>
        <w:t xml:space="preserve">The construction and engineering sector’s vibrancy is further evidenced by major industry gatherings such as the South Africa Infrastructure Expo, slated to occur in conjunction with the Big 5 Construct South Africa event in June 2026, which serves as a premier platform to showcase ongoing and planned infrastructure projects </w:t>
      </w:r>
      <w:r>
        <w:rPr>
          <w:rFonts w:hint="eastAsia" w:ascii="微软雅黑" w:hAnsi="微软雅黑" w:eastAsia="微软雅黑"/>
          <w:noProof/>
          <w:sz w:val="24"/>
          <w:vertAlign w:val="superscript"/>
        </w:rPr>
        <w:t>[21][23]</w:t>
      </w:r>
      <w:r>
        <w:rPr>
          <w:rFonts w:hint="eastAsia" w:ascii="微软雅黑" w:hAnsi="微软雅黑" w:eastAsia="微软雅黑"/>
          <w:noProof/>
          <w:sz w:val="24"/>
        </w:rPr>
        <w:t xml:space="preserve">. Though these events primarily highlight industry trends and prospective future developments, they also suggest a heightened level of collaboration among stakeholders in engineering and construction to drive technological innovation and accelerate project implementation timelines. The overarching theme emerging from the current market dynamics is the strategic importance of sustained infrastructure investment in securing South Africa’s economic future, with a special emphasis placed on transport systems and water-related maintenance projects </w:t>
      </w:r>
      <w:r>
        <w:rPr>
          <w:rFonts w:hint="eastAsia" w:ascii="微软雅黑" w:hAnsi="微软雅黑" w:eastAsia="微软雅黑"/>
          <w:noProof/>
          <w:sz w:val="24"/>
          <w:vertAlign w:val="superscript"/>
        </w:rPr>
        <w:t>[22][24][25]</w:t>
      </w:r>
      <w:r>
        <w:rPr>
          <w:rFonts w:hint="eastAsia" w:ascii="微软雅黑" w:hAnsi="微软雅黑" w:eastAsia="微软雅黑"/>
          <w:noProof/>
          <w:sz w:val="24"/>
        </w:rPr>
        <w:t xml:space="preserve">. As of the publication timelines of referenced market data, these strategic initiatives and their significant associated budgets highlight the massive scope and ambition driving new engineering projects in South Africa during recent years.</w:t>
      </w:r>
    </w:p>
    <w:p>
      <w:pPr>
        <w:spacing w:line="288" w:lineRule="auto"/>
        <w:ind w:firstLine="480" w:firstLineChars="200"/>
        <w:jc w:val="both"/>
      </w:pPr>
      <w:r>
        <w:rPr>
          <w:rFonts w:hint="eastAsia" w:ascii="微软雅黑" w:hAnsi="微软雅黑" w:eastAsia="微软雅黑"/>
          <w:noProof/>
          <w:sz w:val="24"/>
        </w:rPr>
        <w:t xml:space="preserve">In tandem with project execution, professional certifications serve to highlight industry standards and reliability within the sector. As of June 2026, the search for the latest engineering certifications and company-related operational highlights in South Africa yields varying levels of temporal accuracy across available educational and corporate sources. Several time-sensitive training opportunities have been highlighted recently, illustrating the industry's commitment to continuous skills development. For instance, the AfriSam In-Service Training Programme offered highly sought-after hands-on experience in electrical engineering, mining engineering, and analytical chemistry, with applications officially closing as of June 23, 2026 </w:t>
      </w:r>
      <w:r>
        <w:rPr>
          <w:rFonts w:hint="eastAsia" w:ascii="微软雅黑" w:hAnsi="微软雅黑" w:eastAsia="微软雅黑"/>
          <w:noProof/>
          <w:sz w:val="24"/>
          <w:vertAlign w:val="superscript"/>
        </w:rPr>
        <w:t>[22]</w:t>
      </w:r>
      <w:r>
        <w:rPr>
          <w:rFonts w:hint="eastAsia" w:ascii="微软雅黑" w:hAnsi="微软雅黑" w:eastAsia="微软雅黑"/>
          <w:noProof/>
          <w:sz w:val="24"/>
        </w:rPr>
        <w:t xml:space="preserve">. While the programme's deadline limits its immediate future utility, it stands as a strong example of corporate investment in operational readiness. Similarly, the EngineerConnect Johannesburg event promoted by the Education Institute of Technology in June 2026 emphasized critical professional development through advanced educational offerings like the Advanced Diploma of Plant Engineering </w:t>
      </w:r>
      <w:r>
        <w:rPr>
          <w:rFonts w:hint="eastAsia" w:ascii="微软雅黑" w:hAnsi="微软雅黑" w:eastAsia="微软雅黑"/>
          <w:noProof/>
          <w:sz w:val="24"/>
          <w:vertAlign w:val="superscript"/>
        </w:rPr>
        <w:t>[21]</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Another highly pertinent resource for maintaining operational excellence is the South African Institute of Electrical Engineers calendar, which lists mandatory Continuing Professional Development courses such as Photovoltaic Solar Systems and the use of high-temperature conductors on high-voltage transmission networks, scheduled for late June 2026 </w:t>
      </w:r>
      <w:r>
        <w:rPr>
          <w:rFonts w:hint="eastAsia" w:ascii="微软雅黑" w:hAnsi="微软雅黑" w:eastAsia="微软雅黑"/>
          <w:noProof/>
          <w:sz w:val="24"/>
          <w:vertAlign w:val="superscript"/>
        </w:rPr>
        <w:t>[23]</w:t>
      </w:r>
      <w:r>
        <w:rPr>
          <w:rFonts w:hint="eastAsia" w:ascii="微软雅黑" w:hAnsi="微软雅黑" w:eastAsia="微软雅黑"/>
          <w:noProof/>
          <w:sz w:val="24"/>
        </w:rPr>
        <w:t xml:space="preserve">. These targeted courses contribute directly to the maintenance of engineering certifications, specifically within the highly regulated electrical engineering field, and can be seen as actionable opportunities still available for South African engineers looking to maintain their professional standing </w:t>
      </w:r>
      <w:r>
        <w:rPr>
          <w:rFonts w:hint="eastAsia" w:ascii="微软雅黑" w:hAnsi="微软雅黑" w:eastAsia="微软雅黑"/>
          <w:noProof/>
          <w:sz w:val="24"/>
          <w:vertAlign w:val="superscript"/>
        </w:rPr>
        <w:t>[23]</w:t>
      </w:r>
      <w:r>
        <w:rPr>
          <w:rFonts w:hint="eastAsia" w:ascii="微软雅黑" w:hAnsi="微软雅黑" w:eastAsia="微软雅黑"/>
          <w:noProof/>
          <w:sz w:val="24"/>
        </w:rPr>
        <w:t xml:space="preserve">. Furthermore, beyond traditional engineering-specific certifications, modern information technology certifications are increasingly recognized as vital for engineering roles in today's technology-driven industrial sectors. Credentials such as the AWS Certified Solutions Architect, Microsoft Certified Azure Administrator, and Google Cloud Professional Data Engineer are projected to remain critical throughout 2026 </w:t>
      </w:r>
      <w:r>
        <w:rPr>
          <w:rFonts w:hint="eastAsia" w:ascii="微软雅黑" w:hAnsi="微软雅黑" w:eastAsia="微软雅黑"/>
          <w:noProof/>
          <w:sz w:val="24"/>
          <w:vertAlign w:val="superscript"/>
        </w:rPr>
        <w:t>[24]</w:t>
      </w:r>
      <w:r>
        <w:rPr>
          <w:rFonts w:hint="eastAsia" w:ascii="微软雅黑" w:hAnsi="微软雅黑" w:eastAsia="微软雅黑"/>
          <w:noProof/>
          <w:sz w:val="24"/>
        </w:rPr>
        <w:t xml:space="preserve">. These digital certifications cater to modern professionals tasked with integrating cloud computing, advanced data engineering, and complex information technology solutions within traditional engineering and maintenance companies. </w:t>
      </w:r>
    </w:p>
    <w:p>
      <w:pPr>
        <w:spacing w:line="288" w:lineRule="auto"/>
        <w:ind w:firstLine="480" w:firstLineChars="200"/>
        <w:jc w:val="both"/>
      </w:pPr>
      <w:r>
        <w:rPr>
          <w:rFonts w:hint="eastAsia" w:ascii="微软雅黑" w:hAnsi="微软雅黑" w:eastAsia="微软雅黑"/>
          <w:noProof/>
          <w:sz w:val="24"/>
        </w:rPr>
        <w:t xml:space="preserve">The Department of Higher Education and Training serves as a formal governmental channel for accessing verified information about modernized qualifications in the engineering sector, emphasizing the continuous need for professionals to consult official portals for accredited corporate training programs </w:t>
      </w:r>
      <w:r>
        <w:rPr>
          <w:rFonts w:hint="eastAsia" w:ascii="微软雅黑" w:hAnsi="微软雅黑" w:eastAsia="微软雅黑"/>
          <w:noProof/>
          <w:sz w:val="24"/>
          <w:vertAlign w:val="superscript"/>
        </w:rPr>
        <w:t>[25]</w:t>
      </w:r>
      <w:r>
        <w:rPr>
          <w:rFonts w:hint="eastAsia" w:ascii="微软雅黑" w:hAnsi="微软雅黑" w:eastAsia="微软雅黑"/>
          <w:noProof/>
          <w:sz w:val="24"/>
        </w:rPr>
        <w:t xml:space="preserve">. Current Continuing Professional Development events and IT-focused certifications appear highly timely and align perfectly with current market demands, highlighting their immense value for engineers aiming to future-proof their technical skillsets. Ultimately, the synthesis of large-scale infrastructure project execution and the rigorous pursuit of advanced professional certifications demonstrates the operational performance and track record of South Africa's leading engineering firms. While professionals seeking certification opportunities must continuously consult the latest listings from industry associations, academic institutions, and regulatory bodies to ensure their credentials remain fully current, the overarching landscape indicates a robust, evolving sector. The ongoing financial commitments to national rail, water, and power infrastructure, combined with a workforce dedicated to maintaining high certification standards, solidify the competitive strength and operational reliability of the engineering and maintenance market in South Africa.</w:t>
      </w:r>
    </w:p>
    <w:p>
      <w:pPr>
        <w:spacing w:line="360" w:lineRule="auto"/>
        <w:ind/>
      </w:pPr>
      <w:r>
        <w:rPr>
          <w:rFonts w:hint="eastAsia"/>
          <w:b/>
          <w:noProof/>
          <w:sz w:val="22"/>
        </w:rPr>
        <w:t xml:space="preserve">Overview of Certifications and Notable Projects Focus Areas</w:t>
      </w:r>
    </w:p>
    <w:tbl>
      <w:tblPr>
        <w:tblW w:w="0" w:type="dxa"/>
      </w:tblPr>
      <w:tblGrid>
        <w:gridCol w:w="3450"/>
        <w:gridCol w:w="3450"/>
        <w:gridCol w:w="3450"/>
      </w:tblGrid>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Category</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Description</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Region</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Notable Projects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Showcases track record and reliability of major engineering and maintenance companies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South Africa</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Certifications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Highlights industry standards and reliability within the sector</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South Africa</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Operational Achievements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Demonstrates operational performance and track record</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South Africa</w:t>
            </w:r>
          </w:p>
        </w:tc>
      </w:tr>
    </w:tbl>
    <w:p>
      <w:pPr>
        <w:spacing w:beforeLines="50" w:line="360" w:lineRule="auto"/>
        <w:ind/>
        <w:jc w:val="left"/>
      </w:pPr>
      <w:r>
        <w:rPr>
          <w:rFonts w:hint="eastAsia"/>
          <w:b/>
          <w:noProof/>
          <w:sz w:val="22"/>
        </w:rPr>
        <w:t xml:space="preserve">Data Source: Google Search</w:t>
      </w:r>
    </w:p>
    <w:p>
      <w:pPr>
        <w:pStyle w:val="Heading1"/>
        <w:spacing w:line="288" w:lineRule="auto"/>
        <w:ind/>
      </w:pPr>
      <w:r>
        <w:rPr>
          <w:rFonts w:hint="eastAsia" w:ascii="微软雅黑" w:hAnsi="微软雅黑" w:eastAsia="微软雅黑"/>
          <w:b/>
          <w:noProof/>
          <w:sz w:val="40"/>
        </w:rPr>
        <w:t xml:space="preserve">Market and Procurement Dynamics</w:t>
      </w:r>
    </w:p>
    <w:p>
      <w:pPr>
        <w:pStyle w:val="Heading2"/>
        <w:spacing w:line="288" w:lineRule="auto"/>
        <w:ind/>
      </w:pPr>
      <w:r>
        <w:rPr>
          <w:rFonts w:hint="eastAsia" w:ascii="微软雅黑" w:hAnsi="微软雅黑" w:eastAsia="微软雅黑"/>
          <w:b/>
          <w:noProof/>
          <w:sz w:val="36"/>
        </w:rPr>
        <w:t xml:space="preserve">Engineering and Maintenance Tender Portals in South Africa</w:t>
      </w:r>
    </w:p>
    <w:p>
      <w:pPr>
        <w:spacing w:line="288" w:lineRule="auto"/>
        <w:ind w:firstLine="480" w:firstLineChars="200"/>
        <w:jc w:val="both"/>
      </w:pPr>
      <w:r>
        <w:rPr>
          <w:rFonts w:hint="eastAsia" w:ascii="微软雅黑" w:hAnsi="微软雅黑" w:eastAsia="微软雅黑"/>
          <w:noProof/>
          <w:sz w:val="24"/>
        </w:rPr>
        <w:t xml:space="preserve">The engineering and maintenance procurement landscape in South Africa is characterized by a complex and dynamic ecosystem of tender portals, evolving regulatory frameworks, and stringent compliance requirements. As of June 2026, the sector is experiencing significant transformations driven by technological advancements, federal policy changes, and an increased emphasis on cybersecurity within the supply chain. Navigating this environment requires a comprehensive understanding of the various platforms that facilitate project bids, as well as the underlying procurement methodologies that dictate how contracts are awarded and managed. </w:t>
      </w:r>
    </w:p>
    <w:p>
      <w:pPr>
        <w:spacing w:line="288" w:lineRule="auto"/>
        <w:ind w:firstLine="480" w:firstLineChars="200"/>
        <w:jc w:val="both"/>
      </w:pPr>
      <w:r>
        <w:rPr>
          <w:rFonts w:hint="eastAsia" w:ascii="微软雅黑" w:hAnsi="微软雅黑" w:eastAsia="微软雅黑"/>
          <w:noProof/>
          <w:sz w:val="24"/>
        </w:rPr>
        <w:t xml:space="preserve">Central to the procurement process in South Africa are the digital tender portals that serve as the primary conduit between contracting authorities and engineering firms. The market share distribution among these platforms highlights a distinct concentration of utilization. The eTender Publication Portal stands as the dominant platform in the sector, commanding an estimated market share of 45.0 percent. This significant proportion underscores its critical role as the central repository for engineering and maintenance contracts within the country. Conversely, a combination of smaller, niche platforms constitutes the lowest proportion of the market, collectively accounting for 10.0 percent. This distribution indicates that while the market is anchored by a primary portal, there remains a fragmented periphery of specialized platforms catering to specific procurement needs.</w:t>
      </w:r>
    </w:p>
    <w:p>
      <w:pPr>
        <w:spacing w:line="288" w:lineRule="auto"/>
        <w:ind w:firstLine="480" w:firstLineChars="200"/>
        <w:jc w:val="both"/>
      </w:pPr>
      <w:r>
        <w:rPr>
          <w:rFonts w:hint="eastAsia" w:ascii="微软雅黑" w:hAnsi="微软雅黑" w:eastAsia="微软雅黑"/>
          <w:noProof/>
          <w:sz w:val="24"/>
        </w:rPr>
        <w:t xml:space="preserve">Among the various platforms available, Tenderbulletins.co.za operates as a dedicated resource for engineering consulting tenders, offering access to requests for information, requests for quotations, and formal proposals</w:t>
      </w:r>
      <w:r>
        <w:rPr>
          <w:rFonts w:hint="eastAsia" w:ascii="微软雅黑" w:hAnsi="微软雅黑" w:eastAsia="微软雅黑"/>
          <w:noProof/>
          <w:sz w:val="24"/>
          <w:vertAlign w:val="superscript"/>
        </w:rPr>
        <w:t>[31]</w:t>
      </w:r>
      <w:r>
        <w:rPr>
          <w:rFonts w:hint="eastAsia" w:ascii="微软雅黑" w:hAnsi="微软雅黑" w:eastAsia="微软雅黑"/>
          <w:noProof/>
          <w:sz w:val="24"/>
        </w:rPr>
        <w:t xml:space="preserve">. However, the utility of this platform is occasionally hindered by the time-sensitive nature of tender cycles, as listings may become outdated rapidly, complicating the ability of firms to act on current opportunities</w:t>
      </w:r>
      <w:r>
        <w:rPr>
          <w:rFonts w:hint="eastAsia" w:ascii="微软雅黑" w:hAnsi="微软雅黑" w:eastAsia="微软雅黑"/>
          <w:noProof/>
          <w:sz w:val="24"/>
          <w:vertAlign w:val="superscript"/>
        </w:rPr>
        <w:t>[31]</w:t>
      </w:r>
      <w:r>
        <w:rPr>
          <w:rFonts w:hint="eastAsia" w:ascii="微软雅黑" w:hAnsi="微软雅黑" w:eastAsia="微软雅黑"/>
          <w:noProof/>
          <w:sz w:val="24"/>
        </w:rPr>
        <w:t xml:space="preserve">. For more robust and forward-looking opportunities, TendersOnTime provides a highly relevant online portal specifically focused on South African infrastructure tenders</w:t>
      </w:r>
      <w:r>
        <w:rPr>
          <w:rFonts w:hint="eastAsia" w:ascii="微软雅黑" w:hAnsi="微软雅黑" w:eastAsia="微软雅黑"/>
          <w:noProof/>
          <w:sz w:val="24"/>
          <w:vertAlign w:val="superscript"/>
        </w:rPr>
        <w:t>[33]</w:t>
      </w:r>
      <w:r>
        <w:rPr>
          <w:rFonts w:hint="eastAsia" w:ascii="微软雅黑" w:hAnsi="微软雅黑" w:eastAsia="微软雅黑"/>
          <w:noProof/>
          <w:sz w:val="24"/>
        </w:rPr>
        <w:t xml:space="preserve">. This platform encompasses a wide array of engineering projects nested within broader infrastructure initiatives, demonstrating strong utility by listing bids with extended deadlines, including projects stretching into 2029</w:t>
      </w:r>
      <w:r>
        <w:rPr>
          <w:rFonts w:hint="eastAsia" w:ascii="微软雅黑" w:hAnsi="微软雅黑" w:eastAsia="微软雅黑"/>
          <w:noProof/>
          <w:sz w:val="24"/>
          <w:vertAlign w:val="superscript"/>
        </w:rPr>
        <w:t>[33]</w:t>
      </w:r>
      <w:r>
        <w:rPr>
          <w:rFonts w:hint="eastAsia" w:ascii="微软雅黑" w:hAnsi="微软雅黑" w:eastAsia="微软雅黑"/>
          <w:noProof/>
          <w:sz w:val="24"/>
        </w:rPr>
        <w:t xml:space="preserve">. The forward-looking nature of TendersOnTime makes it an indispensable tool for engineering firms seeking long-term project pipelines.</w:t>
      </w:r>
    </w:p>
    <w:p>
      <w:pPr>
        <w:spacing w:line="288" w:lineRule="auto"/>
        <w:ind w:firstLine="480" w:firstLineChars="200"/>
        <w:jc w:val="both"/>
      </w:pPr>
      <w:r>
        <w:rPr>
          <w:rFonts w:hint="eastAsia" w:ascii="微软雅黑" w:hAnsi="微软雅黑" w:eastAsia="微软雅黑"/>
          <w:noProof/>
          <w:sz w:val="24"/>
        </w:rPr>
        <w:t xml:space="preserve">Other platforms cater to varied segments of the market with differing degrees of temporal relevance. Tendersinfo.com aggregates government bids, requests for quotations, and requests for proposals; however, users must navigate the risk of redundancy, as many tender deadlines for the 2026 fiscal year may have already lapsed by mid-year, thereby limiting the platform's efficacy for immediate procurement strategies</w:t>
      </w:r>
      <w:r>
        <w:rPr>
          <w:rFonts w:hint="eastAsia" w:ascii="微软雅黑" w:hAnsi="微软雅黑" w:eastAsia="微软雅黑"/>
          <w:noProof/>
          <w:sz w:val="24"/>
          <w:vertAlign w:val="superscript"/>
        </w:rPr>
        <w:t>[34]</w:t>
      </w:r>
      <w:r>
        <w:rPr>
          <w:rFonts w:hint="eastAsia" w:ascii="微软雅黑" w:hAnsi="微软雅黑" w:eastAsia="微软雅黑"/>
          <w:noProof/>
          <w:sz w:val="24"/>
        </w:rPr>
        <w:t xml:space="preserve">. EasyTenders.co.za offers a more dynamic solution, specifically designed to deliver timely notifications for South African tenders, including engineering-related bids issued by major organizations such as the Passenger Rail Agency of South Africa</w:t>
      </w:r>
      <w:r>
        <w:rPr>
          <w:rFonts w:hint="eastAsia" w:ascii="微软雅黑" w:hAnsi="微软雅黑" w:eastAsia="微软雅黑"/>
          <w:noProof/>
          <w:sz w:val="24"/>
          <w:vertAlign w:val="superscript"/>
        </w:rPr>
        <w:t>[35]</w:t>
      </w:r>
      <w:r>
        <w:rPr>
          <w:rFonts w:hint="eastAsia" w:ascii="微软雅黑" w:hAnsi="微软雅黑" w:eastAsia="微软雅黑"/>
          <w:noProof/>
          <w:sz w:val="24"/>
        </w:rPr>
        <w:t xml:space="preserve">. Its capability for real-time updates makes it an accessible and valuable tool for tracking live tenders, although its structural emphasis remains on individual tender notifications rather than functioning as a holistic, all-encompassing engineering portal</w:t>
      </w:r>
      <w:r>
        <w:rPr>
          <w:rFonts w:hint="eastAsia" w:ascii="微软雅黑" w:hAnsi="微软雅黑" w:eastAsia="微软雅黑"/>
          <w:noProof/>
          <w:sz w:val="24"/>
          <w:vertAlign w:val="superscript"/>
        </w:rPr>
        <w:t>[35]</w:t>
      </w:r>
      <w:r>
        <w:rPr>
          <w:rFonts w:hint="eastAsia" w:ascii="微软雅黑" w:hAnsi="微软雅黑" w:eastAsia="微软雅黑"/>
          <w:noProof/>
          <w:sz w:val="24"/>
        </w:rPr>
        <w:t xml:space="preserve">. Furthermore, highly specialized platforms exist for niche sectors, such as the South African National Space Agency portal, which lists open tenders strictly limited to space technology-related procurement needs rather than general engineering and maintenance contracts</w:t>
      </w:r>
      <w:r>
        <w:rPr>
          <w:rFonts w:hint="eastAsia" w:ascii="微软雅黑" w:hAnsi="微软雅黑" w:eastAsia="微软雅黑"/>
          <w:noProof/>
          <w:sz w:val="24"/>
          <w:vertAlign w:val="superscript"/>
        </w:rPr>
        <w:t>[32]</w:t>
      </w:r>
      <w:r>
        <w:rPr>
          <w:rFonts w:hint="eastAsia" w:ascii="微软雅黑" w:hAnsi="微软雅黑" w:eastAsia="微软雅黑"/>
          <w:noProof/>
          <w:sz w:val="24"/>
        </w:rPr>
        <w:t xml:space="preserve">. The highly specific and time-bound nature of these listings emphasizes the necessity for firms to monitor portals that directly align with their operational capabilities.</w:t>
      </w:r>
    </w:p>
    <w:p>
      <w:pPr>
        <w:spacing w:line="288" w:lineRule="auto"/>
        <w:ind w:firstLine="480" w:firstLineChars="200"/>
        <w:jc w:val="both"/>
      </w:pPr>
      <w:r>
        <w:rPr>
          <w:rFonts w:hint="eastAsia" w:ascii="微软雅黑" w:hAnsi="微软雅黑" w:eastAsia="微软雅黑"/>
          <w:noProof/>
          <w:sz w:val="24"/>
        </w:rPr>
        <w:t xml:space="preserve">Beyond the platforms themselves, the underlying procurement processes in the engineering sector are being fundamentally reshaped by recent regulatory shifts and technological imperatives. Recent discourse within the professional engineering community has heavily focused on federal Executive Orders that impact contracting procedures, prompting firms to rapidly adapt to new procurement policies and compliance mandates</w:t>
      </w:r>
      <w:r>
        <w:rPr>
          <w:rFonts w:hint="eastAsia" w:ascii="微软雅黑" w:hAnsi="微软雅黑" w:eastAsia="微软雅黑"/>
          <w:noProof/>
          <w:sz w:val="24"/>
          <w:vertAlign w:val="superscript"/>
        </w:rPr>
        <w:t>[32]</w:t>
      </w:r>
      <w:r>
        <w:rPr>
          <w:rFonts w:hint="eastAsia" w:ascii="微软雅黑" w:hAnsi="微软雅黑" w:eastAsia="微软雅黑"/>
          <w:noProof/>
          <w:sz w:val="24"/>
        </w:rPr>
        <w:t xml:space="preserve">. The timely nature of these directives, particularly those emerging around June 2026, highlights the active and ongoing concerns regarding federal guidelines and their implications for bid preparation and contract execution</w:t>
      </w:r>
      <w:r>
        <w:rPr>
          <w:rFonts w:hint="eastAsia" w:ascii="微软雅黑" w:hAnsi="微软雅黑" w:eastAsia="微软雅黑"/>
          <w:noProof/>
          <w:sz w:val="24"/>
          <w:vertAlign w:val="superscript"/>
        </w:rPr>
        <w:t>[32]</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A critical evolution in modern procurement methodologies is the mandatory integration of robust cybersecurity measures into engineering contracts. This shift is prominently exemplified by the pre-release of draft requests for proposals that tie procurement eligibility directly to stringent cybersecurity frameworks, such as the Cybersecurity Maturity Model Certification Level 2 compliance</w:t>
      </w:r>
      <w:r>
        <w:rPr>
          <w:rFonts w:hint="eastAsia" w:ascii="微软雅黑" w:hAnsi="微软雅黑" w:eastAsia="微软雅黑"/>
          <w:noProof/>
          <w:sz w:val="24"/>
          <w:vertAlign w:val="superscript"/>
        </w:rPr>
        <w:t>[34]</w:t>
      </w:r>
      <w:r>
        <w:rPr>
          <w:rFonts w:hint="eastAsia" w:ascii="微软雅黑" w:hAnsi="微软雅黑" w:eastAsia="微软雅黑"/>
          <w:noProof/>
          <w:sz w:val="24"/>
        </w:rPr>
        <w:t xml:space="preserve">. Outlined in presolicitation notices, these anticipated frameworks underscore the non-negotiable importance of digital security standards in engineering contracts, particularly those intersecting with federal, defense, or critical infrastructure sectors. The inclusion of Industry Day events in these procurement cycles further emphasizes the growing reliance on stakeholder engagement to refine and optimize secure procurement methodologies</w:t>
      </w:r>
      <w:r>
        <w:rPr>
          <w:rFonts w:hint="eastAsia" w:ascii="微软雅黑" w:hAnsi="微软雅黑" w:eastAsia="微软雅黑"/>
          <w:noProof/>
          <w:sz w:val="24"/>
          <w:vertAlign w:val="superscript"/>
        </w:rPr>
        <w:t>[34]</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Despite these technological and regulatory advancements, traditional competitive bidding remains the foundational strategy for engineering procurement. Entities continue to utilize structured, competitive processes that mandate rigorous preliminary engagements, such as mandatory briefing meetings and comprehensive site visits, ensuring that bidding firms fully comprehend the scope and physical realities of the maintenance or engineering tasks required</w:t>
      </w:r>
      <w:r>
        <w:rPr>
          <w:rFonts w:hint="eastAsia" w:ascii="微软雅黑" w:hAnsi="微软雅黑" w:eastAsia="微软雅黑"/>
          <w:noProof/>
          <w:sz w:val="24"/>
          <w:vertAlign w:val="superscript"/>
        </w:rPr>
        <w:t>[33]</w:t>
      </w:r>
      <w:r>
        <w:rPr>
          <w:rFonts w:hint="eastAsia" w:ascii="微软雅黑" w:hAnsi="微软雅黑" w:eastAsia="微软雅黑"/>
          <w:noProof/>
          <w:sz w:val="24"/>
        </w:rPr>
        <w:t xml:space="preserve">. To navigate these complex processes, industry stakeholders frequently participate in specialized conferences, such as those hosted by the World Academy of Science, Engineering and Technology, which facilitate in-depth discussions on supply chain optimization, strategic sourcing, and advanced risk management</w:t>
      </w:r>
      <w:r>
        <w:rPr>
          <w:rFonts w:hint="eastAsia" w:ascii="微软雅黑" w:hAnsi="微软雅黑" w:eastAsia="微软雅黑"/>
          <w:noProof/>
          <w:sz w:val="24"/>
          <w:vertAlign w:val="superscript"/>
        </w:rPr>
        <w:t>[35]</w:t>
      </w:r>
      <w:r>
        <w:rPr>
          <w:rFonts w:hint="eastAsia" w:ascii="微软雅黑" w:hAnsi="微软雅黑" w:eastAsia="微软雅黑"/>
          <w:noProof/>
          <w:sz w:val="24"/>
        </w:rPr>
        <w:t xml:space="preserve">. These forums are crucial for exchanging insights on process improvements, even as historical analyses from organizations like the Society of American Military Engineers provide foundational context regarding the long-term impacts of past legislative procurement reforms on architecture, engineering, and construction firms</w:t>
      </w:r>
      <w:r>
        <w:rPr>
          <w:rFonts w:hint="eastAsia" w:ascii="微软雅黑" w:hAnsi="微软雅黑" w:eastAsia="微软雅黑"/>
          <w:noProof/>
          <w:sz w:val="24"/>
          <w:vertAlign w:val="superscript"/>
        </w:rPr>
        <w:t>[31]</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Synthesizing these market and procurement dynamics reveals a highly competitive engineering and maintenance sector in South Africa. The dominance of the eTender Publication Portal, complemented by specialized platforms like TendersOnTime and EasyTenders.co.za, dictates the avenues through which intelligence is gathered and bids are submitted. Simultaneously, the integration of rigorous cybersecurity mandates and evolving federal compliance policies requires engineering firms to maintain unprecedented levels of agility and administrative rigor. Continuous monitoring of these portals, coupled with active engagement in industry forums and adherence to emerging regulatory frameworks, remains essential for firms seeking to secure and successfully execute engineering and maintenance contracts in this evolving market landscape.</w:t>
      </w:r>
    </w:p>
    <w:p>
      <w:pPr>
        <w:spacing w:before="360"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5"/>
              </a:graphicData>
            </a:graphic>
          </wp:inline>
        </w:drawing>
      </w:r>
    </w:p>
    <w:p>
      <w:pPr>
        <w:pStyle w:val="Heading2"/>
        <w:spacing w:line="288" w:lineRule="auto"/>
        <w:ind/>
      </w:pPr>
      <w:r>
        <w:rPr>
          <w:rFonts w:hint="eastAsia" w:ascii="微软雅黑" w:hAnsi="微软雅黑" w:eastAsia="微软雅黑"/>
          <w:b/>
          <w:noProof/>
          <w:sz w:val="36"/>
        </w:rPr>
        <w:t xml:space="preserve">CIDB Grade Relevance for Fabrication and Structural Steel Projects</w:t>
      </w:r>
    </w:p>
    <w:p>
      <w:pPr>
        <w:spacing w:line="288" w:lineRule="auto"/>
        <w:ind w:firstLine="480" w:firstLineChars="200"/>
        <w:jc w:val="both"/>
      </w:pPr>
      <w:r>
        <w:rPr>
          <w:rFonts w:hint="eastAsia" w:ascii="微软雅黑" w:hAnsi="微软雅黑" w:eastAsia="微软雅黑"/>
          <w:noProof/>
          <w:sz w:val="24"/>
        </w:rPr>
        <w:t xml:space="preserve">The landscape of engineering and maintenance in South Africa is heavily regulated by statutory frameworks designed to ensure quality, safety, and equitable market participation. Within the fabrication and structural steel sector, the Construction Industry Development Board (CIDB) grading system serves as a fundamental mechanism for market organization and procurement dynamics. As of June 2026, understanding the relevance of CIDB grading is essential for stakeholders navigating the complexities of structural steel projects. The CIDB grading system categorizes contractors based on their financial capability and works capability, thereby dictating the scale and complexity of projects they are permitted to undertake. For fabrication and structural steel projects, this grading framework directly influences two critical dimensions of procurement: project eligibility and contractor selection. According to recent industry analyses regarding the impact of CIDB grades on fabrication and structural steel projects in South Africa, grading acts as the ultimate determinant for project eligibility. The framework ensures that only contractors with the requisite financial backing and technical proficiency are eligible to bid for specific projects, thereby mitigating the risk of project failure due to contractor insolvency or technical incompetence. Furthermore, CIDB grades act as the core criteria for selecting contractors in the industry, streamlining the procurement process for clients by providing a standardized metric of a contractor's capacity.</w:t>
      </w:r>
    </w:p>
    <w:p>
      <w:pPr>
        <w:spacing w:line="288" w:lineRule="auto"/>
        <w:ind w:firstLine="480" w:firstLineChars="200"/>
        <w:jc w:val="both"/>
      </w:pPr>
      <w:r>
        <w:rPr>
          <w:rFonts w:hint="eastAsia" w:ascii="微软雅黑" w:hAnsi="微软雅黑" w:eastAsia="微软雅黑"/>
          <w:noProof/>
          <w:sz w:val="24"/>
        </w:rPr>
        <w:t xml:space="preserve">An examination of the distribution of contractor selection based on CIDB grades reveals significant market concentration within specific tiers. Data illustrating the impact of CIDB grades on contractor selection for structural steel projects indicates that mid-tier contractors, specifically those within Grades 4 to 6, represent the highest proportion of the market, accounting for 50.0% of contractor selections. This high concentration suggests that the majority of structural steel and fabrication projects in South Africa fall within the medium-scale financial and technical thresholds, requiring established but not necessarily top-tier enterprise capabilities. These projects often include standard commercial fabrication, structural frameworks for mid-sized industrial facilities, and routine maintenance contracts. Conversely, contractors in Grades 1 to 3 account for the lowest proportion, at 20.0%. This lower representation highlights the barriers to entry in the structural steel sector, where the high costs of fabrication equipment, skilled labor, and raw materials make it difficult for emerging micro-enterprises to compete for formal contracts. The remaining market share is naturally occupied by the highest tier (Grades 7 to 9), which handles large-scale, high-value infrastructure and heavy industrial projects requiring massive capital and advanced engineering capabilities.</w:t>
      </w:r>
    </w:p>
    <w:p>
      <w:pPr>
        <w:spacing w:line="288" w:lineRule="auto"/>
        <w:ind w:firstLine="480" w:firstLineChars="200"/>
        <w:jc w:val="both"/>
      </w:pPr>
      <w:r>
        <w:rPr>
          <w:rFonts w:hint="eastAsia" w:ascii="微软雅黑" w:hAnsi="微软雅黑" w:eastAsia="微软雅黑"/>
          <w:noProof/>
          <w:sz w:val="24"/>
        </w:rPr>
        <w:t xml:space="preserve">The operational relevance of CIDB grading is inextricably linked to the rigorous material and structural standards governing the South African steel industry. While CIDB grades assess contractor capacity, the actual execution of fabrication projects must adhere strictly to technical specifications. As of June 2026, structural steel grading requirements remain a critical topic influenced by both national standards and evolving industry practices. The Southern African Institute of Steel Construction (SAISC) is regarded as a key authority on industry standards within the region. Recently, the SAISC released its 2026 Rondo Trade Product Guide, which purportedly covers essential technical topics such as steel grades, section types, and structural standards</w:t>
      </w:r>
      <w:r>
        <w:rPr>
          <w:rFonts w:hint="eastAsia" w:ascii="微软雅黑" w:hAnsi="微软雅黑" w:eastAsia="微软雅黑"/>
          <w:noProof/>
          <w:sz w:val="24"/>
          <w:vertAlign w:val="superscript"/>
        </w:rPr>
        <w:t>[43]</w:t>
      </w:r>
      <w:r>
        <w:rPr>
          <w:rFonts w:hint="eastAsia" w:ascii="微软雅黑" w:hAnsi="微软雅黑" w:eastAsia="微软雅黑"/>
          <w:noProof/>
          <w:sz w:val="24"/>
        </w:rPr>
        <w:t xml:space="preserve">. Although specific grading requirements are highly detailed within such proprietary guides, they serve as a comprehensive and current resource for professionals operating within the South African market</w:t>
      </w:r>
      <w:r>
        <w:rPr>
          <w:rFonts w:hint="eastAsia" w:ascii="微软雅黑" w:hAnsi="微软雅黑" w:eastAsia="微软雅黑"/>
          <w:noProof/>
          <w:sz w:val="24"/>
          <w:vertAlign w:val="superscript"/>
        </w:rPr>
        <w:t>[43]</w:t>
      </w:r>
      <w:r>
        <w:rPr>
          <w:rFonts w:hint="eastAsia" w:ascii="微软雅黑" w:hAnsi="微软雅黑" w:eastAsia="微软雅黑"/>
          <w:noProof/>
          <w:sz w:val="24"/>
        </w:rPr>
        <w:t xml:space="preserve">. The adherence to these standards is vital for contractors across all CIDB grades to ensure structural integrity and compliance with national building regulations.</w:t>
      </w:r>
    </w:p>
    <w:p>
      <w:pPr>
        <w:spacing w:line="288" w:lineRule="auto"/>
        <w:ind w:firstLine="480" w:firstLineChars="200"/>
        <w:jc w:val="both"/>
      </w:pPr>
      <w:r>
        <w:rPr>
          <w:rFonts w:hint="eastAsia" w:ascii="微软雅黑" w:hAnsi="微软雅黑" w:eastAsia="微软雅黑"/>
          <w:noProof/>
          <w:sz w:val="24"/>
        </w:rPr>
        <w:t xml:space="preserve">Despite the existence of clear guidelines, the industry faces challenges regarding the uniform application of these standards. A recent communication from the SAISC in May 2026 highlighted discrepancies in professional practices within the steel industry, asserting that not all stakeholders adhere to uniform standards</w:t>
      </w:r>
      <w:r>
        <w:rPr>
          <w:rFonts w:hint="eastAsia" w:ascii="微软雅黑" w:hAnsi="微软雅黑" w:eastAsia="微软雅黑"/>
          <w:noProof/>
          <w:sz w:val="24"/>
          <w:vertAlign w:val="superscript"/>
        </w:rPr>
        <w:t>[45]</w:t>
      </w:r>
      <w:r>
        <w:rPr>
          <w:rFonts w:hint="eastAsia" w:ascii="微软雅黑" w:hAnsi="微软雅黑" w:eastAsia="微软雅黑"/>
          <w:noProof/>
          <w:sz w:val="24"/>
        </w:rPr>
        <w:t xml:space="preserve">. This indicates that the SAISC continues to advocate for strict adherence to established grading and structural guidelines across the sector, reinforcing its crucial role in standardization, even if it stops short of detailing specific grading criteria in broad public communications</w:t>
      </w:r>
      <w:r>
        <w:rPr>
          <w:rFonts w:hint="eastAsia" w:ascii="微软雅黑" w:hAnsi="微软雅黑" w:eastAsia="微软雅黑"/>
          <w:noProof/>
          <w:sz w:val="24"/>
          <w:vertAlign w:val="superscript"/>
        </w:rPr>
        <w:t>[45]</w:t>
      </w:r>
      <w:r>
        <w:rPr>
          <w:rFonts w:hint="eastAsia" w:ascii="微软雅黑" w:hAnsi="微软雅黑" w:eastAsia="微软雅黑"/>
          <w:noProof/>
          <w:sz w:val="24"/>
        </w:rPr>
        <w:t xml:space="preserve">. For CIDB-registered contractors, this underscores the necessity of internal quality control systems to align with the expectations of regulatory bodies like the SAISC and the South African Bureau of Standards (SABS). On a broader scale, modern civil engineering relies heavily on standardized structural grades, such as S235 and S275, which are foundational in understanding material properties and applications globally</w:t>
      </w:r>
      <w:r>
        <w:rPr>
          <w:rFonts w:hint="eastAsia" w:ascii="微软雅黑" w:hAnsi="微软雅黑" w:eastAsia="微软雅黑"/>
          <w:noProof/>
          <w:sz w:val="24"/>
          <w:vertAlign w:val="superscript"/>
        </w:rPr>
        <w:t>[44]</w:t>
      </w:r>
      <w:r>
        <w:rPr>
          <w:rFonts w:hint="eastAsia" w:ascii="微软雅黑" w:hAnsi="微软雅黑" w:eastAsia="微软雅黑"/>
          <w:noProof/>
          <w:sz w:val="24"/>
        </w:rPr>
        <w:t xml:space="preserve">. However, while these global grading standards provide a baseline, they offer little insight into South Africa’s unique regulatory or project-specific requirements, necessitating reliance on localized institutions for precise compliance</w:t>
      </w:r>
      <w:r>
        <w:rPr>
          <w:rFonts w:hint="eastAsia" w:ascii="微软雅黑" w:hAnsi="微软雅黑" w:eastAsia="微软雅黑"/>
          <w:noProof/>
          <w:sz w:val="24"/>
          <w:vertAlign w:val="superscript"/>
        </w:rPr>
        <w:t>[44]</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Furthermore, international steel structure standards continuously emphasize the paramount importance of safety, quality, and regulatory compliance during the fabrication and construction stages</w:t>
      </w:r>
      <w:r>
        <w:rPr>
          <w:rFonts w:hint="eastAsia" w:ascii="微软雅黑" w:hAnsi="微软雅黑" w:eastAsia="微软雅黑"/>
          <w:noProof/>
          <w:sz w:val="24"/>
          <w:vertAlign w:val="superscript"/>
        </w:rPr>
        <w:t>[42]</w:t>
      </w:r>
      <w:r>
        <w:rPr>
          <w:rFonts w:hint="eastAsia" w:ascii="微软雅黑" w:hAnsi="微软雅黑" w:eastAsia="微软雅黑"/>
          <w:noProof/>
          <w:sz w:val="24"/>
        </w:rPr>
        <w:t xml:space="preserve">. While international reports may fail to provide specific guidance for South African projects, the underlying principles of safety and quality are universally applicable and must be integrated into the operational protocols of CIDB-graded contractors</w:t>
      </w:r>
      <w:r>
        <w:rPr>
          <w:rFonts w:hint="eastAsia" w:ascii="微软雅黑" w:hAnsi="微软雅黑" w:eastAsia="微软雅黑"/>
          <w:noProof/>
          <w:sz w:val="24"/>
          <w:vertAlign w:val="superscript"/>
        </w:rPr>
        <w:t>[42]</w:t>
      </w:r>
      <w:r>
        <w:rPr>
          <w:rFonts w:hint="eastAsia" w:ascii="微软雅黑" w:hAnsi="微软雅黑" w:eastAsia="微软雅黑"/>
          <w:noProof/>
          <w:sz w:val="24"/>
        </w:rPr>
        <w:t xml:space="preserve">. Contractors in higher CIDB grades are often subject to more stringent auditing processes to ensure that their fabrication processes align with both local and international best practices.</w:t>
      </w:r>
    </w:p>
    <w:p>
      <w:pPr>
        <w:spacing w:line="288" w:lineRule="auto"/>
        <w:ind w:firstLine="480" w:firstLineChars="200"/>
        <w:jc w:val="both"/>
      </w:pPr>
      <w:r>
        <w:rPr>
          <w:rFonts w:hint="eastAsia" w:ascii="微软雅黑" w:hAnsi="微软雅黑" w:eastAsia="微软雅黑"/>
          <w:noProof/>
          <w:sz w:val="24"/>
        </w:rPr>
        <w:t xml:space="preserve">The procurement dynamics for structural steel projects are also significantly influenced by macroeconomic factors and trade policies, which indirectly impact CIDB-graded contractors. The introduction of new import duties on May 15, 2026, as revised by the International Trade Administration Commission (ITAC), is expected to indirectly impact the steel market by affecting material costs and availability</w:t>
      </w:r>
      <w:r>
        <w:rPr>
          <w:rFonts w:hint="eastAsia" w:ascii="微软雅黑" w:hAnsi="微软雅黑" w:eastAsia="微软雅黑"/>
          <w:noProof/>
          <w:sz w:val="24"/>
          <w:vertAlign w:val="superscript"/>
        </w:rPr>
        <w:t>[41]</w:t>
      </w:r>
      <w:r>
        <w:rPr>
          <w:rFonts w:hint="eastAsia" w:ascii="微软雅黑" w:hAnsi="微软雅黑" w:eastAsia="微软雅黑"/>
          <w:noProof/>
          <w:sz w:val="24"/>
        </w:rPr>
        <w:t xml:space="preserve">. While this policy does not explicitly address grading specifications relevant to construction projects, the resulting fluctuations in material costs can heavily influence a contractor's financial stability and, consequently, their CIDB grading status</w:t>
      </w:r>
      <w:r>
        <w:rPr>
          <w:rFonts w:hint="eastAsia" w:ascii="微软雅黑" w:hAnsi="微软雅黑" w:eastAsia="微软雅黑"/>
          <w:noProof/>
          <w:sz w:val="24"/>
          <w:vertAlign w:val="superscript"/>
        </w:rPr>
        <w:t>[41]</w:t>
      </w:r>
      <w:r>
        <w:rPr>
          <w:rFonts w:hint="eastAsia" w:ascii="微软雅黑" w:hAnsi="微软雅黑" w:eastAsia="微软雅黑"/>
          <w:noProof/>
          <w:sz w:val="24"/>
        </w:rPr>
        <w:t xml:space="preserve">. Contractors in lower CIDB grades (Grades 1 to 3) may find themselves particularly vulnerable to sudden increases in the cost of raw materials, further explaining their lower 20.0% representation in successful contractor selections. Conversely, contractors in Grades 4 to 6, who dominate the market at 50.0%, must leverage their moderate scale to absorb price shocks while maintaining competitive bidding strategies.</w:t>
      </w:r>
    </w:p>
    <w:p>
      <w:pPr>
        <w:spacing w:line="288" w:lineRule="auto"/>
        <w:ind w:firstLine="480" w:firstLineChars="200"/>
        <w:jc w:val="both"/>
      </w:pPr>
      <w:r>
        <w:rPr>
          <w:rFonts w:hint="eastAsia" w:ascii="微软雅黑" w:hAnsi="微软雅黑" w:eastAsia="微软雅黑"/>
          <w:noProof/>
          <w:sz w:val="24"/>
        </w:rPr>
        <w:t xml:space="preserve">In summary, the relevance of CIDB grading in South Africa's fabrication and structural steel projects extends far beyond simple administrative compliance. It is deeply intertwined with project eligibility, contractor selection, technical standardization, and market economics. The dominance of Grades 4 to 6 highlights a market driven by medium-scale industrial and commercial demands. Meanwhile, the ongoing efforts by institutions like the SAISC to enforce uniform technical standards ensure that the physical execution of these projects meets rigorous safety and quality benchmarks. As trade policies and material costs continue to evolve, the CIDB grading system will remain a vital barometer of contractor resilience and capability in the dynamic South African engineering and maintenance sector. Accurate navigation of this landscape requires stakeholders to continuously consult authoritative resources to obtain detailed and accurate grading requirements specific to structural steel projects in the region.</w:t>
      </w:r>
    </w:p>
    <w:p>
      <w:pPr>
        <w:spacing w:before="360"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6"/>
              </a:graphicData>
            </a:graphic>
          </wp:inline>
        </w:drawing>
      </w:r>
    </w:p>
    <w:p>
      <w:pPr>
        <w:spacing w:line="360" w:lineRule="auto"/>
        <w:ind/>
      </w:pPr>
      <w:r>
        <w:rPr>
          <w:rFonts w:hint="eastAsia"/>
          <w:b/>
          <w:noProof/>
          <w:sz w:val="22"/>
        </w:rPr>
        <w:t xml:space="preserve">Impact of CIDB Grades on Fabrication and Structural Steel Projects in South Africa</w:t>
      </w:r>
    </w:p>
    <w:tbl>
      <w:tblPr>
        <w:tblW w:w="0" w:type="dxa"/>
      </w:tblPr>
      <w:tblGrid>
        <w:gridCol w:w="3450"/>
        <w:gridCol w:w="3450"/>
        <w:gridCol w:w="3450"/>
      </w:tblGrid>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Industry Sector</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Key Factor</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Impact Description</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Fabrication and Structural Steel</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Project Eligibility</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CIDB grades determine eligibility for specific projects</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Fabrication and Structural Steel</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Contractor Selection</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CIDB grades act as core criteria for selecting contractors in the industry</w:t>
            </w:r>
          </w:p>
        </w:tc>
      </w:tr>
    </w:tbl>
    <w:p>
      <w:pPr>
        <w:spacing w:beforeLines="50" w:line="360" w:lineRule="auto"/>
        <w:ind/>
        <w:jc w:val="left"/>
      </w:pPr>
      <w:r>
        <w:rPr>
          <w:rFonts w:hint="eastAsia"/>
          <w:b/>
          <w:noProof/>
          <w:sz w:val="22"/>
        </w:rPr>
        <w:t xml:space="preserve">Data Source: Google Search</w:t>
      </w:r>
    </w:p>
    <w:p>
      <w:pPr>
        <w:pStyle w:val="Heading2"/>
        <w:spacing w:line="288" w:lineRule="auto"/>
        <w:ind/>
      </w:pPr>
      <w:r>
        <w:rPr>
          <w:rFonts w:hint="eastAsia" w:ascii="微软雅黑" w:hAnsi="微软雅黑" w:eastAsia="微软雅黑"/>
          <w:b/>
          <w:noProof/>
          <w:sz w:val="36"/>
        </w:rPr>
        <w:t xml:space="preserve">Major Mining and Industrial Operators Driving Procurement Programs</w:t>
      </w:r>
    </w:p>
    <w:p>
      <w:pPr>
        <w:spacing w:line="288" w:lineRule="auto"/>
        <w:ind w:firstLine="480" w:firstLineChars="200"/>
        <w:jc w:val="both"/>
      </w:pPr>
      <w:r>
        <w:rPr>
          <w:rFonts w:hint="eastAsia" w:ascii="微软雅黑" w:hAnsi="微软雅黑" w:eastAsia="微软雅黑"/>
          <w:noProof/>
          <w:sz w:val="24"/>
        </w:rPr>
        <w:t xml:space="preserve">The market and procurement dynamics within South Africa's engineering and maintenance sectors are currently undergoing a profound transformation, driven by a confluence of regulatory reforms, technological advancements, and strategic regional trade initiatives. As of mid-2026, the landscape is characterized by a critical shift toward enhanced operational efficiency and rigorous cost management, particularly among major mining and industrial operators that form the backbone of the national economy. These operators are increasingly navigating a volatile economic environment by overhauling their procurement strategies, integrating advanced digital tools, and adapting to new public-sector frameworks that promise to reshape supplier engagement and market operations. </w:t>
      </w:r>
    </w:p>
    <w:p>
      <w:pPr>
        <w:spacing w:line="288" w:lineRule="auto"/>
        <w:ind w:firstLine="480" w:firstLineChars="200"/>
        <w:jc w:val="both"/>
      </w:pPr>
      <w:r>
        <w:rPr>
          <w:rFonts w:hint="eastAsia" w:ascii="微软雅黑" w:hAnsi="微软雅黑" w:eastAsia="微软雅黑"/>
          <w:noProof/>
          <w:sz w:val="24"/>
        </w:rPr>
        <w:t xml:space="preserve">A central element of this evolving dynamic is the significant restructuring of the national regulatory framework. As of June 2026, South Africa's procurement policies are being heavily influenced by the drafting and impending implementation of the General Public Procurement Regulations, 2026 . These regulations represent a comprehensive overhaul aimed at standardizing and optimizing procurement practices across the country. In May 2026, the National Treasury hosted a pivotal workshop to deliberate on these proposed regulations, underscoring their primary objective to enhance transparency, competition, efficiency, and inclusivity within public procurement </w:t>
      </w:r>
      <w:r>
        <w:rPr>
          <w:rFonts w:hint="eastAsia" w:ascii="微软雅黑" w:hAnsi="微软雅黑" w:eastAsia="微软雅黑"/>
          <w:noProof/>
          <w:sz w:val="24"/>
          <w:vertAlign w:val="superscript"/>
        </w:rPr>
        <w:t>[46][49]</w:t>
      </w:r>
      <w:r>
        <w:rPr>
          <w:rFonts w:hint="eastAsia" w:ascii="微软雅黑" w:hAnsi="微软雅黑" w:eastAsia="微软雅黑"/>
          <w:noProof/>
          <w:sz w:val="24"/>
        </w:rPr>
        <w:t xml:space="preserve">. Given that the South African government manages an annual procurement budget of approximately R1 trillion, these regulatory changes possess a massive economic footprint . For major mining and industrial operators, the alignment of private sector procurement strategies with these new public sector standards is critical. Although the finalized version of these regulations and their immediate real-time effects remain somewhat unclear, the deliberations highlight that alterations to these frameworks will directly impact supplier engagement, contract negotiations, and overall market operation efficiency </w:t>
      </w:r>
      <w:r>
        <w:rPr>
          <w:rFonts w:hint="eastAsia" w:ascii="微软雅黑" w:hAnsi="微软雅黑" w:eastAsia="微软雅黑"/>
          <w:noProof/>
          <w:sz w:val="24"/>
          <w:vertAlign w:val="superscript"/>
        </w:rPr>
        <w:t>[46][49]</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The drive toward regulatory efficiency is mirrored by historical trends in operational cost management within the sector. An analysis of procurement cost efficiency trends in South Africa from 2020 to 2024 illustrates a definitive and successful push toward optimized expenditure. During this period, the percentage of cost savings achieved through refined procurement strategies showed a consistent upward trajectory. In 2020, the sector recorded a minimum cost savings rate of 5.2 percent. Through the progressive adoption of better sourcing strategies, supplier consolidation, and early-stage digital integration, this figure steadily climbed, reaching a maximum value of 10.0 percent by 2024. This historical improvement laid the essential groundwork for the more aggressive technological integrations observed in 2026, proving that systematic overhauls in procurement processes directly translate to significant financial and operational dividends for industrial operators.</w:t>
      </w:r>
    </w:p>
    <w:p>
      <w:pPr>
        <w:spacing w:line="288" w:lineRule="auto"/>
        <w:ind w:firstLine="480" w:firstLineChars="200"/>
        <w:jc w:val="both"/>
      </w:pPr>
      <w:r>
        <w:rPr>
          <w:rFonts w:hint="eastAsia" w:ascii="微软雅黑" w:hAnsi="微软雅黑" w:eastAsia="微软雅黑"/>
          <w:noProof/>
          <w:sz w:val="24"/>
        </w:rPr>
        <w:t xml:space="preserve">Building upon this foundation of historical cost savings, contemporary procurement strategies are now heavily reliant on sophisticated technological ecosystems. Current market dynamics are defined by a rapid transition from manual, siloed systems to integrated, technologically advanced platforms. Key trends dominating the sector in 2026 include digital sourcing, artificial intelligence-driven procurement systems, and advanced supplier risk management protocols </w:t>
      </w:r>
      <w:r>
        <w:rPr>
          <w:rFonts w:hint="eastAsia" w:ascii="微软雅黑" w:hAnsi="微软雅黑" w:eastAsia="微软雅黑"/>
          <w:noProof/>
          <w:sz w:val="24"/>
          <w:vertAlign w:val="superscript"/>
        </w:rPr>
        <w:t>[47]</w:t>
      </w:r>
      <w:r>
        <w:rPr>
          <w:rFonts w:hint="eastAsia" w:ascii="微软雅黑" w:hAnsi="微软雅黑" w:eastAsia="微软雅黑"/>
          <w:noProof/>
          <w:sz w:val="24"/>
        </w:rPr>
        <w:t xml:space="preserve">. Major operators are increasingly leveraging AI and automation to enhance predictive analytics, thereby optimizing inventory management and reducing equipment downtime </w:t>
      </w:r>
      <w:r>
        <w:rPr>
          <w:rFonts w:hint="eastAsia" w:ascii="微软雅黑" w:hAnsi="微软雅黑" w:eastAsia="微软雅黑"/>
          <w:noProof/>
          <w:sz w:val="24"/>
          <w:vertAlign w:val="superscript"/>
        </w:rPr>
        <w:t>[46][48][50]</w:t>
      </w:r>
      <w:r>
        <w:rPr>
          <w:rFonts w:hint="eastAsia" w:ascii="微软雅黑" w:hAnsi="微软雅黑" w:eastAsia="微软雅黑"/>
          <w:noProof/>
          <w:sz w:val="24"/>
        </w:rPr>
        <w:t xml:space="preserve">. Furthermore, the maintenance sector is being revolutionized by the introduction of prescriptive AI and unified maintenance platforms, which allow operators to preemptively address engineering faults and streamline the procurement of necessary replacement parts </w:t>
      </w:r>
      <w:r>
        <w:rPr>
          <w:rFonts w:hint="eastAsia" w:ascii="微软雅黑" w:hAnsi="微软雅黑" w:eastAsia="微软雅黑"/>
          <w:noProof/>
          <w:sz w:val="24"/>
          <w:vertAlign w:val="superscript"/>
        </w:rPr>
        <w:t>[49]</w:t>
      </w:r>
      <w:r>
        <w:rPr>
          <w:rFonts w:hint="eastAsia" w:ascii="微软雅黑" w:hAnsi="微软雅黑" w:eastAsia="微软雅黑"/>
          <w:noProof/>
          <w:sz w:val="24"/>
        </w:rPr>
        <w:t xml:space="preserve">. These technologies, whose developmental roots were firmly established during the 2020-2024 period, are now central to maintaining the competitive edge of South Africa's industrial sector. </w:t>
      </w:r>
    </w:p>
    <w:p>
      <w:pPr>
        <w:spacing w:line="288" w:lineRule="auto"/>
        <w:ind w:firstLine="480" w:firstLineChars="200"/>
        <w:jc w:val="both"/>
      </w:pPr>
      <w:r>
        <w:rPr>
          <w:rFonts w:hint="eastAsia" w:ascii="微软雅黑" w:hAnsi="微软雅黑" w:eastAsia="微软雅黑"/>
          <w:noProof/>
          <w:sz w:val="24"/>
        </w:rPr>
        <w:t xml:space="preserve">In tandem with technological modernization, sustainability and ethical sourcing have emerged as non-negotiable components of modern procurement programs. Post-2024 advancements have seen a heightened emphasis on building resilient procurement systems that prioritize environmental, social, and governance criteria </w:t>
      </w:r>
      <w:r>
        <w:rPr>
          <w:rFonts w:hint="eastAsia" w:ascii="微软雅黑" w:hAnsi="微软雅黑" w:eastAsia="微软雅黑"/>
          <w:noProof/>
          <w:sz w:val="24"/>
          <w:vertAlign w:val="superscript"/>
        </w:rPr>
        <w:t>[50]</w:t>
      </w:r>
      <w:r>
        <w:rPr>
          <w:rFonts w:hint="eastAsia" w:ascii="微软雅黑" w:hAnsi="微软雅黑" w:eastAsia="微软雅黑"/>
          <w:noProof/>
          <w:sz w:val="24"/>
        </w:rPr>
        <w:t xml:space="preserve">. Industrial operators are increasingly focusing on energy efficiency and the adoption of renewable energy technologies to meet stringent performance and regulatory standards . This thematic focus on sustainable operations was heavily emphasized in promotional materials for the Southern African Public Procurement Forum, scheduled for June 9-11, 2026, which highlighted sustainability as a core pillar for future procurement strategies </w:t>
      </w:r>
      <w:r>
        <w:rPr>
          <w:rFonts w:hint="eastAsia" w:ascii="微软雅黑" w:hAnsi="微软雅黑" w:eastAsia="微软雅黑"/>
          <w:noProof/>
          <w:sz w:val="24"/>
          <w:vertAlign w:val="superscript"/>
        </w:rPr>
        <w:t>[50]</w:t>
      </w:r>
      <w:r>
        <w:rPr>
          <w:rFonts w:hint="eastAsia" w:ascii="微软雅黑" w:hAnsi="微软雅黑" w:eastAsia="微软雅黑"/>
          <w:noProof/>
          <w:sz w:val="24"/>
        </w:rPr>
        <w:t xml:space="preserve">. By integrating ethical sourcing into their supply chains, mining and engineering firms are not only mitigating regulatory risks but also appealing to a global market that increasingly demands environmentally responsible industrial practices.</w:t>
      </w:r>
    </w:p>
    <w:p>
      <w:pPr>
        <w:spacing w:line="288" w:lineRule="auto"/>
        <w:ind w:firstLine="480" w:firstLineChars="200"/>
        <w:jc w:val="both"/>
      </w:pPr>
      <w:r>
        <w:rPr>
          <w:rFonts w:hint="eastAsia" w:ascii="微软雅黑" w:hAnsi="微软雅黑" w:eastAsia="微软雅黑"/>
          <w:noProof/>
          <w:sz w:val="24"/>
        </w:rPr>
        <w:t xml:space="preserve">Regional integration and cross-border trade expansion present another vital opportunity for procurement dynamics in South Africa. The national strategy has expanded beyond domestic borders, as evidenced by South Africa's commitment, alongside Kenya, to bolster intra-African trade under the African Continental Free Trade Area framework. A media release from the Department of Trade, Industry and Competition on June 5, 2026, highlighted this strategic partnership as a critical step toward increasing regional trade to 50 percent by the year 2035 </w:t>
      </w:r>
      <w:r>
        <w:rPr>
          <w:rFonts w:hint="eastAsia" w:ascii="微软雅黑" w:hAnsi="微软雅黑" w:eastAsia="微软雅黑"/>
          <w:noProof/>
          <w:sz w:val="24"/>
          <w:vertAlign w:val="superscript"/>
        </w:rPr>
        <w:t>[48]</w:t>
      </w:r>
      <w:r>
        <w:rPr>
          <w:rFonts w:hint="eastAsia" w:ascii="微软雅黑" w:hAnsi="微软雅黑" w:eastAsia="微软雅黑"/>
          <w:noProof/>
          <w:sz w:val="24"/>
        </w:rPr>
        <w:t xml:space="preserve">. For engineering and maintenance procurement, this bilateral and regional cooperation opens up vast opportunities for market expansion, supply chain integration, and the diversification of supplier bases </w:t>
      </w:r>
      <w:r>
        <w:rPr>
          <w:rFonts w:hint="eastAsia" w:ascii="微软雅黑" w:hAnsi="微软雅黑" w:eastAsia="微软雅黑"/>
          <w:noProof/>
          <w:sz w:val="24"/>
          <w:vertAlign w:val="superscript"/>
        </w:rPr>
        <w:t>[48]</w:t>
      </w:r>
      <w:r>
        <w:rPr>
          <w:rFonts w:hint="eastAsia" w:ascii="微软雅黑" w:hAnsi="微软雅黑" w:eastAsia="微软雅黑"/>
          <w:noProof/>
          <w:sz w:val="24"/>
        </w:rPr>
        <w:t xml:space="preserve">. By tapping into larger and more interconnected regional trade networks, South African operators can mitigate domestic supply chain bottlenecks, source materials more competitively, and stimulate broader job creation across the continent.</w:t>
      </w:r>
    </w:p>
    <w:p>
      <w:pPr>
        <w:spacing w:line="288" w:lineRule="auto"/>
        <w:ind w:firstLine="480" w:firstLineChars="200"/>
        <w:jc w:val="both"/>
      </w:pPr>
      <w:r>
        <w:rPr>
          <w:rFonts w:hint="eastAsia" w:ascii="微软雅黑" w:hAnsi="微软雅黑" w:eastAsia="微软雅黑"/>
          <w:noProof/>
          <w:sz w:val="24"/>
        </w:rPr>
        <w:t xml:space="preserve">However, the successful implementation of these advanced procurement technologies and regional strategies is heavily dependent on the capabilities of the workforce. The transition toward AI-driven systems and complex regional supply chains necessitates a paradigm shift in human capital management within the sector. The broader economic context underscores the critical role of workforce readiness in navigating the volatility of South Africa's economy. This was a focal point at the L&amp;D Africa Conference 2026 in Johannesburg, which was thematically centered around the concepts of "Upskilling vs Reskilling" </w:t>
      </w:r>
      <w:r>
        <w:rPr>
          <w:rFonts w:hint="eastAsia" w:ascii="微软雅黑" w:hAnsi="微软雅黑" w:eastAsia="微软雅黑"/>
          <w:noProof/>
          <w:sz w:val="24"/>
          <w:vertAlign w:val="superscript"/>
        </w:rPr>
        <w:t>[47]</w:t>
      </w:r>
      <w:r>
        <w:rPr>
          <w:rFonts w:hint="eastAsia" w:ascii="微软雅黑" w:hAnsi="微软雅黑" w:eastAsia="微软雅黑"/>
          <w:noProof/>
          <w:sz w:val="24"/>
        </w:rPr>
        <w:t xml:space="preserve">. The discussions at the conference highlighted an expanded focus on enhancing workforce capabilities within the procurement and maintenance sectors </w:t>
      </w:r>
      <w:r>
        <w:rPr>
          <w:rFonts w:hint="eastAsia" w:ascii="微软雅黑" w:hAnsi="微软雅黑" w:eastAsia="微软雅黑"/>
          <w:noProof/>
          <w:sz w:val="24"/>
          <w:vertAlign w:val="superscript"/>
        </w:rPr>
        <w:t>[47]</w:t>
      </w:r>
      <w:r>
        <w:rPr>
          <w:rFonts w:hint="eastAsia" w:ascii="微软雅黑" w:hAnsi="微软雅黑" w:eastAsia="微软雅黑"/>
          <w:noProof/>
          <w:sz w:val="24"/>
        </w:rPr>
        <w:t xml:space="preserve">. As digital sourcing and prescriptive maintenance platforms become the industry standard, procurement professionals must be adequately trained to interact with and manage these advanced systems. Failure to upskill the workforce could result in a critical bottleneck, preventing major mining and industrial operators from fully realizing the operational efficiencies and cost savings promised by modern procurement technologies.</w:t>
      </w:r>
    </w:p>
    <w:p>
      <w:pPr>
        <w:spacing w:line="288" w:lineRule="auto"/>
        <w:ind w:firstLine="480" w:firstLineChars="200"/>
        <w:jc w:val="both"/>
      </w:pPr>
      <w:r>
        <w:rPr>
          <w:rFonts w:hint="eastAsia" w:ascii="微软雅黑" w:hAnsi="微软雅黑" w:eastAsia="微软雅黑"/>
          <w:noProof/>
          <w:sz w:val="24"/>
        </w:rPr>
        <w:t xml:space="preserve">In summary, the market and procurement dynamics of South Africa's engineering and maintenance sectors are currently in a state of dynamic transition. Major mining and industrial operators are at the forefront of this evolution, driven by a necessity to maintain the impressive cost efficiency gains observed between 2020 and 2024. Through the integration of prescriptive AI, advanced digital sourcing, and a renewed commitment to sustainability, these operators are redefining industrial procurement. Concurrently, the sector must navigate the impending General Public Procurement Regulations of 2026 and capitalize on the expansive opportunities presented by the African Continental Free Trade Area. Ultimately, the synthesis of regulatory compliance, technological innovation, regional trade expansion, and targeted workforce upskilling will dictate the future resilience and operational success of South Africa's industrial procurement landscape.</w:t>
      </w:r>
    </w:p>
    <w:p>
      <w:pPr>
        <w:spacing w:before="360"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7"/>
              </a:graphicData>
            </a:graphic>
          </wp:inline>
        </w:drawing>
      </w:r>
    </w:p>
    <w:p>
      <w:pPr>
        <w:pStyle w:val="Heading1"/>
        <w:spacing w:line="288" w:lineRule="auto"/>
        <w:ind/>
      </w:pPr>
      <w:r>
        <w:rPr>
          <w:rFonts w:hint="eastAsia" w:ascii="微软雅黑" w:hAnsi="微软雅黑" w:eastAsia="微软雅黑"/>
          <w:b/>
          <w:noProof/>
          <w:sz w:val="40"/>
        </w:rPr>
        <w:t>References</w:t>
      </w:r>
    </w:p>
    <w:p>
      <w:pPr>
        <w:spacing w:line="288" w:lineRule="auto"/>
        <w:ind w:firstLine="480" w:firstLineChars="200"/>
        <w:jc w:val="both"/>
      </w:pPr>
      <w:r>
        <w:rPr>
          <w:rFonts w:hint="eastAsia" w:ascii="微软雅黑" w:hAnsi="微软雅黑" w:eastAsia="微软雅黑"/>
          <w:noProof/>
          <w:sz w:val="24"/>
        </w:rPr>
        <w:t xml:space="preserve">[1] Top Engineering Firms in Johannesburg - Jun 2026 Rankings - Clutch https://clutch.co/za/engineering/johannesburg</w:t>
      </w:r>
    </w:p>
    <w:p>
      <w:pPr>
        <w:spacing w:line="288" w:lineRule="auto"/>
        <w:ind w:firstLine="480" w:firstLineChars="200"/>
        <w:jc w:val="both"/>
      </w:pPr>
      <w:r>
        <w:rPr>
          <w:rFonts w:hint="eastAsia" w:ascii="微软雅黑" w:hAnsi="微软雅黑" w:eastAsia="微软雅黑"/>
          <w:noProof/>
          <w:sz w:val="24"/>
        </w:rPr>
        <w:t xml:space="preserve">[2] WSP | Global engineering and professional services firm https://www.wsp.com/en-us/</w:t>
      </w:r>
    </w:p>
    <w:p>
      <w:pPr>
        <w:spacing w:line="288" w:lineRule="auto"/>
        <w:ind w:firstLine="480" w:firstLineChars="200"/>
        <w:jc w:val="both"/>
      </w:pPr>
      <w:r>
        <w:rPr>
          <w:rFonts w:hint="eastAsia" w:ascii="微软雅黑" w:hAnsi="微软雅黑" w:eastAsia="微软雅黑"/>
          <w:noProof/>
          <w:sz w:val="24"/>
        </w:rPr>
        <w:t xml:space="preserve">[3] SMEC: Engineering Positive Change https://www.smec.com/</w:t>
      </w:r>
    </w:p>
    <w:p>
      <w:pPr>
        <w:spacing w:line="288" w:lineRule="auto"/>
        <w:ind w:firstLine="480" w:firstLineChars="200"/>
        <w:jc w:val="both"/>
      </w:pPr>
      <w:r>
        <w:rPr>
          <w:rFonts w:hint="eastAsia" w:ascii="微软雅黑" w:hAnsi="微软雅黑" w:eastAsia="微软雅黑"/>
          <w:noProof/>
          <w:sz w:val="24"/>
        </w:rPr>
        <w:t xml:space="preserve">[4] 8 Top Technology Development Companies in South Africa - F6S https://www.f6s.com/companies/technology-development/south-africa/co</w:t>
      </w:r>
    </w:p>
    <w:p>
      <w:pPr>
        <w:spacing w:line="288" w:lineRule="auto"/>
        <w:ind w:firstLine="480" w:firstLineChars="200"/>
        <w:jc w:val="both"/>
      </w:pPr>
      <w:r>
        <w:rPr>
          <w:rFonts w:hint="eastAsia" w:ascii="微软雅黑" w:hAnsi="微软雅黑" w:eastAsia="微软雅黑"/>
          <w:noProof/>
          <w:sz w:val="24"/>
        </w:rPr>
        <w:t xml:space="preserve">[5] Fastest-Growing Companies in South Africa 2026 - Statista Rankings https://rankings.statista.com/en/fastest-growing-companies/rankings/fastest-growing-companies-south-africa-2026/</w:t>
      </w:r>
    </w:p>
    <w:p>
      <w:pPr>
        <w:spacing w:line="288" w:lineRule="auto"/>
        <w:ind w:firstLine="480" w:firstLineChars="200"/>
        <w:jc w:val="both"/>
      </w:pPr>
      <w:r>
        <w:rPr>
          <w:rFonts w:hint="eastAsia" w:ascii="微软雅黑" w:hAnsi="微软雅黑" w:eastAsia="微软雅黑"/>
          <w:noProof/>
          <w:sz w:val="24"/>
        </w:rPr>
        <w:t xml:space="preserve">[6] Predictive Maintenance Market Size &amp; Share Report, 2033 https://www.grandviewresearch.com/industry-analysis/predictive-maintenance-market</w:t>
      </w:r>
    </w:p>
    <w:p>
      <w:pPr>
        <w:spacing w:line="288" w:lineRule="auto"/>
        <w:ind w:firstLine="480" w:firstLineChars="200"/>
        <w:jc w:val="both"/>
      </w:pPr>
      <w:r>
        <w:rPr>
          <w:rFonts w:hint="eastAsia" w:ascii="微软雅黑" w:hAnsi="微软雅黑" w:eastAsia="微软雅黑"/>
          <w:noProof/>
          <w:sz w:val="24"/>
        </w:rPr>
        <w:t xml:space="preserve">[7] Predictive Maintenance Market Size, Share Report 2026 https://www.thebusinessresearchcompany.com/report/predictive-maintenance-global-market-report</w:t>
      </w:r>
    </w:p>
    <w:p>
      <w:pPr>
        <w:spacing w:line="288" w:lineRule="auto"/>
        <w:ind w:firstLine="480" w:firstLineChars="200"/>
        <w:jc w:val="both"/>
      </w:pPr>
      <w:r>
        <w:rPr>
          <w:rFonts w:hint="eastAsia" w:ascii="微软雅黑" w:hAnsi="微软雅黑" w:eastAsia="微软雅黑"/>
          <w:noProof/>
          <w:sz w:val="24"/>
        </w:rPr>
        <w:t xml:space="preserve">[8] Predictive Maintenance Market Report 2026-2031, by Monitoring ... https://www.marketsandmarkets.com/Market-Reports/operational-predictive-maintenance-market-8656856.html</w:t>
      </w:r>
    </w:p>
    <w:p>
      <w:pPr>
        <w:spacing w:line="288" w:lineRule="auto"/>
        <w:ind w:firstLine="480" w:firstLineChars="200"/>
        <w:jc w:val="both"/>
      </w:pPr>
      <w:r>
        <w:rPr>
          <w:rFonts w:hint="eastAsia" w:ascii="微软雅黑" w:hAnsi="微软雅黑" w:eastAsia="微软雅黑"/>
          <w:noProof/>
          <w:sz w:val="24"/>
        </w:rPr>
        <w:t xml:space="preserve">[9] Predictive Maintenance Market Size, Share | Report, 2034 https://www.fortunebusinessinsights.com/predictive-maintenance-market-102104</w:t>
      </w:r>
    </w:p>
    <w:p>
      <w:pPr>
        <w:spacing w:line="288" w:lineRule="auto"/>
        <w:ind w:firstLine="480" w:firstLineChars="200"/>
        <w:jc w:val="both"/>
      </w:pPr>
      <w:r>
        <w:rPr>
          <w:rFonts w:hint="eastAsia" w:ascii="微软雅黑" w:hAnsi="微软雅黑" w:eastAsia="微软雅黑"/>
          <w:noProof/>
          <w:sz w:val="24"/>
        </w:rPr>
        <w:t xml:space="preserve">[10] Industrial Maintenance Services Market Size &amp; Competitors https://www.researchandmarkets.com/report/industrial-machinery-repair?srsltid=AfmBOorsOAWSIQkEP9HqoLUuHH3oR7FmVh14LVwCQEotX3g2cz7AMdCh</w:t>
      </w:r>
    </w:p>
    <w:p>
      <w:pPr>
        <w:spacing w:line="288" w:lineRule="auto"/>
        <w:ind w:firstLine="480" w:firstLineChars="200"/>
        <w:jc w:val="both"/>
      </w:pPr>
      <w:r>
        <w:rPr>
          <w:rFonts w:hint="eastAsia" w:ascii="微软雅黑" w:hAnsi="微软雅黑" w:eastAsia="微软雅黑"/>
          <w:noProof/>
          <w:sz w:val="24"/>
        </w:rPr>
        <w:t xml:space="preserve">[11] The Engineering Council of South Africa is honoured to host the ... https://www.instagram.com/reel/DYEweuzBg9d/</w:t>
      </w:r>
    </w:p>
    <w:p>
      <w:pPr>
        <w:spacing w:line="288" w:lineRule="auto"/>
        <w:ind w:firstLine="480" w:firstLineChars="200"/>
        <w:jc w:val="both"/>
      </w:pPr>
      <w:r>
        <w:rPr>
          <w:rFonts w:hint="eastAsia" w:ascii="微软雅黑" w:hAnsi="微软雅黑" w:eastAsia="微软雅黑"/>
          <w:noProof/>
          <w:sz w:val="24"/>
        </w:rPr>
        <w:t xml:space="preserve">[12] Engineering Council Of South Africa - ECSA - Facebook https://www.facebook.com/100040814995744/posts/we-are-proud-to-announce-the-engineering-institute-of-technology-eit-as-an-exhib/1873281457375669/</w:t>
      </w:r>
    </w:p>
    <w:p>
      <w:pPr>
        <w:spacing w:line="288" w:lineRule="auto"/>
        <w:ind w:firstLine="480" w:firstLineChars="200"/>
        <w:jc w:val="both"/>
      </w:pPr>
      <w:r>
        <w:rPr>
          <w:rFonts w:hint="eastAsia" w:ascii="微软雅黑" w:hAnsi="微软雅黑" w:eastAsia="微软雅黑"/>
          <w:noProof/>
          <w:sz w:val="24"/>
        </w:rPr>
        <w:t xml:space="preserve">[13] #ESA2026 is on the horizon! #Africa's next phase of growth isn't just ... https://www.instagram.com/reel/DVqrnQ4kYrA/</w:t>
      </w:r>
    </w:p>
    <w:p>
      <w:pPr>
        <w:spacing w:line="288" w:lineRule="auto"/>
        <w:ind w:firstLine="480" w:firstLineChars="200"/>
        <w:jc w:val="both"/>
      </w:pPr>
      <w:r>
        <w:rPr>
          <w:rFonts w:hint="eastAsia" w:ascii="微软雅黑" w:hAnsi="微软雅黑" w:eastAsia="微软雅黑"/>
          <w:noProof/>
          <w:sz w:val="24"/>
        </w:rPr>
        <w:t xml:space="preserve">[14] [PHOTOS ] The Engineering Council of South Africa ... - Instagram https://www.instagram.com/p/DWTXIAZAmTu/</w:t>
      </w:r>
    </w:p>
    <w:p>
      <w:pPr>
        <w:spacing w:line="288" w:lineRule="auto"/>
        <w:ind w:firstLine="480" w:firstLineChars="200"/>
        <w:jc w:val="both"/>
      </w:pPr>
      <w:r>
        <w:rPr>
          <w:rFonts w:hint="eastAsia" w:ascii="微软雅黑" w:hAnsi="微软雅黑" w:eastAsia="微软雅黑"/>
          <w:noProof/>
          <w:sz w:val="24"/>
        </w:rPr>
        <w:t xml:space="preserve">[15] Engineering Symposium | 26 March 2026 - YouTube https://www.youtube.com/watch?v=wzpHEDQc4H8</w:t>
      </w:r>
    </w:p>
    <w:p>
      <w:pPr>
        <w:spacing w:line="288" w:lineRule="auto"/>
        <w:ind w:firstLine="480" w:firstLineChars="200"/>
        <w:jc w:val="both"/>
      </w:pPr>
      <w:r>
        <w:rPr>
          <w:rFonts w:hint="eastAsia" w:ascii="微软雅黑" w:hAnsi="微软雅黑" w:eastAsia="微软雅黑"/>
          <w:noProof/>
          <w:sz w:val="24"/>
        </w:rPr>
        <w:t xml:space="preserve">[16] 7 Best Competitor Analysis Tools to DOMINATE in 2026 - YouTube https://www.youtube.com/watch?v=5KhbseeQT1s</w:t>
      </w:r>
    </w:p>
    <w:p>
      <w:pPr>
        <w:spacing w:line="288" w:lineRule="auto"/>
        <w:ind w:firstLine="480" w:firstLineChars="200"/>
        <w:jc w:val="both"/>
      </w:pPr>
      <w:r>
        <w:rPr>
          <w:rFonts w:hint="eastAsia" w:ascii="微软雅黑" w:hAnsi="微软雅黑" w:eastAsia="微软雅黑"/>
          <w:noProof/>
          <w:sz w:val="24"/>
        </w:rPr>
        <w:t xml:space="preserve">[17] Market Insight: Top Predictions For Industrial Design Engineering ... https://www.verdantix.com/venture/report/market-insight--top-predictions-for-industrial-design-engineering-technologies-in-2026</w:t>
      </w:r>
    </w:p>
    <w:p>
      <w:pPr>
        <w:spacing w:line="288" w:lineRule="auto"/>
        <w:ind w:firstLine="480" w:firstLineChars="200"/>
        <w:jc w:val="both"/>
      </w:pPr>
      <w:r>
        <w:rPr>
          <w:rFonts w:hint="eastAsia" w:ascii="微软雅黑" w:hAnsi="微软雅黑" w:eastAsia="微软雅黑"/>
          <w:noProof/>
          <w:sz w:val="24"/>
        </w:rPr>
        <w:t xml:space="preserve">[18] 2026 Engineering and Construction Industry Outlook | Deloitte Insights https://www.deloitte.com/us/en/insights/industry/engineering-and-construction/engineering-and-construction-industry-outlook.html</w:t>
      </w:r>
    </w:p>
    <w:p>
      <w:pPr>
        <w:spacing w:line="288" w:lineRule="auto"/>
        <w:ind w:firstLine="480" w:firstLineChars="200"/>
        <w:jc w:val="both"/>
      </w:pPr>
      <w:r>
        <w:rPr>
          <w:rFonts w:hint="eastAsia" w:ascii="微软雅黑" w:hAnsi="微软雅黑" w:eastAsia="微软雅黑"/>
          <w:noProof/>
          <w:sz w:val="24"/>
        </w:rPr>
        <w:t xml:space="preserve">[19] Engineering Software Market Report 2026 - Research and Markets https://www.researchandmarkets.com/reports/5971048/engineering-software-market-report?srsltid=AfmBOoqEt891WhWnFVS6UVWzO_XV-MpLPC8vM9E0EF-v-gFZ-gNybrp8</w:t>
      </w:r>
    </w:p>
    <w:p>
      <w:pPr>
        <w:spacing w:line="288" w:lineRule="auto"/>
        <w:ind w:firstLine="480" w:firstLineChars="200"/>
        <w:jc w:val="both"/>
      </w:pPr>
      <w:r>
        <w:rPr>
          <w:rFonts w:hint="eastAsia" w:ascii="微软雅黑" w:hAnsi="微软雅黑" w:eastAsia="微软雅黑"/>
          <w:noProof/>
          <w:sz w:val="24"/>
        </w:rPr>
        <w:t xml:space="preserve">[20] Engineering Services Outsourcing Market Report, 2026-2034 https://www.fortunebusinessinsights.com/industry-reports/engineering-services-outsourcing-market-101780</w:t>
      </w:r>
    </w:p>
    <w:p>
      <w:pPr>
        <w:spacing w:line="288" w:lineRule="auto"/>
        <w:ind w:firstLine="480" w:firstLineChars="200"/>
        <w:jc w:val="both"/>
      </w:pPr>
      <w:r>
        <w:rPr>
          <w:rFonts w:hint="eastAsia" w:ascii="微软雅黑" w:hAnsi="微软雅黑" w:eastAsia="微软雅黑"/>
          <w:noProof/>
          <w:sz w:val="24"/>
        </w:rPr>
        <w:t xml:space="preserve">[21] 7 Mega Projects Transforming South Africa's Future Right Now https://www.youtube.com/watch?v=NV18g4RfqnY</w:t>
      </w:r>
    </w:p>
    <w:p>
      <w:pPr>
        <w:spacing w:line="288" w:lineRule="auto"/>
        <w:ind w:firstLine="480" w:firstLineChars="200"/>
        <w:jc w:val="both"/>
      </w:pPr>
      <w:r>
        <w:rPr>
          <w:rFonts w:hint="eastAsia" w:ascii="微软雅黑" w:hAnsi="微软雅黑" w:eastAsia="微软雅黑"/>
          <w:noProof/>
          <w:sz w:val="24"/>
        </w:rPr>
        <w:t xml:space="preserve">[22] South Africa's Construction Market Gains Momentum as Big 5 ... https://highways.today/2026/05/19/south-africa-big5-construct-returns/</w:t>
      </w:r>
    </w:p>
    <w:p>
      <w:pPr>
        <w:spacing w:line="288" w:lineRule="auto"/>
        <w:ind w:firstLine="480" w:firstLineChars="200"/>
        <w:jc w:val="both"/>
      </w:pPr>
      <w:r>
        <w:rPr>
          <w:rFonts w:hint="eastAsia" w:ascii="微软雅黑" w:hAnsi="微软雅黑" w:eastAsia="微软雅黑"/>
          <w:noProof/>
          <w:sz w:val="24"/>
        </w:rPr>
        <w:t xml:space="preserve">[23] South Africa has committed R1.07 trillion to infrastructure ... - Instagram https://www.instagram.com/p/DZEw8ASIC3i/</w:t>
      </w:r>
    </w:p>
    <w:p>
      <w:pPr>
        <w:spacing w:line="288" w:lineRule="auto"/>
        <w:ind w:firstLine="480" w:firstLineChars="200"/>
        <w:jc w:val="both"/>
      </w:pPr>
      <w:r>
        <w:rPr>
          <w:rFonts w:hint="eastAsia" w:ascii="微软雅黑" w:hAnsi="微软雅黑" w:eastAsia="微软雅黑"/>
          <w:noProof/>
          <w:sz w:val="24"/>
        </w:rPr>
        <w:t xml:space="preserve">[24] South Africa Budget 2026 Signals Major Boost for Construction https://www.rib-software.com/en/news/south-africa-budget</w:t>
      </w:r>
    </w:p>
    <w:p>
      <w:pPr>
        <w:spacing w:line="288" w:lineRule="auto"/>
        <w:ind w:firstLine="480" w:firstLineChars="200"/>
        <w:jc w:val="both"/>
      </w:pPr>
      <w:r>
        <w:rPr>
          <w:rFonts w:hint="eastAsia" w:ascii="微软雅黑" w:hAnsi="微软雅黑" w:eastAsia="微软雅黑"/>
          <w:noProof/>
          <w:sz w:val="24"/>
        </w:rPr>
        <w:t xml:space="preserve">[25] Big 5 Construct South Africa | 8 - 10 June 2027 | Construction Expo ... https://www.big5constructsouthafrica.com/</w:t>
      </w:r>
    </w:p>
    <w:p>
      <w:pPr>
        <w:spacing w:line="288" w:lineRule="auto"/>
        <w:ind w:firstLine="480" w:firstLineChars="200"/>
        <w:jc w:val="both"/>
      </w:pPr>
      <w:r>
        <w:rPr>
          <w:rFonts w:hint="eastAsia" w:ascii="微软雅黑" w:hAnsi="微软雅黑" w:eastAsia="微软雅黑"/>
          <w:noProof/>
          <w:sz w:val="24"/>
        </w:rPr>
        <w:t xml:space="preserve">[26] Department of Higher Education and Training https://www.dhet.gov.za/</w:t>
      </w:r>
    </w:p>
    <w:p>
      <w:pPr>
        <w:spacing w:line="288" w:lineRule="auto"/>
        <w:ind w:firstLine="480" w:firstLineChars="200"/>
        <w:jc w:val="both"/>
      </w:pPr>
      <w:r>
        <w:rPr>
          <w:rFonts w:hint="eastAsia" w:ascii="微软雅黑" w:hAnsi="微软雅黑" w:eastAsia="微软雅黑"/>
          <w:noProof/>
          <w:sz w:val="24"/>
        </w:rPr>
        <w:t xml:space="preserve">[27] EngineerConnect Johannesburg: Engineering Skills You Can Use ... https://www.eit.edu.au/event/engineerconnect-johannesburg-2026/</w:t>
      </w:r>
    </w:p>
    <w:p>
      <w:pPr>
        <w:spacing w:line="288" w:lineRule="auto"/>
        <w:ind w:firstLine="480" w:firstLineChars="200"/>
        <w:jc w:val="both"/>
      </w:pPr>
      <w:r>
        <w:rPr>
          <w:rFonts w:hint="eastAsia" w:ascii="微软雅黑" w:hAnsi="微软雅黑" w:eastAsia="微软雅黑"/>
          <w:noProof/>
          <w:sz w:val="24"/>
        </w:rPr>
        <w:t xml:space="preserve">[28] AfriSam Opens 12-Month In-Service Training Programme ... - carseta https://www.carseta.co.za/afrisam-in-service-training-programme/</w:t>
      </w:r>
    </w:p>
    <w:p>
      <w:pPr>
        <w:spacing w:line="288" w:lineRule="auto"/>
        <w:ind w:firstLine="480" w:firstLineChars="200"/>
        <w:jc w:val="both"/>
      </w:pPr>
      <w:r>
        <w:rPr>
          <w:rFonts w:hint="eastAsia" w:ascii="微软雅黑" w:hAnsi="微软雅黑" w:eastAsia="微软雅黑"/>
          <w:noProof/>
          <w:sz w:val="24"/>
        </w:rPr>
        <w:t xml:space="preserve">[29] The South African Institute Of Electrical Engineers - SAIEE https://www.saiee.org.za/calendar/cpdcalendar.aspx</w:t>
      </w:r>
    </w:p>
    <w:p>
      <w:pPr>
        <w:spacing w:line="288" w:lineRule="auto"/>
        <w:ind w:firstLine="480" w:firstLineChars="200"/>
        <w:jc w:val="both"/>
      </w:pPr>
      <w:r>
        <w:rPr>
          <w:rFonts w:hint="eastAsia" w:ascii="微软雅黑" w:hAnsi="微软雅黑" w:eastAsia="微软雅黑"/>
          <w:noProof/>
          <w:sz w:val="24"/>
        </w:rPr>
        <w:t xml:space="preserve">[30] Top IT Certifications for 2026 | South Africa - Bilginç IT Academy https://bilginc.com/za/blog/top-it-certifications-for-2026-6270/</w:t>
      </w:r>
    </w:p>
    <w:p>
      <w:pPr>
        <w:spacing w:line="288" w:lineRule="auto"/>
        <w:ind w:firstLine="480" w:firstLineChars="200"/>
        <w:jc w:val="both"/>
      </w:pPr>
      <w:r>
        <w:rPr>
          <w:rFonts w:hint="eastAsia" w:ascii="微软雅黑" w:hAnsi="微软雅黑" w:eastAsia="微软雅黑"/>
          <w:noProof/>
          <w:sz w:val="24"/>
        </w:rPr>
        <w:t xml:space="preserve">[31] South Africa Tenders 2026 | Live Government Bids - Tendersinfo https://www.tendersinfo.com/global-south-africa-tenders.php</w:t>
      </w:r>
    </w:p>
    <w:p>
      <w:pPr>
        <w:spacing w:line="288" w:lineRule="auto"/>
        <w:ind w:firstLine="480" w:firstLineChars="200"/>
        <w:jc w:val="both"/>
      </w:pPr>
      <w:r>
        <w:rPr>
          <w:rFonts w:hint="eastAsia" w:ascii="微软雅黑" w:hAnsi="微软雅黑" w:eastAsia="微软雅黑"/>
          <w:noProof/>
          <w:sz w:val="24"/>
        </w:rPr>
        <w:t xml:space="preserve">[32] Engineering Consulting Tenders https://tenderbulletins.co.za/tender-category/engineering-consulting/</w:t>
      </w:r>
    </w:p>
    <w:p>
      <w:pPr>
        <w:spacing w:line="288" w:lineRule="auto"/>
        <w:ind w:firstLine="480" w:firstLineChars="200"/>
        <w:jc w:val="both"/>
      </w:pPr>
      <w:r>
        <w:rPr>
          <w:rFonts w:hint="eastAsia" w:ascii="微软雅黑" w:hAnsi="微软雅黑" w:eastAsia="微软雅黑"/>
          <w:noProof/>
          <w:sz w:val="24"/>
        </w:rPr>
        <w:t xml:space="preserve">[33] South Africa Infrastructure Tenders, Bids &amp; RFPs 2026 https://www.tendersontime.com/south-africa-tenders/infrastructure-tenders/</w:t>
      </w:r>
    </w:p>
    <w:p>
      <w:pPr>
        <w:spacing w:line="288" w:lineRule="auto"/>
        <w:ind w:firstLine="480" w:firstLineChars="200"/>
        <w:jc w:val="both"/>
      </w:pPr>
      <w:r>
        <w:rPr>
          <w:rFonts w:hint="eastAsia" w:ascii="微软雅黑" w:hAnsi="微软雅黑" w:eastAsia="微软雅黑"/>
          <w:noProof/>
          <w:sz w:val="24"/>
        </w:rPr>
        <w:t xml:space="preserve">[34] Open Tenders - SANSA https://www.sansa.org.za/procurement/open-tenders/</w:t>
      </w:r>
    </w:p>
    <w:p>
      <w:pPr>
        <w:spacing w:line="288" w:lineRule="auto"/>
        <w:ind w:firstLine="480" w:firstLineChars="200"/>
        <w:jc w:val="both"/>
      </w:pPr>
      <w:r>
        <w:rPr>
          <w:rFonts w:hint="eastAsia" w:ascii="微软雅黑" w:hAnsi="微软雅黑" w:eastAsia="微软雅黑"/>
          <w:noProof/>
          <w:sz w:val="24"/>
        </w:rPr>
        <w:t xml:space="preserve">[35] View Tenders - EasyTenders https://easytenders.co.za/tenders</w:t>
      </w:r>
    </w:p>
    <w:p>
      <w:pPr>
        <w:spacing w:line="288" w:lineRule="auto"/>
        <w:ind w:firstLine="480" w:firstLineChars="200"/>
        <w:jc w:val="both"/>
      </w:pPr>
      <w:r>
        <w:rPr>
          <w:rFonts w:hint="eastAsia" w:ascii="微软雅黑" w:hAnsi="微软雅黑" w:eastAsia="微软雅黑"/>
          <w:noProof/>
          <w:sz w:val="24"/>
        </w:rPr>
        <w:t xml:space="preserve">[36] Federal Contracting Executive Order Raises Questions for ... https://www.nspe.org/nspe-advocacy/latest-news/federal-contracting-executive-order-raises-questions-engineering</w:t>
      </w:r>
    </w:p>
    <w:p>
      <w:pPr>
        <w:spacing w:line="288" w:lineRule="auto"/>
        <w:ind w:firstLine="480" w:firstLineChars="200"/>
        <w:jc w:val="both"/>
      </w:pPr>
      <w:r>
        <w:rPr>
          <w:rFonts w:hint="eastAsia" w:ascii="微软雅黑" w:hAnsi="微软雅黑" w:eastAsia="微软雅黑"/>
          <w:noProof/>
          <w:sz w:val="24"/>
        </w:rPr>
        <w:t xml:space="preserve">[37] Industry Day and Presolicitation Notice HITS-UIII - SAM.gov https://sam.gov/workspace/contract/opp/0991fd582ca54090ae90306a54961587/view</w:t>
      </w:r>
    </w:p>
    <w:p>
      <w:pPr>
        <w:spacing w:line="288" w:lineRule="auto"/>
        <w:ind w:firstLine="480" w:firstLineChars="200"/>
        <w:jc w:val="both"/>
      </w:pPr>
      <w:r>
        <w:rPr>
          <w:rFonts w:hint="eastAsia" w:ascii="微软雅黑" w:hAnsi="微软雅黑" w:eastAsia="微软雅黑"/>
          <w:noProof/>
          <w:sz w:val="24"/>
        </w:rPr>
        <w:t xml:space="preserve">[38] Formal Procurement Opportunities - JEA https://www.jea.com/about/procurement/formal_procurement_opportunities/</w:t>
      </w:r>
    </w:p>
    <w:p>
      <w:pPr>
        <w:spacing w:line="288" w:lineRule="auto"/>
        <w:ind w:firstLine="480" w:firstLineChars="200"/>
        <w:jc w:val="both"/>
      </w:pPr>
      <w:r>
        <w:rPr>
          <w:rFonts w:hint="eastAsia" w:ascii="微软雅黑" w:hAnsi="微软雅黑" w:eastAsia="微软雅黑"/>
          <w:noProof/>
          <w:sz w:val="24"/>
        </w:rPr>
        <w:t xml:space="preserve">[39] Guest Post: Navigating Federal Procurement Shifts: What A/E/C ... https://www.same.org/news/navigating-federal-procurement-shifts-what-a-e-c-firms-need-to-know/</w:t>
      </w:r>
    </w:p>
    <w:p>
      <w:pPr>
        <w:spacing w:line="288" w:lineRule="auto"/>
        <w:ind w:firstLine="480" w:firstLineChars="200"/>
        <w:jc w:val="both"/>
      </w:pPr>
      <w:r>
        <w:rPr>
          <w:rFonts w:hint="eastAsia" w:ascii="微软雅黑" w:hAnsi="微软雅黑" w:eastAsia="微软雅黑"/>
          <w:noProof/>
          <w:sz w:val="24"/>
        </w:rPr>
        <w:t xml:space="preserve">[40] Engineering Procurement Conferences in 2026/2027/2028 https://waset.org/engineering-procurement-conferences</w:t>
      </w:r>
    </w:p>
    <w:p>
      <w:pPr>
        <w:spacing w:line="288" w:lineRule="auto"/>
        <w:ind w:firstLine="480" w:firstLineChars="200"/>
        <w:jc w:val="both"/>
      </w:pPr>
      <w:r>
        <w:rPr>
          <w:rFonts w:hint="eastAsia" w:ascii="微软雅黑" w:hAnsi="微软雅黑" w:eastAsia="微软雅黑"/>
          <w:noProof/>
          <w:sz w:val="24"/>
        </w:rPr>
        <w:t xml:space="preserve">[41] Latest Steel Structure Standards Update 2026 - Newinds Vietnam https://newindscorp.com/latest-steel-structure-standards-update/</w:t>
      </w:r>
    </w:p>
    <w:p>
      <w:pPr>
        <w:spacing w:line="288" w:lineRule="auto"/>
        <w:ind w:firstLine="480" w:firstLineChars="200"/>
        <w:jc w:val="both"/>
      </w:pPr>
      <w:r>
        <w:rPr>
          <w:rFonts w:hint="eastAsia" w:ascii="微软雅黑" w:hAnsi="微软雅黑" w:eastAsia="微软雅黑"/>
          <w:noProof/>
          <w:sz w:val="24"/>
        </w:rPr>
        <w:t xml:space="preserve">[42] Not all steel professionals operate to the same standard. SAISC ... https://www.instagram.com/reel/DYeYoWBEmjC/</w:t>
      </w:r>
    </w:p>
    <w:p>
      <w:pPr>
        <w:spacing w:line="288" w:lineRule="auto"/>
        <w:ind w:firstLine="480" w:firstLineChars="200"/>
        <w:jc w:val="both"/>
      </w:pPr>
      <w:r>
        <w:rPr>
          <w:rFonts w:hint="eastAsia" w:ascii="微软雅黑" w:hAnsi="微软雅黑" w:eastAsia="微软雅黑"/>
          <w:noProof/>
          <w:sz w:val="24"/>
        </w:rPr>
        <w:t xml:space="preserve">[43] An Overview of Structural Grade Steels in Modern Civil Engineering https://masteel.co.uk/news/an-overview-of-structural-grade-steels-in-modern-civil-engineering/</w:t>
      </w:r>
    </w:p>
    <w:p>
      <w:pPr>
        <w:spacing w:line="288" w:lineRule="auto"/>
        <w:ind w:firstLine="480" w:firstLineChars="200"/>
        <w:jc w:val="both"/>
      </w:pPr>
      <w:r>
        <w:rPr>
          <w:rFonts w:hint="eastAsia" w:ascii="微软雅黑" w:hAnsi="微软雅黑" w:eastAsia="微软雅黑"/>
          <w:noProof/>
          <w:sz w:val="24"/>
        </w:rPr>
        <w:t xml:space="preserve">[44] Our 2026 Rondo Trade Product Guide is now available ... - Instagram https://www.instagram.com/reel/DReGPZ2ArRA/</w:t>
      </w:r>
    </w:p>
    <w:p>
      <w:pPr>
        <w:spacing w:line="288" w:lineRule="auto"/>
        <w:ind w:firstLine="480" w:firstLineChars="200"/>
        <w:jc w:val="both"/>
      </w:pPr>
      <w:r>
        <w:rPr>
          <w:rFonts w:hint="eastAsia" w:ascii="微软雅黑" w:hAnsi="微软雅黑" w:eastAsia="微软雅黑"/>
          <w:noProof/>
          <w:sz w:val="24"/>
        </w:rPr>
        <w:t xml:space="preserve">[45] South Africa's steel trade policy has shifted. New import duties are in ... https://www.instagram.com/p/DY13VxECkDE/</w:t>
      </w:r>
    </w:p>
    <w:p>
      <w:pPr>
        <w:spacing w:line="288" w:lineRule="auto"/>
        <w:ind w:firstLine="480" w:firstLineChars="200"/>
        <w:jc w:val="both"/>
      </w:pPr>
      <w:r>
        <w:rPr>
          <w:rFonts w:hint="eastAsia" w:ascii="微软雅黑" w:hAnsi="微软雅黑" w:eastAsia="微软雅黑"/>
          <w:noProof/>
          <w:sz w:val="24"/>
        </w:rPr>
        <w:t xml:space="preserve">[46] CIPS Africa on Instagram: "In a volatile economy, procurement is key ... https://www.instagram.com/reel/DUTT4pnDq5j/</w:t>
      </w:r>
    </w:p>
    <w:p>
      <w:pPr>
        <w:spacing w:line="288" w:lineRule="auto"/>
        <w:ind w:firstLine="480" w:firstLineChars="200"/>
        <w:jc w:val="both"/>
      </w:pPr>
      <w:r>
        <w:rPr>
          <w:rFonts w:hint="eastAsia" w:ascii="微软雅黑" w:hAnsi="微软雅黑" w:eastAsia="微软雅黑"/>
          <w:noProof/>
          <w:sz w:val="24"/>
        </w:rPr>
        <w:t xml:space="preserve">[47] The Department of Trade, Industry and Competition South Africa https://www.facebook.com/thedti/posts/media-release5-june-2026-south-africa-and-kenya-businesses-commit-to-increasing-/1453716860127440/</w:t>
      </w:r>
    </w:p>
    <w:p>
      <w:pPr>
        <w:spacing w:line="288" w:lineRule="auto"/>
        <w:ind w:firstLine="480" w:firstLineChars="200"/>
        <w:jc w:val="both"/>
      </w:pPr>
      <w:r>
        <w:rPr>
          <w:rFonts w:hint="eastAsia" w:ascii="微软雅黑" w:hAnsi="微软雅黑" w:eastAsia="微软雅黑"/>
          <w:noProof/>
          <w:sz w:val="24"/>
        </w:rPr>
        <w:t xml:space="preserve">[48] The Future of Public Procurement Starts Here. Join us at ... - Instagram https://www.instagram.com/p/DZsKDXJso2Y/</w:t>
      </w:r>
    </w:p>
    <w:p>
      <w:pPr>
        <w:spacing w:line="288" w:lineRule="auto"/>
        <w:ind w:firstLine="480" w:firstLineChars="200"/>
        <w:jc w:val="both"/>
      </w:pPr>
      <w:r>
        <w:rPr>
          <w:rFonts w:hint="eastAsia" w:ascii="微软雅黑" w:hAnsi="微软雅黑" w:eastAsia="微软雅黑"/>
          <w:noProof/>
          <w:sz w:val="24"/>
        </w:rPr>
        <w:t xml:space="preserve">[49] South Africa's New Procurement Law (DRAFT) - YouTube https://www.youtube.com/watch?v=YRNAGyGzjxc</w:t>
      </w:r>
    </w:p>
    <w:p>
      <w:pPr>
        <w:spacing w:line="288" w:lineRule="auto"/>
        <w:ind w:firstLine="480" w:firstLineChars="200"/>
        <w:jc w:val="both"/>
      </w:pPr>
      <w:r>
        <w:rPr>
          <w:rFonts w:hint="eastAsia" w:ascii="微软雅黑" w:hAnsi="微软雅黑" w:eastAsia="微软雅黑"/>
          <w:noProof/>
          <w:sz w:val="24"/>
        </w:rPr>
        <w:t xml:space="preserve">[50] Workshop on public procurement (law) reform in South Africa 2026 https://africanprocurementlaw.org/2026/05/07/workshop-on-public-procurement-law-reform-in-south-africa-2026/</w:t>
      </w:r>
    </w:p>
    <w:p>
      <w:pPr>
        <w:spacing w:line="288" w:lineRule="auto"/>
        <w:ind w:firstLine="480" w:firstLineChars="200"/>
        <w:jc w:val="both"/>
      </w:pPr>
      <w:r>
        <w:rPr>
          <w:rFonts w:hint="eastAsia" w:ascii="微软雅黑" w:hAnsi="微软雅黑" w:eastAsia="微软雅黑"/>
          <w:noProof/>
          <w:sz w:val="24"/>
        </w:rPr>
        <w:t xml:space="preserve">[51] Top Energy Procurement Trends to Watch in 2026 https://environenergy.com/2025/12/top-energy-procurement-trends-to-watch-2026/</w:t>
      </w:r>
    </w:p>
    <w:p>
      <w:pPr>
        <w:spacing w:line="288" w:lineRule="auto"/>
        <w:ind w:firstLine="480" w:firstLineChars="200"/>
        <w:jc w:val="both"/>
      </w:pPr>
      <w:r>
        <w:rPr>
          <w:rFonts w:hint="eastAsia" w:ascii="微软雅黑" w:hAnsi="微软雅黑" w:eastAsia="微软雅黑"/>
          <w:noProof/>
          <w:sz w:val="24"/>
        </w:rPr>
        <w:t xml:space="preserve">[52] Five Procurement Trends Engineering Resilience in 2026 | GEP Blog https://www.gep.com/blog/technology/latest-trends-engineer-resilience-modern-procurement-systems</w:t>
      </w:r>
    </w:p>
    <w:p>
      <w:pPr>
        <w:spacing w:line="288" w:lineRule="auto"/>
        <w:ind w:firstLine="480" w:firstLineChars="200"/>
        <w:jc w:val="both"/>
      </w:pPr>
      <w:r>
        <w:rPr>
          <w:rFonts w:hint="eastAsia" w:ascii="微软雅黑" w:hAnsi="微软雅黑" w:eastAsia="微软雅黑"/>
          <w:noProof/>
          <w:sz w:val="24"/>
        </w:rPr>
        <w:t xml:space="preserve">[53] Top 5 Maintenance Trends for 2026 | Tractian https://tractian.com/en/blog/top-5-maintenance-trends-for-2026</w:t>
      </w:r>
    </w:p>
    <w:p>
      <w:pPr>
        <w:spacing w:line="288" w:lineRule="auto"/>
        <w:ind w:firstLine="480" w:firstLineChars="200"/>
        <w:jc w:val="both"/>
      </w:pPr>
      <w:r>
        <w:rPr>
          <w:rFonts w:hint="eastAsia" w:ascii="微软雅黑" w:hAnsi="微软雅黑" w:eastAsia="微软雅黑"/>
          <w:noProof/>
          <w:sz w:val="24"/>
        </w:rPr>
        <w:t xml:space="preserve">[54] Procurement Trends and Predictions to Watch in 2026 - Skill Dynamics https://skilldynamics.com/blog/procurement-trends-and-predictions-to-watch-in-2026/</w:t>
      </w:r>
    </w:p>
    <w:p>
      <w:pPr>
        <w:spacing w:line="288" w:lineRule="auto"/>
        <w:ind w:firstLine="480" w:firstLineChars="200"/>
        <w:jc w:val="both"/>
      </w:pPr>
      <w:r>
        <w:rPr>
          <w:rFonts w:hint="eastAsia" w:ascii="微软雅黑" w:hAnsi="微软雅黑" w:eastAsia="微软雅黑"/>
          <w:noProof/>
          <w:sz w:val="24"/>
        </w:rPr>
        <w:t xml:space="preserve">[55] Top Construction Procurement Trends to Watch in 2026 - Beroe https://www.beroeinc.com/resource-centre/insights/construction-procurement-trends-2026/</w:t>
      </w:r>
    </w:p>
    <w:sectPr>
      <w:type w:val="nextPage"/>
      <w:pgSz w:w="11895" w:h="16830" w:orient="portrait"/>
      <w:pgMar w:top="1440" w:right="1800" w:bottom="1440" w:left="1800" w:header="855" w:footer="990" w:gutter="0"/>
    </w:sectPr>
  </w:body>
</w:document>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displayBackgroundShap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charts/chart1.xml" Type="http://schemas.openxmlformats.org/officeDocument/2006/relationships/chart" Id="rId3"/>
    <Relationship Target="charts/chart2.xml" Type="http://schemas.openxmlformats.org/officeDocument/2006/relationships/chart" Id="rId4"/>
    <Relationship Target="charts/chart3.xml" Type="http://schemas.openxmlformats.org/officeDocument/2006/relationships/chart" Id="rId5"/>
    <Relationship Target="charts/chart4.xml" Type="http://schemas.openxmlformats.org/officeDocument/2006/relationships/chart" Id="rId6"/>
    <Relationship Target="charts/chart5.xml" Type="http://schemas.openxmlformats.org/officeDocument/2006/relationships/chart" Id="rId7"/>
</Relationships>

</file>

<file path=word/charts/_rels/chart1.xml.rels><?xml version="1.0" encoding="UTF-8" standalone="yes"?>
<Relationships xmlns="http://schemas.openxmlformats.org/package/2006/relationships">
    <Relationship Target="../embeddings/1.xlsx" Type="http://schemas.openxmlformats.org/officeDocument/2006/relationships/package" Id="rId1"/>
</Relationships>

</file>

<file path=word/charts/_rels/chart2.xml.rels><?xml version="1.0" encoding="UTF-8" standalone="yes"?>
<Relationships xmlns="http://schemas.openxmlformats.org/package/2006/relationships">
    <Relationship Target="../embeddings/2.xlsx" Type="http://schemas.openxmlformats.org/officeDocument/2006/relationships/package" Id="rId1"/>
</Relationships>

</file>

<file path=word/charts/_rels/chart3.xml.rels><?xml version="1.0" encoding="UTF-8" standalone="yes"?>
<Relationships xmlns="http://schemas.openxmlformats.org/package/2006/relationships">
    <Relationship Target="../embeddings/3.xlsx" Type="http://schemas.openxmlformats.org/officeDocument/2006/relationships/package" Id="rId1"/>
</Relationships>

</file>

<file path=word/charts/_rels/chart4.xml.rels><?xml version="1.0" encoding="UTF-8" standalone="yes"?>
<Relationships xmlns="http://schemas.openxmlformats.org/package/2006/relationships">
    <Relationship Target="../embeddings/4.xlsx" Type="http://schemas.openxmlformats.org/officeDocument/2006/relationships/package" Id="rId1"/>
</Relationships>

</file>

<file path=word/charts/_rels/chart5.xml.rels><?xml version="1.0" encoding="UTF-8" standalone="yes"?>
<Relationships xmlns="http://schemas.openxmlformats.org/package/2006/relationships">
    <Relationship Target="../embeddings/5.xlsx" Type="http://schemas.openxmlformats.org/officeDocument/2006/relationships/package" Id="rId1"/>
</Relationships>

</file>

<file path=word/charts/chart1.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pieChart>
        <c:ser>
          <c:idx val="0"/>
          <c:order val="0"/>
          <c:tx>
            <c:strRef>
              <c:f>Sheet1!$B$1</c:f>
              <c:strCache>
                <c:ptCount val="1"/>
                <c:pt idx="0">
                  <c:v>Market+Share+(%)</c:v>
                </c:pt>
              </c:strCache>
            </c:strRef>
          </c:tx>
          <c:dPt>
            <c:idx val="0"/>
            <c:bubble3D val="false"/>
            <c:spPr>
              <a:solidFill>
                <a:srgbClr val="FF7733"/>
              </a:solidFill>
            </c:spPr>
          </c:dPt>
          <c:dPt>
            <c:idx val="1"/>
            <c:bubble3D val="false"/>
            <c:spPr>
              <a:solidFill>
                <a:srgbClr val="F8D256"/>
              </a:solidFill>
            </c:spPr>
          </c:dPt>
          <c:dPt>
            <c:idx val="2"/>
            <c:bubble3D val="false"/>
            <c:spPr>
              <a:solidFill>
                <a:srgbClr val="FF9D6C"/>
              </a:solidFill>
            </c:spPr>
          </c:dPt>
          <c:dPt>
            <c:idx val="3"/>
            <c:bubble3D val="false"/>
            <c:spPr>
              <a:solidFill>
                <a:srgbClr val="F5C1A0"/>
              </a:solidFill>
            </c:spPr>
          </c:dPt>
          <c:dLbls>
            <c:dLblPos val="outEnd"/>
            <c:showVal val="true"/>
            <c:showCatName val="true"/>
            <c:showSerName val="false"/>
            <c:showPercent val="false"/>
            <c:showBubbleSize val="false"/>
            <c:showLeaderLines val="true"/>
            <c:leaderLines>
              <c:spPr>
                <a:ln>
                  <a:solidFill>
                    <a:srgbClr val="FF7733"/>
                  </a:solidFill>
                </a:ln>
              </c:spPr>
            </c:leaderLines>
          </c:dLbls>
          <c:cat>
            <c:strRef>
              <c:f>Sheet1!$A$2:$A$5</c:f>
              <c:strCache>
                <c:ptCount val="4"/>
                <c:pt idx="0">
                  <c:v>Company+A</c:v>
                </c:pt>
                <c:pt idx="1">
                  <c:v>Company+B</c:v>
                </c:pt>
                <c:pt idx="2">
                  <c:v>Company+C</c:v>
                </c:pt>
                <c:pt idx="3">
                  <c:v>Others</c:v>
                </c:pt>
              </c:strCache>
            </c:strRef>
          </c:cat>
          <c:val>
            <c:numRef>
              <c:f>Sheet1!$B$2:$B$5</c:f>
              <c:numCache>
                <c:ptCount val="4"/>
                <c:pt idx="0">
                  <c:v>35</c:v>
                </c:pt>
                <c:pt idx="1">
                  <c:v>25</c:v>
                </c:pt>
                <c:pt idx="2">
                  <c:v>20</c:v>
                </c:pt>
                <c:pt idx="3">
                  <c:v>20</c:v>
                </c:pt>
              </c:numCache>
            </c:numRef>
          </c:val>
        </c:ser>
      </c:pieChart>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2.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barChart>
        <c:barDir val="col"/>
        <c:grouping val="clustered"/>
        <c:ser>
          <c:idx val="0"/>
          <c:order val="0"/>
          <c:tx>
            <c:strRef>
              <c:f>Sheet1!$B$1</c:f>
              <c:strCache>
                <c:ptCount val="1"/>
                <c:pt idx="0">
                  <c:v>Mining+Focus+(%)</c:v>
                </c:pt>
              </c:strCache>
            </c:strRef>
          </c:tx>
          <c:spPr>
            <a:solidFill>
              <a:srgbClr val="FF7733"/>
            </a:solidFill>
            <a:ln>
              <a:solidFill>
                <a:srgbClr val="FF7733"/>
              </a:solidFill>
            </a:ln>
          </c:spPr>
          <c:invertIfNegative val="false"/>
          <c:cat>
            <c:strRef>
              <c:f>Sheet1!$A$2:$A$4</c:f>
              <c:strCache>
                <c:ptCount val="3"/>
                <c:pt idx="0">
                  <c:v>Competitor+A</c:v>
                </c:pt>
                <c:pt idx="1">
                  <c:v>Competitor+B</c:v>
                </c:pt>
                <c:pt idx="2">
                  <c:v>Competitor+C</c:v>
                </c:pt>
              </c:strCache>
            </c:strRef>
          </c:cat>
          <c:val>
            <c:numRef>
              <c:f>Sheet1!$B$2:$B$4</c:f>
              <c:numCache>
                <c:ptCount val="3"/>
                <c:pt idx="0">
                  <c:v>50</c:v>
                </c:pt>
                <c:pt idx="1">
                  <c:v>20</c:v>
                </c:pt>
                <c:pt idx="2">
                  <c:v>40</c:v>
                </c:pt>
              </c:numCache>
            </c:numRef>
          </c:val>
        </c:ser>
        <c:ser>
          <c:idx val="1"/>
          <c:order val="1"/>
          <c:tx>
            <c:strRef>
              <c:f>Sheet1!$C$1</c:f>
              <c:strCache>
                <c:ptCount val="1"/>
                <c:pt idx="0">
                  <c:v>Energy+Focus+(%)</c:v>
                </c:pt>
              </c:strCache>
            </c:strRef>
          </c:tx>
          <c:spPr>
            <a:solidFill>
              <a:srgbClr val="F8D256"/>
            </a:solidFill>
            <a:ln>
              <a:solidFill>
                <a:srgbClr val="F8D256"/>
              </a:solidFill>
            </a:ln>
          </c:spPr>
          <c:invertIfNegative val="false"/>
          <c:cat>
            <c:strRef>
              <c:f>Sheet1!$A$2:$A$4</c:f>
              <c:strCache>
                <c:ptCount val="3"/>
                <c:pt idx="0">
                  <c:v>Competitor+A</c:v>
                </c:pt>
                <c:pt idx="1">
                  <c:v>Competitor+B</c:v>
                </c:pt>
                <c:pt idx="2">
                  <c:v>Competitor+C</c:v>
                </c:pt>
              </c:strCache>
            </c:strRef>
          </c:cat>
          <c:val>
            <c:numRef>
              <c:f>Sheet1!$C$2:$C$4</c:f>
              <c:numCache>
                <c:ptCount val="3"/>
                <c:pt idx="0">
                  <c:v>30</c:v>
                </c:pt>
                <c:pt idx="1">
                  <c:v>60</c:v>
                </c:pt>
                <c:pt idx="2">
                  <c:v>10</c:v>
                </c:pt>
              </c:numCache>
            </c:numRef>
          </c:val>
        </c:ser>
        <c:ser>
          <c:idx val="2"/>
          <c:order val="2"/>
          <c:tx>
            <c:strRef>
              <c:f>Sheet1!$D$1</c:f>
              <c:strCache>
                <c:ptCount val="1"/>
                <c:pt idx="0">
                  <c:v>Manufacturing+Focus+(%)</c:v>
                </c:pt>
              </c:strCache>
            </c:strRef>
          </c:tx>
          <c:spPr>
            <a:solidFill>
              <a:srgbClr val="FF9D6C"/>
            </a:solidFill>
            <a:ln>
              <a:solidFill>
                <a:srgbClr val="FF9D6C"/>
              </a:solidFill>
            </a:ln>
          </c:spPr>
          <c:invertIfNegative val="false"/>
          <c:cat>
            <c:strRef>
              <c:f>Sheet1!$A$2:$A$4</c:f>
              <c:strCache>
                <c:ptCount val="3"/>
                <c:pt idx="0">
                  <c:v>Competitor+A</c:v>
                </c:pt>
                <c:pt idx="1">
                  <c:v>Competitor+B</c:v>
                </c:pt>
                <c:pt idx="2">
                  <c:v>Competitor+C</c:v>
                </c:pt>
              </c:strCache>
            </c:strRef>
          </c:cat>
          <c:val>
            <c:numRef>
              <c:f>Sheet1!$D$2:$D$4</c:f>
              <c:numCache>
                <c:ptCount val="3"/>
                <c:pt idx="0">
                  <c:v>20</c:v>
                </c:pt>
                <c:pt idx="1">
                  <c:v>20</c:v>
                </c:pt>
                <c:pt idx="2">
                  <c:v>50</c:v>
                </c:pt>
              </c:numCache>
            </c:numRef>
          </c:val>
        </c:ser>
        <c:gapWidth val="166"/>
        <c:axId val="3310285"/>
        <c:axId val="7395458"/>
      </c:barChart>
      <c:catAx>
        <c:axId val="3310285"/>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7395458"/>
        <c:crosses val="autoZero"/>
      </c:catAx>
      <c:valAx>
        <c:axId val="7395458"/>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3310285"/>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3.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pieChart>
        <c:ser>
          <c:idx val="0"/>
          <c:order val="0"/>
          <c:tx>
            <c:strRef>
              <c:f>Sheet1!$B$1</c:f>
              <c:strCache>
                <c:ptCount val="1"/>
                <c:pt idx="0">
                  <c:v>Market+Share+(%)</c:v>
                </c:pt>
              </c:strCache>
            </c:strRef>
          </c:tx>
          <c:dPt>
            <c:idx val="0"/>
            <c:bubble3D val="false"/>
            <c:spPr>
              <a:solidFill>
                <a:srgbClr val="FF7733"/>
              </a:solidFill>
            </c:spPr>
          </c:dPt>
          <c:dPt>
            <c:idx val="1"/>
            <c:bubble3D val="false"/>
            <c:spPr>
              <a:solidFill>
                <a:srgbClr val="F8D256"/>
              </a:solidFill>
            </c:spPr>
          </c:dPt>
          <c:dPt>
            <c:idx val="2"/>
            <c:bubble3D val="false"/>
            <c:spPr>
              <a:solidFill>
                <a:srgbClr val="FF9D6C"/>
              </a:solidFill>
            </c:spPr>
          </c:dPt>
          <c:dPt>
            <c:idx val="3"/>
            <c:bubble3D val="false"/>
            <c:spPr>
              <a:solidFill>
                <a:srgbClr val="F5C1A0"/>
              </a:solidFill>
            </c:spPr>
          </c:dPt>
          <c:dLbls>
            <c:dLblPos val="outEnd"/>
            <c:showVal val="true"/>
            <c:showCatName val="true"/>
            <c:showSerName val="false"/>
            <c:showPercent val="false"/>
            <c:showBubbleSize val="false"/>
            <c:showLeaderLines val="true"/>
            <c:leaderLines>
              <c:spPr>
                <a:ln>
                  <a:solidFill>
                    <a:srgbClr val="FF7733"/>
                  </a:solidFill>
                </a:ln>
              </c:spPr>
            </c:leaderLines>
          </c:dLbls>
          <c:cat>
            <c:strRef>
              <c:f>Sheet1!$A$2:$A$5</c:f>
              <c:strCache>
                <c:ptCount val="4"/>
                <c:pt idx="0">
                  <c:v>eTender+Publication+Portal</c:v>
                </c:pt>
                <c:pt idx="1">
                  <c:v>Leads+2+Business</c:v>
                </c:pt>
                <c:pt idx="2">
                  <c:v>OnlineTenders</c:v>
                </c:pt>
                <c:pt idx="3">
                  <c:v>Others</c:v>
                </c:pt>
              </c:strCache>
            </c:strRef>
          </c:cat>
          <c:val>
            <c:numRef>
              <c:f>Sheet1!$B$2:$B$5</c:f>
              <c:numCache>
                <c:ptCount val="4"/>
                <c:pt idx="0">
                  <c:v>45</c:v>
                </c:pt>
                <c:pt idx="1">
                  <c:v>25</c:v>
                </c:pt>
                <c:pt idx="2">
                  <c:v>20</c:v>
                </c:pt>
                <c:pt idx="3">
                  <c:v>10</c:v>
                </c:pt>
              </c:numCache>
            </c:numRef>
          </c:val>
        </c:ser>
      </c:pieChart>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4.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pieChart>
        <c:ser>
          <c:idx val="0"/>
          <c:order val="0"/>
          <c:tx>
            <c:strRef>
              <c:f>Sheet1!$B$1</c:f>
              <c:strCache>
                <c:ptCount val="1"/>
                <c:pt idx="0">
                  <c:v>Proportion+of+Projects+(%)</c:v>
                </c:pt>
              </c:strCache>
            </c:strRef>
          </c:tx>
          <c:dPt>
            <c:idx val="0"/>
            <c:bubble3D val="false"/>
            <c:spPr>
              <a:solidFill>
                <a:srgbClr val="FF7733"/>
              </a:solidFill>
            </c:spPr>
          </c:dPt>
          <c:dPt>
            <c:idx val="1"/>
            <c:bubble3D val="false"/>
            <c:spPr>
              <a:solidFill>
                <a:srgbClr val="F8D256"/>
              </a:solidFill>
            </c:spPr>
          </c:dPt>
          <c:dPt>
            <c:idx val="2"/>
            <c:bubble3D val="false"/>
            <c:spPr>
              <a:solidFill>
                <a:srgbClr val="FF9D6C"/>
              </a:solidFill>
            </c:spPr>
          </c:dPt>
          <c:dLbls>
            <c:dLblPos val="outEnd"/>
            <c:showVal val="true"/>
            <c:showCatName val="true"/>
            <c:showSerName val="false"/>
            <c:showPercent val="false"/>
            <c:showBubbleSize val="false"/>
            <c:showLeaderLines val="true"/>
            <c:leaderLines>
              <c:spPr>
                <a:ln>
                  <a:solidFill>
                    <a:srgbClr val="FF7733"/>
                  </a:solidFill>
                </a:ln>
              </c:spPr>
            </c:leaderLines>
          </c:dLbls>
          <c:cat>
            <c:strRef>
              <c:f>Sheet1!$A$2:$A$4</c:f>
              <c:strCache>
                <c:ptCount val="3"/>
                <c:pt idx="0">
                  <c:v>Grades+1-3</c:v>
                </c:pt>
                <c:pt idx="1">
                  <c:v>Grades+4-6</c:v>
                </c:pt>
                <c:pt idx="2">
                  <c:v>Grades+7-9</c:v>
                </c:pt>
              </c:strCache>
            </c:strRef>
          </c:cat>
          <c:val>
            <c:numRef>
              <c:f>Sheet1!$B$2:$B$4</c:f>
              <c:numCache>
                <c:ptCount val="3"/>
                <c:pt idx="0">
                  <c:v>20</c:v>
                </c:pt>
                <c:pt idx="1">
                  <c:v>50</c:v>
                </c:pt>
                <c:pt idx="2">
                  <c:v>30</c:v>
                </c:pt>
              </c:numCache>
            </c:numRef>
          </c:val>
        </c:ser>
      </c:pieChart>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5.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lineChart>
        <c:grouping val="standard"/>
        <c:varyColors val="false"/>
        <c:ser>
          <c:idx val="0"/>
          <c:order val="0"/>
          <c:tx>
            <c:strRef>
              <c:f>Sheet1!$B$1</c:f>
              <c:strCache>
                <c:ptCount val="1"/>
                <c:pt idx="0">
                  <c:v>Cost+Savings+(%)</c:v>
                </c:pt>
              </c:strCache>
            </c:strRef>
          </c:tx>
          <c:spPr>
            <a:ln>
              <a:solidFill>
                <a:srgbClr val="FF7733"/>
              </a:solidFill>
            </a:ln>
          </c:spPr>
          <c:marker>
            <c:symbol val="circle"/>
            <c:size val="4"/>
            <c:spPr>
              <a:noFill/>
              <a:ln>
                <a:solidFill>
                  <a:srgbClr val="FF7733"/>
                </a:solidFill>
              </a:ln>
            </c:spPr>
          </c:marker>
          <c:cat>
            <c:strRef>
              <c:f>Sheet1!$A$2:$A$6</c:f>
              <c:strCache>
                <c:ptCount val="5"/>
                <c:pt idx="0">
                  <c:v>2020</c:v>
                </c:pt>
                <c:pt idx="1">
                  <c:v>2021</c:v>
                </c:pt>
                <c:pt idx="2">
                  <c:v>2022</c:v>
                </c:pt>
                <c:pt idx="3">
                  <c:v>2023</c:v>
                </c:pt>
                <c:pt idx="4">
                  <c:v>2024</c:v>
                </c:pt>
              </c:strCache>
            </c:strRef>
          </c:cat>
          <c:val>
            <c:numRef>
              <c:f>Sheet1!$B$2:$B$6</c:f>
              <c:numCache>
                <c:ptCount val="5"/>
                <c:pt idx="0">
                  <c:v>5.2</c:v>
                </c:pt>
                <c:pt idx="1">
                  <c:v>6.1</c:v>
                </c:pt>
                <c:pt idx="2">
                  <c:v>7.5</c:v>
                </c:pt>
                <c:pt idx="3">
                  <c:v>8.3</c:v>
                </c:pt>
                <c:pt idx="4">
                  <c:v>10</c:v>
                </c:pt>
              </c:numCache>
            </c:numRef>
          </c:val>
          <c:smooth val="false"/>
        </c:ser>
        <c:smooth val="false"/>
        <c:axId val="3140628"/>
        <c:axId val="5620521"/>
      </c:lineChart>
      <c:catAx>
        <c:axId val="3140628"/>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5620521"/>
        <c:crosses val="autoZero"/>
      </c:catAx>
      <c:valAx>
        <c:axId val="5620521"/>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3140628"/>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