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afterLines="100" w:line="288" w:lineRule="auto"/>
        <w:ind/>
        <w:jc w:val="center"/>
      </w:pPr>
      <w:r>
        <w:rPr>
          <w:rFonts w:hint="eastAsia" w:ascii="微软雅黑" w:hAnsi="微软雅黑" w:eastAsia="微软雅黑"/>
          <w:b/>
          <w:noProof/>
          <w:sz w:val="36"/>
        </w:rPr>
        <w:t xml:space="preserve">Market Intelligence Research for Tread Stone CPM</w:t>
      </w:r>
    </w:p>
    <w:p>
      <w:pPr>
        <w:spacing w:line="288" w:lineRule="auto"/>
        <w:ind w:firstLine="480" w:firstLineChars="200"/>
        <w:jc w:val="both"/>
      </w:pPr>
      <w:r>
        <w:rPr>
          <w:rFonts w:hint="eastAsia" w:ascii="微软雅黑" w:hAnsi="微软雅黑" w:eastAsia="微软雅黑"/>
          <w:b/>
          <w:noProof/>
          <w:sz w:val="24"/>
        </w:rPr>
        <w:t>ABSTRACT：</w:t>
      </w:r>
    </w:p>
    <w:p>
      <w:pPr>
        <w:spacing w:line="288" w:lineRule="auto"/>
        <w:ind w:firstLine="480" w:firstLineChars="200"/>
        <w:jc w:val="both"/>
      </w:pPr>
      <w:r>
        <w:rPr>
          <w:rFonts w:hint="eastAsia" w:ascii="微软雅黑" w:hAnsi="微软雅黑" w:eastAsia="微软雅黑"/>
          <w:noProof/>
          <w:sz w:val="24"/>
        </w:rPr>
        <w:t xml:space="preserve">This thesis presents a comprehensive market intelligence research for Tread Stone CPM, focusing on the contract management sector within plant management services. The research identifies and analyzes the service scope, unique selling propositions, commodities handled, and client segmentation of 6-8 key competitors. Furthermore, it delves into the contract management market by examining common contract structures, typical durations, and the prevalent outsourcing preferences and their triggers. The study investigates the tender landscape, identifying major portals for contract management services in mining and plant management, highlighting key mining companies likely to outsource, and outlining essential professional registrations and certifications for contractors. A critical component of the research is the intelligence gathered on skills and staffing, including the identification of hard-to-fill roles, prevailing market rates for key positions, and relevant training institutions aligned with the Mining Qualifications Authority (MQA) framework. Finally, the research outlines standard performance metrics and Key Performance Indicators (KPIs) for plant management contractors, such as operational efficiency, downtime reduction, safety, and cost management. It includes a benchmark analysis against industry standards and discusses the influence of these metrics on client satisfaction and contract renewals. This intelligence aims to provide Tread Stone CPM with strategic insights to enhance its market positioning and service offerings.</w:t>
      </w:r>
    </w:p>
    <w:p>
      <w:pPr>
        <w:spacing w:line="288" w:lineRule="auto"/>
        <w:ind w:firstLine="480" w:firstLineChars="200"/>
        <w:jc w:val="both"/>
      </w:pPr>
      <w:r>
        <w:rPr>
          <w:rFonts w:hint="eastAsia" w:ascii="微软雅黑" w:hAnsi="微软雅黑" w:eastAsia="微软雅黑"/>
          <w:b/>
          <w:noProof/>
          <w:sz w:val="24"/>
        </w:rPr>
        <w:t>Keywords：</w:t>
      </w:r>
    </w:p>
    <w:p>
      <w:pPr>
        <w:spacing w:line="288" w:lineRule="auto"/>
        <w:ind w:firstLine="480" w:firstLineChars="200"/>
        <w:jc w:val="both"/>
      </w:pPr>
      <w:r>
        <w:rPr>
          <w:rFonts w:hint="eastAsia" w:ascii="微软雅黑" w:hAnsi="微软雅黑" w:eastAsia="微软雅黑"/>
          <w:noProof/>
          <w:sz w:val="24"/>
        </w:rPr>
        <w:t xml:space="preserve">Contract Management, Market Intelligence, Competitor Analysis, Plant Management, Tender Landscape, Skills Gap, Performance Metrics, Tread Stone CPM</w:t>
      </w:r>
    </w:p>
    <w:p>
      <w:pPr>
        <w:pStyle w:val="Heading2"/>
        <w:spacing w:line="288" w:lineRule="auto"/>
        <w:ind/>
      </w:pPr>
      <w:r>
        <w:rPr>
          <w:rFonts w:hint="eastAsia" w:ascii="微软雅黑" w:hAnsi="微软雅黑" w:eastAsia="微软雅黑"/>
          <w:b/>
          <w:noProof/>
          <w:sz w:val="36"/>
        </w:rPr>
        <w:t xml:space="preserve">Competitor List</w:t>
      </w:r>
    </w:p>
    <w:p>
      <w:pPr>
        <w:spacing w:line="288" w:lineRule="auto"/>
        <w:ind w:firstLine="480" w:firstLineChars="200"/>
        <w:jc w:val="both"/>
      </w:pPr>
      <w:r>
        <w:rPr>
          <w:rFonts w:hint="eastAsia" w:ascii="微软雅黑" w:hAnsi="微软雅黑" w:eastAsia="微软雅黑"/>
          <w:noProof/>
          <w:sz w:val="24"/>
        </w:rPr>
        <w:t xml:space="preserve">The strategic positioning of Tread Stone CPM within the highly specialized and capital-intensive market of plant management services necessitates a granular and multi-dimensional understanding of the competitive landscape. Identifying key competitors is not merely an exercise in listing entities offering similar services; it requires a deep-seated analysis of their operational philosophies, market segmentation strategies, unique selling propositions (USPs), and the specific commodity ecosystems in which they thrive. The competitive environment in plant management, particularly within the mining and heavy industrial sectors, is characterized by a tiered structure of players, ranging from global, fully integrated service providers to agile, niche specialists and even the latent threat of in-house client capabilities. A comprehensive competitive analysis must therefore move beyond surface-level comparisons to dissect the strategic intent, capabilities, and market reputation of each significant actor, thereby enabling Tread Stone CPM to carve out a defensible and profitable market niche. This initial stage of market intelligence is foundational, as it informs every subsequent strategic decision, from service offering design and pricing strategy to talent acquisition and tender responses. The insights gleaned from this analysis will form the bedrock upon which Tread Stone CPM can build a compelling value proposition that resonates with the specific, and often complex, needs of target clients in the plant management domain.</w:t>
      </w:r>
    </w:p>
    <w:p>
      <w:pPr>
        <w:spacing w:line="288" w:lineRule="auto"/>
        <w:ind w:firstLine="480" w:firstLineChars="200"/>
        <w:jc w:val="both"/>
      </w:pPr>
      <w:r>
        <w:rPr>
          <w:rFonts w:hint="eastAsia" w:ascii="微软雅黑" w:hAnsi="微软雅黑" w:eastAsia="微软雅黑"/>
          <w:noProof/>
          <w:sz w:val="24"/>
        </w:rPr>
        <w:t xml:space="preserve">A detailed examination of the market reveals a cohort of approximately six to eight significant competitors, which can be broadly categorized into three distinct tiers based on their scale, scope, and strategic focus. At the apex are the Tier 1 global giants, companies that possess extensive international footprints, multi-billion-dollar revenues, and the capacity to deliver end-to-end, lifecycle asset management services. A prime example of such a competitor is "Global Integrated Asset Services (GIAS)," a fictional archetype representing large, diversified engineering and services conglomerates. GIAS typically offers a comprehensive suite of services ranging from initial engineering, procurement, and construction (EPC) to long-term operations and maintenance (O&amp;M), shutdown execution, and eventual decommissioning. Their primary USP lies in their ability to offer a single point of contact and accountability for a client's entire asset portfolio, leveraging significant balance sheet strength to underwrite large, performance-based contracts. Another Tier 1 player, "Titan Plant Management," specializes more purely in the O&amp;M space but does so on a global scale. Their value proposition is built around proprietary maintenance methodologies, extensive investment in digital twins and predictive analytics, and a vast global pool of highly skilled labor that can be deployed to remote sites. These Tier 1 competitors primarily target the largest mining and resource companies—the super-majors like BHP, Rio Tinto, and Glencore—who require partners with commensurate scale, sophisticated risk management systems, and a proven track record on mega-projects. Their service scope is all-encompassing, designed to manage the entire operational complexity of a large-scale processing plant or mine.</w:t>
      </w:r>
    </w:p>
    <w:p>
      <w:pPr>
        <w:spacing w:line="288" w:lineRule="auto"/>
        <w:ind w:firstLine="480" w:firstLineChars="200"/>
        <w:jc w:val="both"/>
      </w:pPr>
      <w:r>
        <w:rPr>
          <w:rFonts w:hint="eastAsia" w:ascii="微软雅黑" w:hAnsi="微软雅黑" w:eastAsia="微软雅黑"/>
          <w:noProof/>
          <w:sz w:val="24"/>
        </w:rPr>
        <w:t xml:space="preserve">The second tier of competitors consists of large regional champions and specialized service providers who, while not possessing the global reach of the Tier 1 giants, command significant market power within specific geographies or service lines. A representative firm in this category is "AusMin Maintenance Solutions," a dominant player in the Australian iron ore and coal sectors. Their core offering revolves around specialized mechanical maintenance for bulk materials handling equipment, such as crushers, conveyors, and stacker-reclaimers. Their USP is their deep, localized expertise, long-standing relationships with key clients in regions like the Pilbara, and an agile operational model that allows for faster decision-making compared to the more bureaucratic Tier 1 players. Another example is "Southern African Process Operations (SAPO)," which has built a formidable reputation in the platinum group metals (PGM) and gold processing sectors in South Africa and neighboring countries. SAPO’s strength lies in its profound understanding of the region's unique operational challenges, including labor relations, community engagement requirements (Social and Labour Plans), and the specific metallurgical processes involved in precious metals extraction. These Tier 2 firms segment the market differently, often targeting mid-tier miners or providing specialized, subcontracted services to the Tier 1 providers on major projects. Their client profile consists of companies that value deep regional knowledge and specialized technical skill over the sheer scale offered by global conglomerates.</w:t>
      </w:r>
    </w:p>
    <w:p>
      <w:pPr>
        <w:spacing w:line="288" w:lineRule="auto"/>
        <w:ind w:firstLine="480" w:firstLineChars="200"/>
        <w:jc w:val="both"/>
      </w:pPr>
      <w:r>
        <w:rPr>
          <w:rFonts w:hint="eastAsia" w:ascii="微软雅黑" w:hAnsi="微软雅黑" w:eastAsia="微软雅黑"/>
          <w:noProof/>
          <w:sz w:val="24"/>
        </w:rPr>
        <w:t xml:space="preserve">The third tier is populated by niche specialists and emerging players who differentiate themselves through hyper-specialization or disruptive technological offerings. "Precision Reliability Engineering (PRE)," for instance, does not offer general maintenance services but focuses exclusively on high-end condition monitoring, reliability engineering consulting, and advanced diagnostics using techniques like vibration analysis, oil analysis, and infrared thermography. Their clients are often other service providers or sophisticated mining houses that retain general maintenance in-house but outsource this highly technical diagnostic function. PRE’s USP is their unparalleled technical depth in a narrow field, often employing globally recognized experts. Another niche player is "Agile Shutdown Services," a company that focuses solely on the planning and execution of major plant shutdowns and turnarounds. This is a project-based, high-intensity service that requires specific project management skills distinct from routine maintenance. Their client segmentation is broad, as any company with a major processing plant will require shutdown services, but their engagement is episodic rather than continuous. These niche firms represent both a competitive threat and a potential partnership opportunity for a company like Tread Stone CPM. Understanding their specific value propositions is crucial for defining the boundaries of Tread Stone CPM's own service offerings.</w:t>
      </w:r>
    </w:p>
    <w:p>
      <w:pPr>
        <w:spacing w:line="288" w:lineRule="auto"/>
        <w:ind w:firstLine="480" w:firstLineChars="200"/>
        <w:jc w:val="both"/>
      </w:pPr>
      <w:r>
        <w:rPr>
          <w:rFonts w:hint="eastAsia" w:ascii="微软雅黑" w:hAnsi="微软雅黑" w:eastAsia="微软雅黑"/>
          <w:noProof/>
          <w:sz w:val="24"/>
        </w:rPr>
        <w:t xml:space="preserve">An essential dimension of competitor analysis is the categorization of commodities handled, as this often dictates the required technical expertise, operational methodologies, and even the commercial models employed. The Tier 1 competitors like GIAS and Titan Plant Management are typically commodity-agnostic, possessing divisions or business units specialized in different sectors. Their portfolios will span iron ore, coal, copper, gold, lithium, and even extend into oil and gas or power generation. This diversification provides them with resilience against commodity price cycles. In contrast, Tier 2 players like AusMin Maintenance Solutions are deeply entrenched in the bulk commodities of their region (iron ore and coal), with their entire operational and supply chain ecosystem optimized for the scale and abrasive nature of these materials. SAPO, conversely, has its expertise centered on hydrometallurgical and pyrometallurgical processes specific to precious and base metals. Niche players often have an even narrower focus; a firm specializing in lithium processing plant maintenance, for example, would have deep expertise in handling corrosive brines and specialized chemical processing equipment, a skillset not easily transferable to a coal preparation plant. For Tread Stone CPM, this analysis is critical for determining its initial market entry strategy: should it develop a broad, diversified capability or focus on becoming a leader within a specific commodity vertical where it can build a defensible moat of specialized knowledge?</w:t>
      </w:r>
    </w:p>
    <w:p>
      <w:pPr>
        <w:spacing w:line="288" w:lineRule="auto"/>
        <w:ind w:firstLine="480" w:firstLineChars="200"/>
        <w:jc w:val="both"/>
      </w:pPr>
      <w:r>
        <w:rPr>
          <w:rFonts w:hint="eastAsia" w:ascii="微软雅黑" w:hAnsi="微软雅黑" w:eastAsia="微软雅黑"/>
          <w:noProof/>
          <w:sz w:val="24"/>
        </w:rPr>
        <w:t xml:space="preserve">A counterargument to the conventional firm-versus-firm competitive analysis posits that the most significant and pervasive competitor for any plant management service provider is the client's own in-house capability. The "make-or-buy" decision is a constant strategic consideration for every mining and industrial company. Large, well-established mining houses often maintain substantial internal engineering and maintenance departments, viewing these as core competencies. Their rationale for insourcing is compelling and multi-faceted. Firstly, it allows for maximum control over operations and the quality of maintenance execution. Secondly, it ensures that proprietary process knowledge and operational data remain within the organization, which can be a significant competitive advantage. Thirdly, maintaining a large, directly employed workforce can be politically and socially advantageous in many regions, aligning with government objectives for local employment. Therefore, a service provider like Tread Stone CPM is not just competing against GIAS or SAPO; it is fundamentally competing against the client's CFO, who is weighing the fully-loaded cost and perceived risks of outsourcing against the established costs and operational control of the internal team. A successful market penetration strategy must therefore include a powerful value proposition that directly addresses these reasons for insourcing, demonstrating not just cost savings but also superior performance, reduced risk, and access to innovation that the internal team cannot replicate.</w:t>
      </w:r>
    </w:p>
    <w:p>
      <w:pPr>
        <w:spacing w:line="288" w:lineRule="auto"/>
        <w:ind w:firstLine="480" w:firstLineChars="200"/>
        <w:jc w:val="both"/>
      </w:pPr>
      <w:r>
        <w:rPr>
          <w:rFonts w:hint="eastAsia" w:ascii="微软雅黑" w:hAnsi="微软雅黑" w:eastAsia="微软雅黑"/>
          <w:noProof/>
          <w:sz w:val="24"/>
        </w:rPr>
        <w:t xml:space="preserve">In synthesizing this competitive landscape, it becomes clear that the market for plant management services is a complex ecosystem, not a simple monolith. The strategic challenge for Tread Stone CPM is to navigate this ecosystem by clearly defining its identity and value proposition. A direct, head-to-head confrontation with Tier 1 giants across their full service scope is likely untenable for a new or smaller entity. A more viable strategy might involve a "flanking" maneuver: targeting mid-tier clients underserved by the giants, specializing in a commodity or process technology that is currently a niche but poised for growth (e.g., rare earth elements or battery minerals), or developing a superior, technology-enabled service delivery model that offers demonstrable performance improvements. The analysis reveals that market entry requires more than just technical competence; it demands a sophisticated understanding of client segmentation, the nuances of commodity-specific operations, and the powerful undercurrent of the "in-source vs. outsource" debate. This detailed competitor intelligence provides the necessary map of the terrain. The next crucial step is to understand the rules of engagement that govern relationships in this market—the contractual structures that define success, risk, and reward for all participants, which will be explored in the subsequent section on contract management intelligence.</w:t>
      </w:r>
    </w:p>
    <w:p>
      <w:pPr>
        <w:pStyle w:val="Heading2"/>
        <w:spacing w:line="288" w:lineRule="auto"/>
        <w:ind/>
      </w:pPr>
      <w:r>
        <w:rPr>
          <w:rFonts w:hint="eastAsia" w:ascii="微软雅黑" w:hAnsi="微软雅黑" w:eastAsia="微软雅黑"/>
          <w:b/>
          <w:noProof/>
          <w:sz w:val="36"/>
        </w:rPr>
        <w:t xml:space="preserve">Contract Management Market Intelligence</w:t>
      </w:r>
    </w:p>
    <w:p>
      <w:pPr>
        <w:spacing w:line="288" w:lineRule="auto"/>
        <w:ind w:firstLine="480" w:firstLineChars="200"/>
        <w:jc w:val="both"/>
      </w:pPr>
      <w:r>
        <w:rPr>
          <w:rFonts w:hint="eastAsia" w:ascii="微软雅黑" w:hAnsi="微软雅黑" w:eastAsia="微软雅黑"/>
          <w:noProof/>
          <w:sz w:val="24"/>
        </w:rPr>
        <w:t xml:space="preserve">A thorough investigation into the contract management landscape for plant and mining services is paramount for Tread Stone CPM’s strategic market entry and long-term sustainability. The contracts underpinning these services are not merely administrative documents; they are complex strategic instruments that define the very nature of the relationship between the client and the service provider. They codify expectations, allocate substantial financial and operational risks, and create the incentive structures that drive behavior and performance. The evolution of contract models in this sector reflects a broader industry shift from purely transactional, cost-based relationships to more collaborative, value-oriented partnerships. A deep understanding of these common contract structures, their associated terms, typical durations, and the critical triggers for outsourcing is therefore not an academic exercise but a fundamental commercial necessity. This intelligence will empower Tread Stone CPM to craft compelling, competitive, and commercially sound proposals that align with client objectives while safeguarding its own profitability and mitigating risk. It enables a proactive rather than reactive approach to negotiation, allowing the company to propose innovative commercial solutions that can serve as a powerful differentiator in a crowded marketplace.</w:t>
      </w:r>
    </w:p>
    <w:p>
      <w:pPr>
        <w:spacing w:line="288" w:lineRule="auto"/>
        <w:ind w:firstLine="480" w:firstLineChars="200"/>
        <w:jc w:val="both"/>
      </w:pPr>
      <w:r>
        <w:rPr>
          <w:rFonts w:hint="eastAsia" w:ascii="微软雅黑" w:hAnsi="微软雅黑" w:eastAsia="微软雅黑"/>
          <w:noProof/>
          <w:sz w:val="24"/>
        </w:rPr>
        <w:t xml:space="preserve">The spectrum of contract structures commonly utilized in the industry can be broadly anchored by two archetypal models: fixed-price and cost-plus (or cost-reimbursable). Fixed-price, or lump-sum, contracts are most prevalent where the scope of work is exceptionally well-defined, and the operational variables are predictable. For example, a contract for the routine preventative maintenance of a specific fleet of conveyor belts over a 12-month period, where historical data on failure rates and component wear is robust, might be suited to a fixed-price model. The primary advantage for the client is cost certainty; they know the exact financial commitment upfront, which simplifies budgeting and financial planning. However, this model transfers the majority of the execution risk to the contractor. If unforeseen issues arise, such as accelerated component wear or a higher-than-expected failure rate, the contractor must absorb the additional costs, potentially eroding or eliminating their profit margin. This inherent risk dynamic can inadvertently incentivize contractors to minimize inputs, potentially compromising quality or deferring non-essential work to protect their margin, which can lead to suboptimal long-term asset health. Tread Stone CPM must possess sophisticated estimation and risk analysis capabilities to price such contracts accurately, ensuring that the fixed price includes an appropriate contingency for a range of probable risk scenarios.</w:t>
      </w:r>
    </w:p>
    <w:p>
      <w:pPr>
        <w:spacing w:line="288" w:lineRule="auto"/>
        <w:ind w:firstLine="480" w:firstLineChars="200"/>
        <w:jc w:val="both"/>
      </w:pPr>
      <w:r>
        <w:rPr>
          <w:rFonts w:hint="eastAsia" w:ascii="微软雅黑" w:hAnsi="微软雅黑" w:eastAsia="微软雅黑"/>
          <w:noProof/>
          <w:sz w:val="24"/>
        </w:rPr>
        <w:t xml:space="preserve">Conversely, cost-plus contracts are employed when the scope of work is emergent, uncertain, or subject to frequent change, a common scenario in complex processing plants or during the diagnostic and rectification phase of major equipment failures. In a cost-plus arrangement, the client agrees to reimburse the contractor for all legitimate, auditable costs incurred—such as labor, materials, and subcontractor expenses—and, in addition, pay a "plus" component. This "plus" can be a fixed fee (Cost-Plus-Fixed-Fee), a percentage of the costs (Cost-Plus-Percentage-Fee), or an incentive-based fee. This model offers the client maximum flexibility, allowing them to redirect the contractor’s efforts as operational priorities shift. The primary risk for the client is the potential for cost overruns, as the contractor may have a reduced incentive to control costs when all expenditures are reimbursed. To mitigate this, clients often impose stringent cost-auditing procedures, require detailed reporting, and may cap certain expenditure categories. For Tread Stone CPM, engaging in cost-plus work requires robust project controls, transparent accounting systems, and a high degree of trust with the client to ensure that all claimed costs are seen as legitimate and efficiently incurred. The reputational risk of being perceived as inefficient or "gold-plating" the work under a cost-plus contract is significant.</w:t>
      </w:r>
    </w:p>
    <w:p>
      <w:pPr>
        <w:spacing w:line="288" w:lineRule="auto"/>
        <w:ind w:firstLine="480" w:firstLineChars="200"/>
        <w:jc w:val="both"/>
      </w:pPr>
      <w:r>
        <w:rPr>
          <w:rFonts w:hint="eastAsia" w:ascii="微软雅黑" w:hAnsi="微软雅黑" w:eastAsia="微软雅黑"/>
          <w:noProof/>
          <w:sz w:val="24"/>
        </w:rPr>
        <w:t xml:space="preserve">Bridging the gap between the risk-transfer of fixed-price models and the potential for cost overruns in cost-plus arrangements is a growing category of hybrid and performance-based contracts. These more sophisticated structures seek to align the commercial interests of both the client and the contractor by linking a portion of the contractor's remuneration directly to the achievement of specific, measurable performance outcomes. A common variant is the "Cost-Plus-Incentive-Fee" (CPIF) contract, where a target cost is agreed upon, and any cost savings or overruns are shared between the client and contractor according to a pre-defined formula. For example, the parties might agree to a 70/30 split, where the client receives 70% of any savings below the target cost, and the contractor receives 30% as an additional fee, incentivizing efficiency. A more advanced form is the "gain-sharing" model, where the contractor shares in the value they create for the client, such as increased production throughput or improved plant availability. For instance, a contract could stipulate that for every 1% increase in overall plant availability above an agreed baseline, the contractor receives a bonus payment equivalent to a fraction of the additional revenue generated for the client. These models transform the relationship from a simple service transaction to a genuine partnership focused on mutual success.</w:t>
      </w:r>
    </w:p>
    <w:p>
      <w:pPr>
        <w:spacing w:line="288" w:lineRule="auto"/>
        <w:ind w:firstLine="480" w:firstLineChars="200"/>
        <w:jc w:val="both"/>
      </w:pPr>
      <w:r>
        <w:rPr>
          <w:rFonts w:hint="eastAsia" w:ascii="微软雅黑" w:hAnsi="微软雅黑" w:eastAsia="微软雅黑"/>
          <w:noProof/>
          <w:sz w:val="24"/>
        </w:rPr>
        <w:t xml:space="preserve">The payment schedules and risk-sharing mechanisms embedded within these contracts are critically important. In fixed-price contracts, payment schedules are often milestone-based (e.g., 20% on mobilization, 30% upon completion of a major overhaul, 50% on final acceptance) or structured as equal monthly installments. In cost-plus contracts, invoicing is typically done on a monthly cycle, where the contractor submits a detailed claim of all costs incurred, which is then audited and paid by the client. Risk-sharing mechanisms are most explicit in performance-based contracts. Beyond gain-sharing, "pain-sharing" clauses may also be included, where the contractor is penalized for poor performance. This could take the form of financial penalties for failing to meet safety targets (e.g., exceeding a certain Lost Time Injury Frequency Rate), for extended periods of unplanned downtime, or for failing to meet environmental compliance standards. The allocation of liability and indemnities is another critical risk management component, defining who is responsible for damages to equipment, third-party claims, or environmental incidents. A thorough legal and commercial review of these clauses is essential for Tread Stone CPM to understand its total risk exposure under any proposed contract.</w:t>
      </w:r>
    </w:p>
    <w:p>
      <w:pPr>
        <w:spacing w:line="288" w:lineRule="auto"/>
        <w:ind w:firstLine="480" w:firstLineChars="200"/>
        <w:jc w:val="both"/>
      </w:pPr>
      <w:r>
        <w:rPr>
          <w:rFonts w:hint="eastAsia" w:ascii="微软雅黑" w:hAnsi="微软雅黑" w:eastAsia="微软雅黑"/>
          <w:noProof/>
          <w:sz w:val="24"/>
        </w:rPr>
        <w:t xml:space="preserve">A significant point of debate and potential counterargument revolves around the complexity and administrative burden of highly structured, performance-based contracts. Critics argue that while theoretically elegant, these contracts can become exceedingly difficult to manage in practice. The process of defining, measuring, and validating complex KPIs can be contentious and resource-intensive for both the client and the contractor. For instance, a dispute over whether a piece of equipment downtime was "planned" or "unplanned," or whether a failure was due to a pre-existing condition or the contractor's negligence, can lead to protracted arguments that damage the working relationship. This can create a "measurement bureaucracy" where more time is spent debating the metrics than on executing the work and driving actual improvement. The rebuttal to this argument is that while challenging, the alternative of not measuring performance is worse. Simple contract models often create misaligned incentives that lead to far greater value destruction in the long run. The key is not to abandon performance metrics but to collaboratively develop a "balanced scorecard" of KPIs that are simple, robust, directly linked to the client's core objectives, and difficult to manipulate, fostering a culture of transparency and joint problem-solving rather than contractual adversarialism.</w:t>
      </w:r>
    </w:p>
    <w:p>
      <w:pPr>
        <w:spacing w:line="288" w:lineRule="auto"/>
        <w:ind w:firstLine="480" w:firstLineChars="200"/>
        <w:jc w:val="both"/>
      </w:pPr>
      <w:r>
        <w:rPr>
          <w:rFonts w:hint="eastAsia" w:ascii="微软雅黑" w:hAnsi="微软雅黑" w:eastAsia="微软雅黑"/>
          <w:noProof/>
          <w:sz w:val="24"/>
        </w:rPr>
        <w:t xml:space="preserve">Contract durations in the plant management sector exhibit significant variation, driven by the nature of the service and the strategic intent of the outsourcing arrangement. Short-term contracts, typically with a duration of 1 to 2 years, are common for discrete, project-based work such as a specific debottlenecking project, a technology upgrade, or the execution of a major shutdown. They are also frequently used as a "trial period" for a new service provider, allowing the client to assess their performance, cultural fit, and capabilities before committing to a longer-term relationship. These shorter-duration contracts present lower commitment risk for the client but can disincentivize the contractor from making significant investments in site-specific systems, specialized equipment, or long-term workforce development, as there is no guarantee of a return on that investment. Tread Stone CPM might use such contracts as a strategic entry point to "land and expand" within a client organization.</w:t>
      </w:r>
    </w:p>
    <w:p>
      <w:pPr>
        <w:spacing w:line="288" w:lineRule="auto"/>
        <w:ind w:firstLine="480" w:firstLineChars="200"/>
        <w:jc w:val="both"/>
      </w:pPr>
      <w:r>
        <w:rPr>
          <w:rFonts w:hint="eastAsia" w:ascii="微软雅黑" w:hAnsi="微软雅黑" w:eastAsia="微软雅黑"/>
          <w:noProof/>
          <w:sz w:val="24"/>
        </w:rPr>
        <w:t xml:space="preserve">In contrast, long-term contracts, with durations of 5, 7, or even 10+ years, are the standard for comprehensive, end-to-end plant management or operations and maintenance services. The rationale for these extended durations is multi-faceted. From the client's perspective, a long-term contract ensures stability and continuity of service, reducing the significant transactional costs and operational disruptions associated with frequently changing providers. From the contractor's viewpoint, a long-term agreement provides the commercial certainty required to justify substantial upfront investments. This includes deploying proprietary management software, purchasing specialized diagnostic tools, establishing on-site facilities, and, most importantly, investing in the training and development of a dedicated, site-based team. These contracts often include provisions for regular performance reviews, price adjustments to account for inflation, and re-negotiation clauses that allow the contract to adapt to changing market conditions or technological advancements over its lifespan. Securing such long-term "annuity" contracts is the strategic goal for most service providers as they provide a stable revenue base.</w:t>
      </w:r>
    </w:p>
    <w:p>
      <w:pPr>
        <w:spacing w:line="288" w:lineRule="auto"/>
        <w:ind w:firstLine="480" w:firstLineChars="200"/>
        <w:jc w:val="both"/>
      </w:pPr>
      <w:r>
        <w:rPr>
          <w:rFonts w:hint="eastAsia" w:ascii="微软雅黑" w:hAnsi="微软雅黑" w:eastAsia="微软雅黑"/>
          <w:noProof/>
          <w:sz w:val="24"/>
        </w:rPr>
        <w:t xml:space="preserve">The triggers that lead companies to outsource plant management services are a critical piece of market intelligence, as they represent the genesis of market opportunities. Cost efficiency is arguably the most frequently cited trigger. An external provider can often perform the service at a lower cost due to economies ofscale (e.g., bulk purchasing of spares and consumables across multiple contracts), a more flexible and non-unionized workforce in some jurisdictions, or more efficient management systems. A mining company facing pressure on its operating margins from low commodity prices will often look to outsourcing as a primary lever for cost reduction. However, a singular focus on cost can be a misleading simplification of the outsourcing decision. Increasingly, the primary trigger is the need for specialized expertise. As processing plants become more technologically complex and reliant on automation and data analytics, many mining companies find it difficult to attract and retain the necessary talent in-house. A specialized service provider, for whom maintenance and reliability are a core business, can build a depth of expertise and a culture of technical excellence that is difficult for a mining company, whose core business is geology and extraction, to replicate.</w:t>
      </w:r>
    </w:p>
    <w:p>
      <w:pPr>
        <w:spacing w:line="288" w:lineRule="auto"/>
        <w:ind w:firstLine="480" w:firstLineChars="200"/>
        <w:jc w:val="both"/>
      </w:pPr>
      <w:r>
        <w:rPr>
          <w:rFonts w:hint="eastAsia" w:ascii="微软雅黑" w:hAnsi="微软雅黑" w:eastAsia="微软雅黑"/>
          <w:noProof/>
          <w:sz w:val="24"/>
        </w:rPr>
        <w:t xml:space="preserve">Another powerful outsourcing trigger is the client's desire for increased operational performance and a focus on core business. By handing over the responsibility for plant maintenance to a specialist, the client's management team can redirect its attention and capital towards its primary value-creating activities: exploration, mine planning, and marketing its products. The service provider, under a performance-based contract, is commercially motivated to drive improvements in plant availability, reliability, and throughput, effectively importing innovation and best practices into the client's operation. Scalability is also a key driver. A service provider can more easily ramp up a workforce for a major shutdown or scale down during a period of reduced production, providing the client with a level of workforce flexibility that is difficult to achieve with a directly employed, permanent workforce. Understanding these triggers allows Tread Stone CPM to tailor its marketing message and value proposition. If the trigger is cost, the focus should be on demonstrated efficiency. If the trigger is expertise, the focus should be on the qualifications of its team and its technological capabilities. If the trigger is performance, the focus should be on case studies of demonstrated improvements delivered to other clients.</w:t>
      </w:r>
    </w:p>
    <w:p>
      <w:pPr>
        <w:spacing w:line="288" w:lineRule="auto"/>
        <w:ind w:firstLine="480" w:firstLineChars="200"/>
        <w:jc w:val="both"/>
      </w:pPr>
      <w:r>
        <w:rPr>
          <w:rFonts w:hint="eastAsia" w:ascii="微软雅黑" w:hAnsi="微软雅黑" w:eastAsia="微软雅黑"/>
          <w:noProof/>
          <w:sz w:val="24"/>
        </w:rPr>
        <w:t xml:space="preserve">Furthermore, a nuanced analysis of outsourcing preferences reveals a distinction between tactical and strategic outsourcing. Tactical outsourcing is often a reactive decision, driven by short-term pressures like a need to cut costs quickly or an inability to find a specific skill. The relationship tends to be transactional, the contract model simple, and the selection criteria heavily weighted towards the lowest price. Strategic outsourcing, in contrast, is a proactive, long-term decision made as part of the company's overall business strategy. It involves selecting a partner, not just a vendor, to co-create value over an extended period. In this model, the selection criteria are much broader, encompassing cultural fit, technological alignment, a shared vision for continuous improvement, and the contractor's ability to contribute to the client's strategic goals. The contract model is invariably a more sophisticated, performance-based partnership. A key indicator of a client's preference is the level at which the outsourcing decision is made. A decision driven by the site-level maintenance manager is more likely to be tactical, whereas a decision driven by the Chief Operating Officer or the executive board is indicative of a strategic initiative. Tread Stone CPM must develop the capability to engage with clients at both levels, offering efficient solutions for tactical needs while also building the credibility to be considered a strategic partner.</w:t>
      </w:r>
    </w:p>
    <w:p>
      <w:pPr>
        <w:spacing w:line="288" w:lineRule="auto"/>
        <w:ind w:firstLine="480" w:firstLineChars="200"/>
        <w:jc w:val="both"/>
      </w:pPr>
      <w:r>
        <w:rPr>
          <w:rFonts w:hint="eastAsia" w:ascii="微软雅黑" w:hAnsi="微软雅黑" w:eastAsia="微软雅黑"/>
          <w:noProof/>
          <w:sz w:val="24"/>
        </w:rPr>
        <w:t xml:space="preserve">In synthesizing this intelligence, the contract management landscape emerges as a complex but navigable domain. The variety of contract structures—from the straightforward fixed-price agreement to the intricately aligned performance-based partnership—offers a toolkit that can be adapted to different client needs, risk appetites, and service complexities. The duration of these contracts reflects the depth of the intended relationship, with longer terms signaling a move towards strategic partnership and enabling greater investment by the service provider. The triggers for outsourcing are the critical "why" behind the market opportunity, and a sophisticated understanding of these drivers allows for a more resonant and targeted value proposition. By mastering this domain, Tread Stone CPM can move beyond simply responding to tenders with a price. It can proactively shape opportunities, propose innovative commercial structures that create a competitive advantage, and build the contractual foundations for durable, profitable, and mutually beneficial client relationships. This mastery of the commercial framework is the essential bridge between identifying a competitive position and winning the work, a process governed by the tender landscape explored in the following section.</w:t>
      </w:r>
    </w:p>
    <w:p>
      <w:pPr>
        <w:pStyle w:val="Heading2"/>
        <w:spacing w:line="288" w:lineRule="auto"/>
        <w:ind/>
      </w:pPr>
      <w:r>
        <w:rPr>
          <w:rFonts w:hint="eastAsia" w:ascii="微软雅黑" w:hAnsi="微软雅黑" w:eastAsia="微软雅黑"/>
          <w:b/>
          <w:noProof/>
          <w:sz w:val="36"/>
        </w:rPr>
        <w:t xml:space="preserve">Tender Landscape</w:t>
      </w:r>
    </w:p>
    <w:p>
      <w:pPr>
        <w:spacing w:line="288" w:lineRule="auto"/>
        <w:ind w:firstLine="480" w:firstLineChars="200"/>
        <w:jc w:val="both"/>
      </w:pPr>
      <w:r>
        <w:rPr>
          <w:rFonts w:hint="eastAsia" w:ascii="微软雅黑" w:hAnsi="微软雅黑" w:eastAsia="微软雅黑"/>
          <w:noProof/>
          <w:sz w:val="24"/>
        </w:rPr>
        <w:t xml:space="preserve">Navigating the tender landscape for contract management services in the mining and plant management sectors requires a sophisticated, multi-pronged intelligence strategy. The process of identifying, qualifying for, and winning tenders is no longer a simple matter of submitting a compliant bid; it is a highly competitive, multi-stage campaign that begins long before a formal Request for Proposal (RFP) is ever issued. A comprehensive understanding of this landscape involves not only identifying the primary channels through which opportunities are advertised, such as digital tender portals, but also developing the proactive intelligence needed to identify and profile companies likely to outsource their plant management services. Furthermore, it demands a meticulous grasp of the mandatory professional registrations, certifications, and compliance standards that act as critical gatekeepers to participation. For Tread Stone CPM, success in this arena will hinge on its ability to integrate these three streams of intelligence—portal monitoring, proactive client profiling, and compliance mastery—into a coherent and dynamic business development strategy. This will enable the company to move from being a passive recipient of public tenders to a proactive originator of opportunities, shaping client requirements and positioning itself as the preferred partner before the competitive process even formally begins.</w:t>
      </w:r>
    </w:p>
    <w:p>
      <w:pPr>
        <w:spacing w:line="288" w:lineRule="auto"/>
        <w:ind w:firstLine="480" w:firstLineChars="200"/>
        <w:jc w:val="both"/>
      </w:pPr>
      <w:r>
        <w:rPr>
          <w:rFonts w:hint="eastAsia" w:ascii="微软雅黑" w:hAnsi="微软雅黑" w:eastAsia="微软雅黑"/>
          <w:noProof/>
          <w:sz w:val="24"/>
        </w:rPr>
        <w:t xml:space="preserve">The digitalization of procurement has fundamentally transformed how tenders are managed, with most major opportunities now being channeled through specialized online portals. Identifying and continuously monitoring these portals is the foundational activity of any tender-focused business development team. These portals can be categorized into several types. First, there are the large, subscription-based aggregator portals, such as a hypothetical "Global Mining Tenders (GMT)" or "Industrial Services Monitor." These platforms scrape and consolidate tender opportunities from hundreds of public and private sources worldwide, providing a one-stop-shop for a fee. Their value lies in their breadth of coverage, customizable alert systems, and historical data archives that can be used for market analysis. Second, there are government-run or quasi-governmental portals, like Australia's "AusTender" or South Africa's "eTender Publication Portal," which are mandatory channels for public sector and state-owned enterprise procurement. Given that many large mining operations have some degree of state ownership or are subject to government procurement regulations, these portals are a critical source of opportunities. Third, and increasingly important, are the private e-procurement platforms used directly by major corporations. Large mining houses often use sophisticated systems like SAP Ariba, Coupa, or Jaggaer to manage their entire supplier ecosystem. Gaining access to these closed networks often requires a pre-qualification process and represents a significant step in becoming a trusted supplier. An effective strategy for Tread Stone CPM must involve a combination of subscriptions to aggregator services, daily monitoring of key public portals, and a focused effort to become pre-qualified on the private platforms of high-priority target clients.</w:t>
      </w:r>
    </w:p>
    <w:p>
      <w:pPr>
        <w:spacing w:line="288" w:lineRule="auto"/>
        <w:ind w:firstLine="480" w:firstLineChars="200"/>
        <w:jc w:val="both"/>
      </w:pPr>
      <w:r>
        <w:rPr>
          <w:rFonts w:hint="eastAsia" w:ascii="微软雅黑" w:hAnsi="微软雅黑" w:eastAsia="微软雅黑"/>
          <w:noProof/>
          <w:sz w:val="24"/>
        </w:rPr>
        <w:t xml:space="preserve">Beyond the formal portals, a more proactive and valuable form of intelligence involves identifying mining companies that are likely to outsource plant management services in the future. This requires moving "upstream" in the decision-making process, looking for signals and triggers that precede the issuance of a tender. One of the most fruitful sources for this intelligence is the analysis of corporate communications. A company's annual report, for example, might contain language from the CEO or COO about a new strategic focus on "operational excellence," "cost discipline," or "divesting non-core activities"—all common euphemisms for initiatives that often include outsourcing. Similarly, transcripts of quarterly investor calls can be revelatory; an analyst's question about high operating costs at a particular mine might elicit a response from management about "exploring all options to improve efficiency." Another key indicator is tracking executive movements. The appointment of a new senior executive, such as a Chief Operating Officer or Head of Procurement, who has a known history of implementing outsourcing strategies at their previous company, can be a strong leading indicator of a future opportunity. This form of intelligence allows Tread Stone CPM to initiate contact and begin relationship-building activities months or even years before a formal tender, positioning the company as a knowledgeable advisor rather than just another bidder.</w:t>
      </w:r>
    </w:p>
    <w:p>
      <w:pPr>
        <w:spacing w:line="288" w:lineRule="auto"/>
        <w:ind w:firstLine="480" w:firstLineChars="200"/>
        <w:jc w:val="both"/>
      </w:pPr>
      <w:r>
        <w:rPr>
          <w:rFonts w:hint="eastAsia" w:ascii="微软雅黑" w:hAnsi="微软雅黑" w:eastAsia="微软雅黑"/>
          <w:noProof/>
          <w:sz w:val="24"/>
        </w:rPr>
        <w:t xml:space="preserve">Once potential target clients are identified, the next step is to build a detailed profile of their procurement preferences and decision-making processes. This goes far beyond simply knowing their name and location. A deep-dive profile should include an analysis of their corporate values and strategic priorities. Does their public messaging emphasize safety above all else? Or is it primarily focused on production volumes and cost per ton? This will dictate the emphasis of a successful bid. The profile should also include an analysis of their existing supplier relationships. Are they known for building very long-term, sole-source partnerships, or do they prefer to maintain a panel of multiple suppliers to foster competition? Do they have a documented preference for local suppliers or for suppliers with strong indigenous engagement programs? This information can often be pieced together from public sources, industry news, and informal networking. Understanding the client's internal decision-making unit (DMU) is also critical. While the procurement department may run the formal tender process, the ultimate decision is often influenced by a variety of stakeholders, including the site General Manager, the Maintenance Manager, the Finance department, and the Health, Safety &amp; Environment (HSE) team. Each of these stakeholders has different priorities and pain points, and a winning proposal must address the concerns of each. For example, the Maintenance Manager may be focused on technical capability and reliability, while the Finance department is focused on the total cost of ownership and the commercial model's risk profile.</w:t>
      </w:r>
    </w:p>
    <w:p>
      <w:pPr>
        <w:spacing w:line="288" w:lineRule="auto"/>
        <w:ind w:firstLine="480" w:firstLineChars="200"/>
        <w:jc w:val="both"/>
      </w:pPr>
      <w:r>
        <w:rPr>
          <w:rFonts w:hint="eastAsia" w:ascii="微软雅黑" w:hAnsi="微软雅黑" w:eastAsia="微软雅黑"/>
          <w:noProof/>
          <w:sz w:val="24"/>
        </w:rPr>
        <w:t xml:space="preserve">A significant counterargument to the emphasis on proactive relationship-building and informal intelligence gathering is that it can create an uneven playing field and undermine the principles of fair and transparent procurement. Critics, particularly within large, publicly-listed corporations and government bodies, argue that all bidders should have access to the same information at the same time through a formalized, auditable process. Pre-tender engagement, they contend, can lead to perceptions of favoritism and can expose the client organization to risks of collusion or bid-rigging. This has led many large organizations to implement strict "no contact" policies during the period leading up to and during a formal tender process, channeling all communication through a single point of contact in the procurement department. The rebuttal to this is nuanced. While unethical or exclusive information sharing is clearly improper, there is a legitimate and valuable role for what can be termed "market education." A potential supplier can engage with a client organization well in advance of any specific tender to share insights on industry best practices, new technologies, or innovative commercial models. This is not about gaining an unfair advantage on a specific bid, but about helping the client to become a more informed buyer. A well-informed client will write a better, more intelligent RFP, which ultimately leads to a better outcome for them. The key is to maintain a high degree of ethical conduct, focusing on sharing general expertise rather than seeking specific, confidential information.</w:t>
      </w:r>
    </w:p>
    <w:p>
      <w:pPr>
        <w:spacing w:line="288" w:lineRule="auto"/>
        <w:ind w:firstLine="480" w:firstLineChars="200"/>
        <w:jc w:val="both"/>
      </w:pPr>
      <w:r>
        <w:rPr>
          <w:rFonts w:hint="eastAsia" w:ascii="微软雅黑" w:hAnsi="微软雅黑" w:eastAsia="微软雅黑"/>
          <w:noProof/>
          <w:sz w:val="24"/>
        </w:rPr>
        <w:t xml:space="preserve">The formal requirements for participation in tenders, particularly professional registrations and certifications, function as a critical filter and a significant barrier to entry. These are not "nice-to-haves"; in most cases, they are non-negotiable, pass/fail criteria. At the most fundamental level, this includes internationally recognized management system certifications. ISO 9001 (Quality Management) provides assurance that the contractor has robust processes for consistently delivering services that meet client requirements. ISO 45001 (Occupational Health &amp; Safety Management) is arguably the most critical certification in the mining industry, demonstrating a systematic approach to identifying, managing, and eliminating workplace hazards. Given the heavy environmental footprint of mining, ISO 14001 (Environmental Management) is also becoming a standard requirement, proving the contractor's ability to manage its environmental impact. The absence of these three core certifications will automatically disqualify a bidder from most major tenders in the sector. For Tread Stone CPM, achieving and maintaining these certifications is not a business development activity; it is a fundamental cost of doing business and a prerequisite for market entry.</w:t>
      </w:r>
    </w:p>
    <w:p>
      <w:pPr>
        <w:spacing w:line="288" w:lineRule="auto"/>
        <w:ind w:firstLine="480" w:firstLineChars="200"/>
        <w:jc w:val="both"/>
      </w:pPr>
      <w:r>
        <w:rPr>
          <w:rFonts w:hint="eastAsia" w:ascii="微软雅黑" w:hAnsi="微软雅黑" w:eastAsia="微软雅黑"/>
          <w:noProof/>
          <w:sz w:val="24"/>
        </w:rPr>
        <w:t xml:space="preserve">Beyond these foundational management system standards, there are numerous industry-specific, regional, and client-specific requirements. In many jurisdictions, a contracting company must be registered with a national professional body for engineering or construction. For example, in South Africa, registration with the Construction Industry Development Board (CIDB) with an appropriate grading level is often mandatory for tenders of a certain size and scope. In Australia, companies may need to be registered with various state-based building and construction authorities. Furthermore, there are often specific pre-qualification schemes run by the major mining companies themselves. Companies like Rio Tinto or Anglo American have their own rigorous supplier vetting processes, which can take months to complete and involve detailed audits of a contractor's financial stability, safety systems, industrial relations history, and ethical business practices. Successfully navigating these pre-qualification hurdles is a major milestone, as it often grants access to a stream of "invitation-only" tenders that are not advertised publicly.</w:t>
      </w:r>
    </w:p>
    <w:p>
      <w:pPr>
        <w:spacing w:line="288" w:lineRule="auto"/>
        <w:ind w:firstLine="480" w:firstLineChars="200"/>
        <w:jc w:val="both"/>
      </w:pPr>
      <w:r>
        <w:rPr>
          <w:rFonts w:hint="eastAsia" w:ascii="微软雅黑" w:hAnsi="微软雅黑" w:eastAsia="微软雅黑"/>
          <w:noProof/>
          <w:sz w:val="24"/>
        </w:rPr>
        <w:t xml:space="preserve">The requirement for personnel to hold specific qualifications and competencies is another critical layer of compliance. Tenders will often specify the minimum qualifications and years of experience for key personnel who will be assigned to the contract, such as the Contract Manager, a Reliability Engineer, or a Planning Superintendent. For tradespeople, there is an increasing demand for them to hold not just a standard trade qualification but also specific OEM (Original Equipment Manufacturer) certifications for the critical equipment they will be maintaining. For instance, a tender for maintaining a fleet of Komatsu haul trucks may require that a certain percentage of the maintenance staff have completed certified Komatsu training programs. In the South African context, alignment with the Mining Qualifications Authority (MQA) framework is particularly salient. Tenders may require that the contractor's training programs are MQA-accredited and that a certain number of learnerships or apprenticeships for local community members are included as part of the contract's social and labor plan commitments. This demonstrates the intertwining of technical compliance with broader socio-economic obligations, which are a major feature of the tender landscape in many resource-rich nations.</w:t>
      </w:r>
    </w:p>
    <w:p>
      <w:pPr>
        <w:spacing w:line="288" w:lineRule="auto"/>
        <w:ind w:firstLine="480" w:firstLineChars="200"/>
        <w:jc w:val="both"/>
      </w:pPr>
      <w:r>
        <w:rPr>
          <w:rFonts w:hint="eastAsia" w:ascii="微软雅黑" w:hAnsi="微软雅黑" w:eastAsia="微软雅黑"/>
          <w:noProof/>
          <w:sz w:val="24"/>
        </w:rPr>
        <w:t xml:space="preserve">In synthesizing this multifaceted landscape, a clear strategic pathway for Tread Stone CPM emerges. The company must adopt a two-speed approach to business development. The "first speed" is the diligent, systematic monitoring of public and private tender portals and the meticulous maintenance of all mandatory corporate and professional certifications. This is the defensive, "ticket to the game" part of the strategy. The "second speed" is the more proactive, offensive strategy of identifying and cultivating relationships with potential clients long before a tender is conceived. This involves deep market analysis, stakeholder mapping, and positioning the company as a thought leader and trusted advisor. A winning tender submission is the culmination of this dual strategy: it is not only perfectly compliant on a formal level, ticking every box in the RFP, but it also resonates on a deeper strategic level, demonstrating a profound understanding of the client's unique challenges and priorities that could only have been gained through proactive, long-term engagement. The ability to execute a tender is meaningless, however, if the company cannot resource the contract with the right people. This leads directly to the next critical area of market intelligence: the complex dynamics of the skills and staffing market.</w:t>
      </w:r>
    </w:p>
    <w:p>
      <w:pPr>
        <w:pStyle w:val="Heading2"/>
        <w:spacing w:line="288" w:lineRule="auto"/>
        <w:ind/>
      </w:pPr>
      <w:r>
        <w:rPr>
          <w:rFonts w:hint="eastAsia" w:ascii="微软雅黑" w:hAnsi="微软雅黑" w:eastAsia="微软雅黑"/>
          <w:b/>
          <w:noProof/>
          <w:sz w:val="36"/>
        </w:rPr>
        <w:t xml:space="preserve">Skills &amp; Staffing Intelligence</w:t>
      </w:r>
    </w:p>
    <w:p>
      <w:pPr>
        <w:spacing w:line="288" w:lineRule="auto"/>
        <w:ind w:firstLine="480" w:firstLineChars="200"/>
        <w:jc w:val="both"/>
      </w:pPr>
      <w:r>
        <w:rPr>
          <w:rFonts w:hint="eastAsia" w:ascii="微软雅黑" w:hAnsi="微软雅黑" w:eastAsia="微软雅黑"/>
          <w:noProof/>
          <w:sz w:val="24"/>
        </w:rPr>
        <w:t xml:space="preserve">The execution of any plant management contract, regardless of its commercial structure or strategic importance, ultimately depends on the quality, availability, and cost of the human capital deployed. In the specialized and demanding environment of the mining and heavy industrial sectors, skills and staffing intelligence is not a peripheral HR function but a core component of strategic market analysis and a critical determinant of both operational success and commercial viability. A comprehensive intelligence-gathering effort in this domain must focus on three interconnected pillars: first, identifying the specific, critical roles that are most challenging to fill due to genuine skill scarcity or intense market competition; second, conducting a rigorous analysis of prevailing market rates for these key roles to ensure that tender bids are both competitive and realistic; and third, mapping the ecosystem of training institutions and programs, such as those aligned with frameworks like the Mining Qualifications Authority (MQA), that produce the next generation of talent. For Tread Stone CPM, developing a sophisticated understanding of this human capital landscape is essential for building a sustainable competitive advantage. It will enable the company to proactively manage its talent pipeline, develop accurate cost models for tenders, and devise effective strategies for attracting, retaining, and developing the skilled professionals who are the lifeblood of any successful service organization.</w:t>
      </w:r>
    </w:p>
    <w:p>
      <w:pPr>
        <w:spacing w:line="288" w:lineRule="auto"/>
        <w:ind w:firstLine="480" w:firstLineChars="200"/>
        <w:jc w:val="both"/>
      </w:pPr>
      <w:r>
        <w:rPr>
          <w:rFonts w:hint="eastAsia" w:ascii="微软雅黑" w:hAnsi="微软雅黑" w:eastAsia="微软雅黑"/>
          <w:noProof/>
          <w:sz w:val="24"/>
        </w:rPr>
        <w:t xml:space="preserve">The identification of critical and scarce-skill roles is the starting point for a robust staffing intelligence strategy. In plant management, these are not always the most senior roles, but rather those whose absence creates a disproportionate negative impact on operational performance. A primary category of scarcity is found in the roles of Maintenance Planners and Schedulers. On the surface, these might appear to be administrative positions, but in a high-performing maintenance organization, they are highly strategic. A skilled Planner does not simply create work orders; they ensure that each job is meticulously planned with the correct parts, tools, procedures, and safety permits </w:t>
      </w:r>
      <w:r>
        <w:rPr>
          <w:rFonts w:hint="eastAsia" w:ascii="微软雅黑" w:hAnsi="微软雅黑" w:eastAsia="微软雅黑"/>
          <w:i/>
          <w:noProof/>
          <w:sz w:val="24"/>
        </w:rPr>
        <w:t>before</w:t>
      </w:r>
      <w:r>
        <w:rPr>
          <w:rFonts w:hint="eastAsia" w:ascii="微软雅黑" w:hAnsi="微软雅黑" w:eastAsia="微软雅黑"/>
          <w:noProof/>
          <w:sz w:val="24"/>
        </w:rPr>
        <w:t xml:space="preserve"> it is scheduled for execution. A proficient Scheduler then optimizes the sequence of these planned jobs to maximize wrench time and minimize equipment downtime. The combination of deep technical knowledge (understanding the equipment), proficiency with complex CMMS software (like SAP PM or Maximo), and a systematic, detail-oriented mindset is exceptionally rare. A shortage of skilled planners and schedulers directly leads to inefficient execution, low artisan productivity, and extended equipment outages, making them a critical role to secure.</w:t>
      </w:r>
    </w:p>
    <w:p>
      <w:pPr>
        <w:spacing w:line="288" w:lineRule="auto"/>
        <w:ind w:firstLine="480" w:firstLineChars="200"/>
        <w:jc w:val="both"/>
      </w:pPr>
      <w:r>
        <w:rPr>
          <w:rFonts w:hint="eastAsia" w:ascii="微软雅黑" w:hAnsi="微软雅黑" w:eastAsia="微软雅黑"/>
          <w:noProof/>
          <w:sz w:val="24"/>
        </w:rPr>
        <w:t xml:space="preserve">Another area of pronounced skill scarcity is Reliability Engineering. The shift in maintenance philosophy from reactive (fix it when it breaks) to predictive (fix it before it breaks) has created immense demand for engineers who can interpret complex data to forecast equipment failures. A Reliability Engineer must be a hybrid professional, combining a strong foundation in mechanical or electrical engineering with advanced skills in data analysis and specific diagnostic technologies. These include vibration analysis to detect imbalances and bearing faults, infrared thermography to identify electrical hot spots or insulation failures, and tribology (oil analysis) to assess the internal health of machinery. The ability to not only collect this data but to analyze it, identify root causes of failure (RCA), and recommend specific, cost-effective interventions is a high-value skill set. Experienced Reliability Engineers who can demonstrably improve plant availability and reduce maintenance costs are highly sought after by mining houses, service providers, and consulting firms alike, creating intense competition for a very small talent pool. Their strategic importance lies in their ability to shift the maintenance cost curve from expensive, unplanned failures to cheaper, planned interventions.</w:t>
      </w:r>
    </w:p>
    <w:p>
      <w:pPr>
        <w:spacing w:line="288" w:lineRule="auto"/>
        <w:ind w:firstLine="480" w:firstLineChars="200"/>
        <w:jc w:val="both"/>
      </w:pPr>
      <w:r>
        <w:rPr>
          <w:rFonts w:hint="eastAsia" w:ascii="微软雅黑" w:hAnsi="微软雅黑" w:eastAsia="微软雅黑"/>
          <w:noProof/>
          <w:sz w:val="24"/>
        </w:rPr>
        <w:t xml:space="preserve">At the tradesperson or artisan level, while the overall number of qualified individuals may be larger, scarcity exists in the form of deep, specialized experience. General-purpose mechanical fitters or electricians are relatively available, but the market becomes extremely tight for senior artisans who possess extensive experience and, crucially, OEM certifications on specific, high-value equipment. For example, an artisan with certified advanced diagnostic skills on the electronic control systems of a Caterpillar or Komatsu ultra-class haul truck is a far scarcer and more valuable asset than a general auto-electrician. Similarly, a boilermaker with certified expertise in welding specialized, wear-resistant alloys used in crusher liners is in much higher demand than a general fabricator. This specialization acts as a significant moat. A service provider that can assemble a team with these specific, hard-to-find skills can offer a superior value proposition to a client operating that particular equipment, justifying a premium price and creating a sticky client relationship. The challenge for Tread Stone CPM is to identify which of these specializations are most in-demand within its target markets and to build recruitment and training pathways to secure that talent.</w:t>
      </w:r>
    </w:p>
    <w:p>
      <w:pPr>
        <w:spacing w:line="288" w:lineRule="auto"/>
        <w:ind w:firstLine="480" w:firstLineChars="200"/>
        <w:jc w:val="both"/>
      </w:pPr>
      <w:r>
        <w:rPr>
          <w:rFonts w:hint="eastAsia" w:ascii="微软雅黑" w:hAnsi="微软雅黑" w:eastAsia="微软雅黑"/>
          <w:noProof/>
          <w:sz w:val="24"/>
        </w:rPr>
        <w:t xml:space="preserve">A counterargument often raised against the concept of "skill scarcity" is that it is often an artificial construct created by companies' unwillingness to pay competitive market rates or to invest in training. Some economic perspectives suggest that if a skill is truly in demand, its price (salary) will rise until supply and demand reach equilibrium. Therefore, a company's inability to fill a role is not a sign of market-wide scarcity, but simply a sign that its compensation and benefits package is not competitive. While there is an element of truth to this, it oversimplifies the dynamics of the technical labor market. The rebuttal is that the supply of certain skills is highly inelastic in the short to medium term. It takes 4-5 years to train an apprentice to become a qualified artisan and a further 5-10 years for them to gain the deep experience to become a senior specialist or reliability engineer. No amount of immediate salary increase can create a 10-year experienced professional overnight. The long lead times for skill development, combined with an aging workforce and a historical underinvestment in apprenticeships in many Western countries, have created genuine, structural shortages of certain technical skills that cannot be solved by simply increasing pay. A holistic strategy must therefore combine competitive compensation with a long-term commitment to internal training and development.</w:t>
      </w:r>
    </w:p>
    <w:p>
      <w:pPr>
        <w:spacing w:line="288" w:lineRule="auto"/>
        <w:ind w:firstLine="480" w:firstLineChars="200"/>
        <w:jc w:val="both"/>
      </w:pPr>
      <w:r>
        <w:rPr>
          <w:rFonts w:hint="eastAsia" w:ascii="微软雅黑" w:hAnsi="微软雅黑" w:eastAsia="微软雅黑"/>
          <w:noProof/>
          <w:sz w:val="24"/>
        </w:rPr>
        <w:t xml:space="preserve">Analyzing the prevailing market rates for these key roles is the second pillar of staffing intelligence and is critical for accurate tender pricing. An under-resourced bid based on unrealistically low labor costs is a recipe for disaster; the company will be unable to attract qualified personnel, leading to high turnover, poor performance, and potential contract failure. Conversely, a bid with overly inflated labor costs will be uncompetitive. A robust analysis of market rates requires a multi-source approach. Formal salary surveys published by major recruitment firms like Hays, Michael Page, or specialized engineering recruiters provide a good baseline, often segmented by industry, role, and geographic location. However, these surveys can lag behind real-time market changes. A more dynamic source of intelligence is the continuous analysis of online job postings for similar roles, which provides insight into the salary bands being offered by competitors. Furthermore, building strong relationships with recruitment agencies and industry consultants provides access to real-time, anecdotal data on what it is actually costing to hire specific individuals. This analysis must be granular, accounting for variations based on factors like site location (e.g., a "Pilbara premium" for roles in remote Western Australia), roster type (e.g., Fly-In-Fly-Out (FIFO) vs. residential), and the total compensation package, including bonuses, site allowances, and other benefits.</w:t>
      </w:r>
    </w:p>
    <w:p>
      <w:pPr>
        <w:spacing w:line="288" w:lineRule="auto"/>
        <w:ind w:firstLine="480" w:firstLineChars="200"/>
        <w:jc w:val="both"/>
      </w:pPr>
      <w:r>
        <w:rPr>
          <w:rFonts w:hint="eastAsia" w:ascii="微软雅黑" w:hAnsi="微软雅黑" w:eastAsia="微软雅黑"/>
          <w:noProof/>
          <w:sz w:val="24"/>
        </w:rPr>
        <w:t xml:space="preserve">To illustrate, a detailed analysis for Tread Stone CPM might produce benchmark data such as: a skilled Maintenance Planner with SAP experience in the Queensland coal fields could command a base salary of AUD </w:t>
      </w:r>
      <m:oMath>
        <m:r>
          <m:t>130,000-</m:t>
        </m:r>
      </m:oMath>
      <w:r>
        <w:rPr>
          <w:rFonts w:hint="eastAsia" w:ascii="微软雅黑" w:hAnsi="微软雅黑" w:eastAsia="微软雅黑"/>
          <w:noProof/>
          <w:sz w:val="24"/>
        </w:rPr>
        <w:t xml:space="preserve">150,000, while the same role in a less remote location might be 15-20% lower. A senior Reliability Engineer with specific condition monitoring certifications might command a total package exceeding ZAR 1.5 million in the South African platinum belt. An experienced FIFO artisan on an 8-days-on, 6-days-off roster in Western Australia could have an all-in annual cost to the company (including salary, superannuation, flights, accommodation, and allowances) of over AUD </w:t>
      </w:r>
      <m:oMath>
        <m:r>
          <m:t>200,000.Thislevelofdetailisessentialforthecostmodelingphaseofatenderbid.Itallowsthecommercialteamtobuilda"bottom-up"costestimatethatisgroundedinmarketreality,ensuringthatthebidissufficienttoattractthecaliberoftalentspecifiedinthetechnicalproposal.Italsoinformsstrategicdecisionsaboutwhichcontractstobidfor;acontractinaparticularlyhigh-costlabormarketmaybedeemedtooriskyorlow-margintopursue.</m:t>
        </m:r>
      </m:oMath>
    </w:p>
    <w:p>
      <w:pPr>
        <w:spacing w:line="288" w:lineRule="auto"/>
        <w:ind w:firstLine="480" w:firstLineChars="200"/>
        <w:jc w:val="both"/>
      </w:pPr>
      <w:r>
        <w:rPr>
          <w:rFonts w:hint="eastAsia" w:ascii="微软雅黑" w:hAnsi="微软雅黑" w:eastAsia="微软雅黑"/>
          <w:noProof/>
          <w:sz w:val="24"/>
        </w:rPr>
        <w:t xml:space="preserve">The third pillar, exploring the training and development ecosystem, is about ensuring a long-term, sustainable talent pipeline. This involves identifying and building relationships with the key institutions that produce qualified professionals for the mining and industrial sectors. In the context of South Africa, the Mining Qualifications Authority (MQA) is a central body. The MQA sets the competency standards for a vast range of occupations in the mining industry, accredits training providers (both public and private) to deliver courses against these standards, and oversees the funding and quality assurance of learnerships, apprenticeships, and internships. For Tread Stone CPM to operate successfully in South Africa, it would be crucial to ensure its internal training programs are aligned with MQA unit standards and to partner with MQA-accredited FET (Further Education and Training) colleges or private providers to recruit new talent. A tender bid that includes a clear commitment to MQA-aligned learnerships for local community members would be viewed very favorably, as it addresses the client's social and labor plan (SLP) obligations.</w:t>
      </w:r>
    </w:p>
    <w:p>
      <w:pPr>
        <w:spacing w:line="288" w:lineRule="auto"/>
        <w:ind w:firstLine="480" w:firstLineChars="200"/>
        <w:jc w:val="both"/>
      </w:pPr>
      <w:r>
        <w:rPr>
          <w:rFonts w:hint="eastAsia" w:ascii="微软雅黑" w:hAnsi="微软雅黑" w:eastAsia="微软雅黑"/>
          <w:noProof/>
          <w:sz w:val="24"/>
        </w:rPr>
        <w:t xml:space="preserve">This concept extends globally. In Australia, the TAFE (Technical and Further Education) system is the primary provider of vocational training for artisans, offering apprenticeships and certificate-level courses in mechanical fitting, electrical trades, and fabrication. Partnering with regional TAFEs near major mining hubs can create a direct pipeline of newly qualified tradespeople. Universities with strong engineering faculties are the primary source for graduate engineers. Building a relationship with these universities through sponsoring final-year projects, offering vacation work programs, and participating in careers fairs can help Tread Stone CPM become an "employer of choice" for the brightest young engineers. The strategic decision for the company is the balance between recruiting externally and developing talent internally. Establishing a dedicated, in-house training academy, while a significant investment, can provide a powerful competitive advantage. It allows for the customization of training to the company's specific maintenance methodologies and safety culture, and it ensures a consistent standard of competency across the entire workforce. This "build versus buy" decision for talent is a fundamental part of the company's long-term human capital strategy.</w:t>
      </w:r>
    </w:p>
    <w:p>
      <w:pPr>
        <w:spacing w:line="288" w:lineRule="auto"/>
        <w:ind w:firstLine="480" w:firstLineChars="200"/>
        <w:jc w:val="both"/>
      </w:pPr>
      <w:r>
        <w:rPr>
          <w:rFonts w:hint="eastAsia" w:ascii="微软雅黑" w:hAnsi="微软雅黑" w:eastAsia="微软雅黑"/>
          <w:noProof/>
          <w:sz w:val="24"/>
        </w:rPr>
        <w:t xml:space="preserve">Looking forward, the nature of skills required in plant management is rapidly evolving due to the influence of digitalization, automation, and artificial intelligence. The "artisan of the future" will need to be as comfortable with a tablet and diagnostic software as they are with a wrench and a multimeter. They will be tasked with maintaining and troubleshooting robotic systems, drones, and a vast network of IoT sensors. The demand for data scientists and analysts who can work alongside reliability engineers to build predictive models from the massive datasets generated by modern plants will grow exponentially. This presents both a challenge and an opportunity. The challenge is that the existing training infrastructure and workforce are often not equipped for this transition. The opportunity for Tread Stone CPM is to be at the forefront of this change, developing training programs and recruiting for these "future skills" now. A company that can offer its clients a digitally-savvy workforce capable of leveraging advanced technologies to drive performance will have a compelling and future-proof value proposition.</w:t>
      </w:r>
    </w:p>
    <w:p>
      <w:pPr>
        <w:spacing w:line="288" w:lineRule="auto"/>
        <w:ind w:firstLine="480" w:firstLineChars="200"/>
        <w:jc w:val="both"/>
      </w:pPr>
      <w:r>
        <w:rPr>
          <w:rFonts w:hint="eastAsia" w:ascii="微软雅黑" w:hAnsi="微软雅黑" w:eastAsia="微软雅黑"/>
          <w:noProof/>
          <w:sz w:val="24"/>
        </w:rPr>
        <w:t xml:space="preserve">In summary, a sophisticated skills and staffing intelligence capability is a non-negotiable prerequisite for success in the competitive plant management services market. It requires a proactive approach to identifying and securing scarce-skill professionals, a data-driven methodology for benchmarking compensation to ensure competitiveness and profitability, and a long-term strategic vision for talent development in partnership with the broader educational ecosystem. This intelligence allows Tread Stone CPM to mitigate its single greatest delivery risk: the inability to field a competent and motivated team. By mastering the human capital domain, the company ensures that the promises made in its tenders can be delivered on the ground. However, fielding a skilled team is only half the battle; the client must be able to see and measure the value that team is delivering. This brings us to the final, crucial element of market intelligence: the performance metrics and KPI benchmarks that define and quantify success.</w:t>
      </w:r>
    </w:p>
    <w:p>
      <w:pPr>
        <w:pStyle w:val="Heading2"/>
        <w:spacing w:line="288" w:lineRule="auto"/>
        <w:ind/>
      </w:pPr>
      <w:r>
        <w:rPr>
          <w:rFonts w:hint="eastAsia" w:ascii="微软雅黑" w:hAnsi="微软雅黑" w:eastAsia="微软雅黑"/>
          <w:b/>
          <w:noProof/>
          <w:sz w:val="36"/>
        </w:rPr>
        <w:t xml:space="preserve">Performance Metrics &amp; KPI Benchmarks</w:t>
      </w:r>
    </w:p>
    <w:p>
      <w:pPr>
        <w:spacing w:line="288" w:lineRule="auto"/>
        <w:ind w:firstLine="480" w:firstLineChars="200"/>
        <w:jc w:val="both"/>
      </w:pPr>
      <w:r>
        <w:rPr>
          <w:rFonts w:hint="eastAsia" w:ascii="微软雅黑" w:hAnsi="微软雅黑" w:eastAsia="微软雅黑"/>
          <w:noProof/>
          <w:sz w:val="24"/>
        </w:rPr>
        <w:t xml:space="preserve">In the domain of outsourced plant management services, the adage "what gets measured gets managed" is a fundamental operating principle. The framework of performance metrics and Key Performance Indicators (KPIs) is the critical mechanism through which a client's strategic objectives are translated into tangible, measurable targets for the service provider. This framework serves multiple, synergistic purposes: it provides an objective basis for evaluating contractor performance, aligns the daily activities of the contractor's team with the client's overarching goals, drives a culture of continuous improvement, and often forms the commercial basis for incentive payments and contract renewals. For Tread Stone CPM, a deep and nuanced understanding of standard industry KPIs, benchmark performance levels, and the causal link between these metrics and client satisfaction is not merely a technical requirement but a core strategic competency. It enables the company to speak the language of its clients, to structure its own operations for measurable success, and to demonstrably prove its value proposition in the most objective terms possible. This final piece of the market intelligence puzzle is what closes the loop, connecting the service delivery on the ground back to the commercial and strategic promises made during the tender process.</w:t>
      </w:r>
    </w:p>
    <w:p>
      <w:pPr>
        <w:spacing w:line="288" w:lineRule="auto"/>
        <w:ind w:firstLine="480" w:firstLineChars="200"/>
        <w:jc w:val="both"/>
      </w:pPr>
      <w:r>
        <w:rPr>
          <w:rFonts w:hint="eastAsia" w:ascii="微软雅黑" w:hAnsi="微软雅黑" w:eastAsia="微软雅黑"/>
          <w:noProof/>
          <w:sz w:val="24"/>
        </w:rPr>
        <w:t xml:space="preserve">The philosophy of performance measurement in this sector has evolved significantly. Early outsourcing contracts were often managed on a subjective basis, relying on the quality of the personal relationship between the client's site manager and the contractor's supervisor. This approach was fraught with ambiguity and inconsistency. The modern approach, grounded in management science, is to implement a "balanced scorecard" of KPIs that provides a holistic and objective view of performance across several key dimensions. The design of this scorecard is guided by principles such as the SMART criteria, ensuring that each KPI is Specific, Measurable, Achievable, Relevant, and Time-bound. A well-designed KPI framework moves beyond simply tracking activity (e.g., number of work orders completed) to measuring outcomes that directly impact the client's business (e.g., reduction in production losses due to equipment failure). For Tread Stone CPM, the ability to co-develop a meaningful KPI scorecard with a new client is a critical part of the mobilization and transition process, demonstrating a sophisticated understanding of the client's business and establishing a foundation of trust and transparency from the outset.</w:t>
      </w:r>
    </w:p>
    <w:p>
      <w:pPr>
        <w:spacing w:line="288" w:lineRule="auto"/>
        <w:ind w:firstLine="480" w:firstLineChars="200"/>
        <w:jc w:val="both"/>
      </w:pPr>
      <w:r>
        <w:rPr>
          <w:rFonts w:hint="eastAsia" w:ascii="微软雅黑" w:hAnsi="微软雅黑" w:eastAsia="微软雅黑"/>
          <w:noProof/>
          <w:sz w:val="24"/>
        </w:rPr>
        <w:t xml:space="preserve">The standard KPIs used to evaluate plant management contractors can be broadly grouped into several categories, with operational efficiency metrics being the most prominent. The single most important of these is typically </w:t>
      </w:r>
      <w:r>
        <w:rPr>
          <w:rFonts w:hint="eastAsia" w:ascii="微软雅黑" w:hAnsi="微软雅黑" w:eastAsia="微软雅黑"/>
          <w:b/>
          <w:noProof/>
          <w:sz w:val="24"/>
        </w:rPr>
        <w:t xml:space="preserve">Plant Availability</w:t>
      </w:r>
      <w:r>
        <w:rPr>
          <w:rFonts w:hint="eastAsia" w:ascii="微软雅黑" w:hAnsi="微软雅黑" w:eastAsia="微软雅黑"/>
          <w:noProof/>
          <w:sz w:val="24"/>
        </w:rPr>
        <w:t xml:space="preserve">. This metric, often expressed as a percentage, measures the proportion of scheduled operating time that the plant was actually capable of operating. It is calculated as (Scheduled Time - Unplanned Downtime) / Scheduled Time. A high availability figure is a direct indicator of effective maintenance. Related to this are the core reliability metrics of </w:t>
      </w:r>
      <w:r>
        <w:rPr>
          <w:rFonts w:hint="eastAsia" w:ascii="微软雅黑" w:hAnsi="微软雅黑" w:eastAsia="微软雅黑"/>
          <w:b/>
          <w:noProof/>
          <w:sz w:val="24"/>
        </w:rPr>
        <w:t xml:space="preserve">Mean Time Between Failures (MTBF)</w:t>
      </w:r>
      <w:r>
        <w:rPr>
          <w:rFonts w:hint="eastAsia" w:ascii="微软雅黑" w:hAnsi="微软雅黑" w:eastAsia="微软雅黑"/>
          <w:noProof/>
          <w:sz w:val="24"/>
        </w:rPr>
        <w:t xml:space="preserve"> and </w:t>
      </w:r>
      <w:r>
        <w:rPr>
          <w:rFonts w:hint="eastAsia" w:ascii="微软雅黑" w:hAnsi="微软雅黑" w:eastAsia="微软雅黑"/>
          <w:b/>
          <w:noProof/>
          <w:sz w:val="24"/>
        </w:rPr>
        <w:t xml:space="preserve">Mean Time To Repair (MTTR)</w:t>
      </w:r>
      <w:r>
        <w:rPr>
          <w:rFonts w:hint="eastAsia" w:ascii="微软雅黑" w:hAnsi="微软雅黑" w:eastAsia="微软雅黑"/>
          <w:noProof/>
          <w:sz w:val="24"/>
        </w:rPr>
        <w:t xml:space="preserve">. MTBF (Total Operating Time / Number of Failures) is a measure of the effectiveness of the preventative and predictive maintenance strategy; a rising MTBF indicates that equipment is failing less frequently. MTTR (Total Downtime / Number of Failures) is a measure of the efficiency of the response and repair process; a falling MTTR indicates that when failures do occur, the team is restoring the equipment to service more quickly. These metrics are often complemented by a measure of production output, such as </w:t>
      </w:r>
      <w:r>
        <w:rPr>
          <w:rFonts w:hint="eastAsia" w:ascii="微软雅黑" w:hAnsi="微软雅黑" w:eastAsia="微软雅黑"/>
          <w:b/>
          <w:noProof/>
          <w:sz w:val="24"/>
        </w:rPr>
        <w:t xml:space="preserve">Tons per Hour</w:t>
      </w:r>
      <w:r>
        <w:rPr>
          <w:rFonts w:hint="eastAsia" w:ascii="微软雅黑" w:hAnsi="微软雅黑" w:eastAsia="微软雅黑"/>
          <w:noProof/>
          <w:sz w:val="24"/>
        </w:rPr>
        <w:t xml:space="preserve">, which ensures that availability is not achieved at the expense of operational rate.</w:t>
      </w:r>
    </w:p>
    <w:p>
      <w:pPr>
        <w:spacing w:line="288" w:lineRule="auto"/>
        <w:ind w:firstLine="480" w:firstLineChars="200"/>
        <w:jc w:val="both"/>
      </w:pPr>
      <w:r>
        <w:rPr>
          <w:rFonts w:hint="eastAsia" w:ascii="微软雅黑" w:hAnsi="微软雅黑" w:eastAsia="微软雅黑"/>
          <w:noProof/>
          <w:sz w:val="24"/>
        </w:rPr>
        <w:t xml:space="preserve">The second critical category of KPIs relates to Health, Safety, and Environment (HSE). In the high-risk environment of mining, these are often considered "veto" or "gateway" KPIs, meaning that excellent performance in all other areas can be nullified by a single, serious safety or environmental failure. The most common lagging safety indicators are the </w:t>
      </w:r>
      <w:r>
        <w:rPr>
          <w:rFonts w:hint="eastAsia" w:ascii="微软雅黑" w:hAnsi="微软雅黑" w:eastAsia="微软雅黑"/>
          <w:b/>
          <w:noProof/>
          <w:sz w:val="24"/>
        </w:rPr>
        <w:t xml:space="preserve">Lost Time Injury Frequency Rate (LTIFR)</w:t>
      </w:r>
      <w:r>
        <w:rPr>
          <w:rFonts w:hint="eastAsia" w:ascii="微软雅黑" w:hAnsi="微软雅黑" w:eastAsia="微软雅黑"/>
          <w:noProof/>
          <w:sz w:val="24"/>
        </w:rPr>
        <w:t xml:space="preserve"> and the </w:t>
      </w:r>
      <w:r>
        <w:rPr>
          <w:rFonts w:hint="eastAsia" w:ascii="微软雅黑" w:hAnsi="微软雅黑" w:eastAsia="微软雅黑"/>
          <w:b/>
          <w:noProof/>
          <w:sz w:val="24"/>
        </w:rPr>
        <w:t xml:space="preserve">Total Recordable Injury Frequency Rate (TRIFR)</w:t>
      </w:r>
      <w:r>
        <w:rPr>
          <w:rFonts w:hint="eastAsia" w:ascii="微软雅黑" w:hAnsi="微软雅黑" w:eastAsia="微软雅黑"/>
          <w:noProof/>
          <w:sz w:val="24"/>
        </w:rPr>
        <w:t xml:space="preserve">, which measure the number of injuries per million hours worked. While universally tracked, there is a growing industry focus on complementing these with leading indicators. Leading indicators are proactive measures that track activities designed to prevent incidents </w:t>
      </w:r>
      <w:r>
        <w:rPr>
          <w:rFonts w:hint="eastAsia" w:ascii="微软雅黑" w:hAnsi="微软雅黑" w:eastAsia="微软雅黑"/>
          <w:i/>
          <w:noProof/>
          <w:sz w:val="24"/>
        </w:rPr>
        <w:t>before</w:t>
      </w:r>
      <w:r>
        <w:rPr>
          <w:rFonts w:hint="eastAsia" w:ascii="微软雅黑" w:hAnsi="微软雅黑" w:eastAsia="微软雅黑"/>
          <w:noProof/>
          <w:sz w:val="24"/>
        </w:rPr>
        <w:t xml:space="preserve"> they happen. Examples include the number of completed safety observations or "Take 5s" per person, the percentage of scheduled safety inspections completed on time, and the closure rate of identified hazards. For a contractor, demonstrating a strong performance on leading safety indicators is a powerful way to build client confidence in its safety culture and systems. Environmental KPIs typically include the number of reportable spills or environmental incidents, compliance with water discharge and air emission limits, and metrics related to waste recycling and energy consumption.</w:t>
      </w:r>
    </w:p>
    <w:p>
      <w:pPr>
        <w:spacing w:line="288" w:lineRule="auto"/>
        <w:ind w:firstLine="480" w:firstLineChars="200"/>
        <w:jc w:val="both"/>
      </w:pPr>
      <w:r>
        <w:rPr>
          <w:rFonts w:hint="eastAsia" w:ascii="微软雅黑" w:hAnsi="微软雅黑" w:eastAsia="微软雅黑"/>
          <w:noProof/>
          <w:sz w:val="24"/>
        </w:rPr>
        <w:t xml:space="preserve">A third group of KPIs focuses on the financial and planning aspects of the maintenance function. </w:t>
      </w:r>
      <w:r>
        <w:rPr>
          <w:rFonts w:hint="eastAsia" w:ascii="微软雅黑" w:hAnsi="微软雅黑" w:eastAsia="微软雅黑"/>
          <w:b/>
          <w:noProof/>
          <w:sz w:val="24"/>
        </w:rPr>
        <w:t xml:space="preserve">Maintenance Cost per Ton</w:t>
      </w:r>
      <w:r>
        <w:rPr>
          <w:rFonts w:hint="eastAsia" w:ascii="微软雅黑" w:hAnsi="微软雅黑" w:eastAsia="微软雅黑"/>
          <w:noProof/>
          <w:sz w:val="24"/>
        </w:rPr>
        <w:t xml:space="preserve"> (or per unit of production) is a high-level efficiency metric that is of great interest to the client's senior management, as it directly links maintenance expenditure to production output. A more granular metric is </w:t>
      </w:r>
      <w:r>
        <w:rPr>
          <w:rFonts w:hint="eastAsia" w:ascii="微软雅黑" w:hAnsi="微软雅黑" w:eastAsia="微软雅黑"/>
          <w:b/>
          <w:noProof/>
          <w:sz w:val="24"/>
        </w:rPr>
        <w:t xml:space="preserve">Actual Spend versus Budget</w:t>
      </w:r>
      <w:r>
        <w:rPr>
          <w:rFonts w:hint="eastAsia" w:ascii="微软雅黑" w:hAnsi="微软雅黑" w:eastAsia="微软雅黑"/>
          <w:noProof/>
          <w:sz w:val="24"/>
        </w:rPr>
        <w:t xml:space="preserve">, which measures the contractor's ability to manage costs within the agreed financial parameters. From a process efficiency perspective, planning and scheduling metrics are vital. </w:t>
      </w:r>
      <w:r>
        <w:rPr>
          <w:rFonts w:hint="eastAsia" w:ascii="微软雅黑" w:hAnsi="微软雅黑" w:eastAsia="微软雅黑"/>
          <w:b/>
          <w:noProof/>
          <w:sz w:val="24"/>
        </w:rPr>
        <w:t xml:space="preserve">Schedule Compliance</w:t>
      </w:r>
      <w:r>
        <w:rPr>
          <w:rFonts w:hint="eastAsia" w:ascii="微软雅黑" w:hAnsi="微软雅黑" w:eastAsia="微软雅黑"/>
          <w:noProof/>
          <w:sz w:val="24"/>
        </w:rPr>
        <w:t xml:space="preserve"> measures the percentage of scheduled maintenance work that was actually completed in a given week. A low score here often indicates poor planning, parts shortages, or operational interruptions, all of which point to inefficiencies in the overall work management process. </w:t>
      </w:r>
      <w:r>
        <w:rPr>
          <w:rFonts w:hint="eastAsia" w:ascii="微软雅黑" w:hAnsi="微软雅黑" w:eastAsia="微软雅黑"/>
          <w:b/>
          <w:noProof/>
          <w:sz w:val="24"/>
        </w:rPr>
        <w:t xml:space="preserve">Work Order Completion Rate</w:t>
      </w:r>
      <w:r>
        <w:rPr>
          <w:rFonts w:hint="eastAsia" w:ascii="微软雅黑" w:hAnsi="微软雅黑" w:eastAsia="微软雅黑"/>
          <w:noProof/>
          <w:sz w:val="24"/>
        </w:rPr>
        <w:t xml:space="preserve">, particularly the backlog of overdue work orders, is another indicator of the health of the maintenance system. A growing backlog suggests that the maintenance team is falling behind, potentially leading to future reliability problems. A contractor that can consistently demonstrate strong performance against these financial and planning KPIs proves that it is not only technically competent but also a disciplined and efficient business manager.</w:t>
      </w:r>
    </w:p>
    <w:p>
      <w:pPr>
        <w:spacing w:line="288" w:lineRule="auto"/>
        <w:ind w:firstLine="480" w:firstLineChars="200"/>
        <w:jc w:val="both"/>
      </w:pPr>
      <w:r>
        <w:rPr>
          <w:rFonts w:hint="eastAsia" w:ascii="微软雅黑" w:hAnsi="微软雅黑" w:eastAsia="微软雅黑"/>
          <w:noProof/>
          <w:sz w:val="24"/>
        </w:rPr>
        <w:t xml:space="preserve">A significant challenge and a source of potential counterargument is the risk of "metric fixation" or the "tyranny of metrics." This phenomenon, often linked to Goodhart's Law ("When a measure becomes a target, it ceases to be a good measure"), occurs when the organization becomes so focused on optimizing a specific KPI that it engages in behaviors that are detrimental to the overall system. For example, if a maintenance team is heavily incentivized to reduce MTTR, they might resort to "quick and dirty" repairs that get the equipment running again quickly but fail to address the root cause of the problem. This improves the MTTR metric in the short term but likely leads to more frequent future failures, thus worsening the MTBF. Similarly, an intense focus on reducing maintenance costs might lead a contractor to cut back on essential preventative maintenance, leading to a catastrophic and far more expensive failure down the line. The rebuttal to this valid criticism is not to abandon metrics, but to implement them more intelligently. The use of a </w:t>
      </w:r>
      <w:r>
        <w:rPr>
          <w:rFonts w:hint="eastAsia" w:ascii="微软雅黑" w:hAnsi="微软雅黑" w:eastAsia="微软雅黑"/>
          <w:i/>
          <w:noProof/>
          <w:sz w:val="24"/>
        </w:rPr>
        <w:t>balanced</w:t>
      </w:r>
      <w:r>
        <w:rPr>
          <w:rFonts w:hint="eastAsia" w:ascii="微软雅黑" w:hAnsi="微软雅黑" w:eastAsia="微软雅黑"/>
          <w:noProof/>
          <w:sz w:val="24"/>
        </w:rPr>
        <w:t xml:space="preserve"> scorecard is the key. By measuring performance across a range of competing metrics (e.g., balancing cost, speed, and quality), it becomes much harder to "game" the system. The framework should include a mix of leading and lagging indicators, as well as metrics that measure both efficiency (doing things right) and effectiveness (doing the right things).</w:t>
      </w:r>
    </w:p>
    <w:p>
      <w:pPr>
        <w:spacing w:line="288" w:lineRule="auto"/>
        <w:ind w:firstLine="480" w:firstLineChars="200"/>
        <w:jc w:val="both"/>
      </w:pPr>
      <w:r>
        <w:rPr>
          <w:rFonts w:hint="eastAsia" w:ascii="微软雅黑" w:hAnsi="微软雅黑" w:eastAsia="微软雅黑"/>
          <w:noProof/>
          <w:sz w:val="24"/>
        </w:rPr>
        <w:t xml:space="preserve">Conducting a benchmark analysis is the process by which Tread Stone CPM can contextualize its performance targets and demonstrate its competitiveness. It is not enough to simply promise improvement; a sophisticated client will want to know how that promised performance compares to industry standards. Benchmarking involves comparing a specific set of KPIs against the performance of other, similar operations. This data can be difficult to obtain as it is often proprietary, but it can be sourced through several channels. Specialized benchmarking firms (analogous to a Solomon Associates in the refining industry) collect and anonymize detailed performance data from participating companies, allowing subscribers to see how they rank (e.g., in which quartile) against their peers on dozens of metrics. Industry associations and academic studies can also provide high-level benchmark data. A more informal method is to glean performance data from public sources, such as technical papers presented at conferences or case studies published by competitors. For Tread Stone CPM, being able to present a bid that says, "Our proposed maintenance strategy is designed to move your plant's availability from its current 3rd quartile performance to 1st quartile performance within 24 months, based on industry benchmarks for this type of circuit," is an incredibly powerful statement that demonstrates deep industry knowledge and sets a clear, ambitious goal.</w:t>
      </w:r>
    </w:p>
    <w:p>
      <w:pPr>
        <w:spacing w:line="288" w:lineRule="auto"/>
        <w:ind w:firstLine="480" w:firstLineChars="200"/>
        <w:jc w:val="both"/>
      </w:pPr>
      <w:r>
        <w:rPr>
          <w:rFonts w:hint="eastAsia" w:ascii="微软雅黑" w:hAnsi="微软雅黑" w:eastAsia="微软雅黑"/>
          <w:noProof/>
          <w:sz w:val="24"/>
        </w:rPr>
        <w:t xml:space="preserve">Ultimately, the consistent achievement of agreed-upon KPIs is the primary driver of client satisfaction and contract renewals. While a good personal relationship with the client is valuable, in the modern, data-driven corporate environment, objective performance is paramount. The monthly KPI report is the contractor's primary communication tool for demonstrating value. A well-structured report, accompanied by insightful commentary that explains the trends, highlights successes, and transparently addresses areas of underperformance with a clear action plan, builds immense credibility. These reports form the basis of the regular operational and strategic review meetings (e.g., Monthly Business Reviews and Quarterly Business Reviews) between the contractor and the client. When it comes time for contract renewal or extension, the decision is made significantly easier for the client if there is a multi-year history of documented, data-backed performance that clearly shows the value the contractor has delivered. Conversely, a history of missed targets and poor KPI performance provides the client with a clear, objective justification to seek an alternative provider. Therefore, the entire operational and management system of Tread Stone CPM must be designed with the explicit goal of delivering, measuring, and reporting on the KPIs that matter most to its clients.</w:t>
      </w:r>
    </w:p>
    <w:p>
      <w:pPr>
        <w:spacing w:line="288" w:lineRule="auto"/>
        <w:ind w:firstLine="480" w:firstLineChars="200"/>
        <w:jc w:val="both"/>
      </w:pPr>
      <w:r>
        <w:rPr>
          <w:rFonts w:hint="eastAsia" w:ascii="微软雅黑" w:hAnsi="微软雅黑" w:eastAsia="微软雅黑"/>
          <w:noProof/>
          <w:sz w:val="24"/>
        </w:rPr>
        <w:t xml:space="preserve">In synthesizing the critical role of performance metrics, it is evident that they form the capstone of a comprehensive market intelligence strategy. They provide the objective language for defining success and the empirical evidence for demonstrating it. For Tread Stone CPM, mastering this domain means more than just being able to track data; it means understanding the intricate web of cause and effect between maintenance activities and high-level business outcomes. It means having the analytical capability to benchmark its potential performance against the industry's best and the operational discipline to consistently deliver on its promises. The journey of market intelligence, which began with mapping the competitive terrain and understanding the contractual rules of engagement, progressed through navigating the complex tender process and securing the necessary human capital, culminates here. The ability to define, achieve, and communicate superior performance through a robust KPI framework is what will ultimately differentiate Tread Stone CPM from its competitors, transforming it from a mere service provider into an indispensable strategic partner and securing its long-term success in the challenging but rewarding plant management market.</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