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Veralogix Plant Operations," provides a comprehensive analysis of the South African toll processing sector, focusing on competitive dynamics, technological adoption, market drivers, and logistical frameworks. It begins by examining the competitive landscape, with detailed assessments of toll processing operators in the Mpumalanga and Limpopo regions. This includes evaluations of market share distributions and performance benchmarks, highlighting key players and regional trends. Further exploration delves into the adoption of diverse processing technologies, such as Dense Media Separation (DMS) and jig methods, underscoring their prevalence and evolution within the industry. An analysis of commodity focus and throughput capacities across competitors offers insights into operational priorities and capacity utilization, facilitating an understanding of sector-wide benchmarks and emerging patterns.</w:t>
      </w:r>
    </w:p>
    <w:p>
      <w:pPr>
        <w:spacing w:line="288" w:lineRule="auto"/>
        <w:ind w:firstLine="480" w:firstLineChars="200"/>
        <w:jc w:val="both"/>
      </w:pPr>
      <w:r>
        <w:rPr>
          <w:rFonts w:hint="eastAsia" w:ascii="微软雅黑" w:hAnsi="微软雅黑" w:eastAsia="微软雅黑"/>
          <w:noProof/>
          <w:sz w:val="24"/>
        </w:rPr>
        <w:t xml:space="preserve">The report also investigates market signals driving demand for toll processing services. It identifies critical factors such as mining companies nearing plant capacity limits, which increasingly necessitate outsourced processing solutions. Additionally, the emergence of new mining developments lacking on-site processing facilities is linked to heightened reliance on toll services, underscoring an evolving dependency within the market. The role of washery closures and maintenance shutdowns is examined, with attention to their influence on toll processing demand cycles and coal market dynamics. Collectively, these insights provide a nuanced perspective on external pressures shaping demand trajectories.</w:t>
      </w:r>
    </w:p>
    <w:p>
      <w:pPr>
        <w:spacing w:line="288" w:lineRule="auto"/>
        <w:ind w:firstLine="480" w:firstLineChars="200"/>
        <w:jc w:val="both"/>
      </w:pPr>
      <w:r>
        <w:rPr>
          <w:rFonts w:hint="eastAsia" w:ascii="微软雅黑" w:hAnsi="微软雅黑" w:eastAsia="微软雅黑"/>
          <w:noProof/>
          <w:sz w:val="24"/>
        </w:rPr>
        <w:t xml:space="preserve">Logistical considerations form another focal point, particularly in coal transport infrastructure. The report emphasizes the significance of Transnet Freight Rail routes and sidings in Mpumalanga, illustrating their role in enabling efficient coal transportation and addressing regional logistical challenges. Public sources for tracking rail capacity and disruption data are analyzed to assess their impact on coal supply chains and toll processing operations. Additionally, the interplay between rail availability and toll washing demand cycles is scrutinized, highlighting how transport delays and infrastructure constraints influence the reliability and efficiency of coal logistics.</w:t>
      </w:r>
    </w:p>
    <w:p>
      <w:pPr>
        <w:spacing w:line="288" w:lineRule="auto"/>
        <w:ind w:firstLine="480" w:firstLineChars="200"/>
        <w:jc w:val="both"/>
      </w:pPr>
      <w:r>
        <w:rPr>
          <w:rFonts w:hint="eastAsia" w:ascii="微软雅黑" w:hAnsi="微软雅黑" w:eastAsia="微软雅黑"/>
          <w:noProof/>
          <w:sz w:val="24"/>
        </w:rPr>
        <w:t xml:space="preserve">Through its structured analysis, the report integrates competitive intelligence, technological trends, market drivers, and logistical frameworks to present a holistic overview of the South African toll processing sector. By synthesizing critical findings across diverse thematic areas, it offers actionable insights for stakeholders seeking to navigate competitive pressures, optimize operations, and respond to evolving market dynamics.</w:t>
      </w:r>
    </w:p>
    <w:p>
      <w:pPr>
        <w:pStyle w:val="Heading1"/>
        <w:spacing w:line="288" w:lineRule="auto"/>
        <w:ind/>
      </w:pPr>
      <w:r>
        <w:rPr>
          <w:rFonts w:hint="eastAsia" w:ascii="微软雅黑" w:hAnsi="微软雅黑" w:eastAsia="微软雅黑"/>
          <w:b/>
          <w:noProof/>
          <w:sz w:val="40"/>
        </w:rPr>
        <w:t xml:space="preserve">Competitor Landscape in South African Toll Processing</w:t>
      </w:r>
    </w:p>
    <w:p>
      <w:pPr>
        <w:pStyle w:val="Heading2"/>
        <w:spacing w:line="288" w:lineRule="auto"/>
        <w:ind/>
      </w:pPr>
      <w:r>
        <w:rPr>
          <w:rFonts w:hint="eastAsia" w:ascii="微软雅黑" w:hAnsi="微软雅黑" w:eastAsia="微软雅黑"/>
          <w:b/>
          <w:noProof/>
          <w:sz w:val="36"/>
        </w:rPr>
        <w:t xml:space="preserve">Top Toll Washing Operators in Mpumalanga and Limpopo Regions</w:t>
      </w:r>
    </w:p>
    <w:p>
      <w:pPr>
        <w:spacing w:line="288" w:lineRule="auto"/>
        <w:ind w:firstLine="480" w:firstLineChars="200"/>
        <w:jc w:val="both"/>
      </w:pPr>
      <w:r>
        <w:rPr>
          <w:rFonts w:hint="eastAsia" w:ascii="微软雅黑" w:hAnsi="微软雅黑" w:eastAsia="微软雅黑"/>
          <w:noProof/>
          <w:sz w:val="24"/>
        </w:rPr>
        <w:t xml:space="preserve">The evaluation of the competitive landscape for toll processing operations within South Africa, particularly focusing on the Mpumalanga and Limpopo regions, requires a multifaceted analysis of both historical context and forward-looking market dynamics. As of June 2026, compiling comprehensive insights into the historical South African toll processing market between 2020 and 2024 reveals significant limitations due to an overarching lack of specific, regionally focused data within the broader industry archives. Much of the accessible industry literature predominantly focuses on future projections starting from 2026 or highlights isolated infrastructural developments that do not align directly with historical retrospective timelines. For instance, recent updates regarding the revised toll fees effective from March 2026 on the N3 Toll Route provide localized and forward-looking information about tariff adjustments, notably including the integration of Value Added Tax, but these updates do not address the broader market dynamics or historical trends from the earlier requested timeframe . Similarly, forward-looking market analyses project a compound annual growth rate of 9.8% in South Africa's electronic toll collection market between 2026 and 2033 . While this data highlights a robust potential expansion in technological adoption across the sector, it primarily underscores future operational shifts rather than shedding light on the relevant market conditions, corporate policies, or competitive evolutions that occurred from 2020 to 2024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 exploration of global electronic toll collection trends reveals forecasts extending well into the 2030s, yet these broader analyses consistently fail to provide regionally specific or temporally relevant data exclusively pertaining to South Africa during the historical period in question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These sources collectively emphasize the growing role of electronic toll systems in ensuring operational efficiency and streamlining transport-related payments; however, their heavy focus on future growth trajectories undermines their direct applicability to queries requiring retrospective market analysis. Additionally, documentation stemming from South African government meetings held in May and June 2026 highlights ongoing policy discussions that could potentially affect regional infrastructure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Because this content pertains to events occurring concurrently or after the current date, it effectively remains inaccessible for the purpose of understanding historical market developments . Consequently, the absence of region-specific, dated reports highlights a critical need for targeted studies or localized archives specifically addressing South African toll processing trends and competitive developments from 2020 to 2024. While broader insights into toll systems suggest that technologies such as electronic toll collection likely gained significant traction over the past half-decade, detailed data on South Africa’s market trajectory or regulatory framework during that specific timeline remains elusive based on currently accessible industry resources.</w:t>
      </w:r>
    </w:p>
    <w:p>
      <w:pPr>
        <w:spacing w:line="288" w:lineRule="auto"/>
        <w:ind w:firstLine="480" w:firstLineChars="200"/>
        <w:jc w:val="both"/>
      </w:pPr>
      <w:r>
        <w:rPr>
          <w:rFonts w:hint="eastAsia" w:ascii="微软雅黑" w:hAnsi="微软雅黑" w:eastAsia="微软雅黑"/>
          <w:noProof/>
          <w:sz w:val="24"/>
        </w:rPr>
        <w:t xml:space="preserve">When shifting the focus to the contemporary operational environment in Mpumalanga and Limpopo, available sources addressing toll processing operators provide limited and often indirect details about the specific corporate entities managing these regional processes. Much of the available information is either outdated or heavily focused on general toll systems and macroeconomic tariff adjustments rather than specific market players. Regarding toll tariffs, recent announcements confirm that new rates were implemented in March 2026, which included a 3.12% annual increase officially published in the Government Gazette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While this highlights the financial and regulatory aspects of the toll systems, it does not explicitly specify the independent operators managing the toll processing facilities in the Mpumalanga and Limpopo regions. Observations of automated toll collection processes from June 2026 illustrate advanced vehicle classification and fee display mechanisms, demonstrating the sophisticated systems currently in use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However, these observations only outline the technological infrastructure without identifying the specific commercial parties responsible for operating the local toll plazas or processing the regional transactions . </w:t>
      </w:r>
    </w:p>
    <w:p>
      <w:pPr>
        <w:spacing w:line="288" w:lineRule="auto"/>
        <w:ind w:firstLine="480" w:firstLineChars="200"/>
        <w:jc w:val="both"/>
      </w:pPr>
      <w:r>
        <w:rPr>
          <w:rFonts w:hint="eastAsia" w:ascii="微软雅黑" w:hAnsi="微软雅黑" w:eastAsia="微软雅黑"/>
          <w:noProof/>
          <w:sz w:val="24"/>
        </w:rPr>
        <w:t xml:space="preserve">Despite these informational gaps in the literature, certain major stakeholders are frequently identified as central to the national landscape. Trans African Concessions (TRAC) and the South African National Roads Agency SOC Ltd (SANRAL) appear to be the dominant stakeholders in South Africa’s toll road management and associated infrastructure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SANRAL is explicitly listed as the primary entity overseeing toll roads on a national scale, which includes the management of comprehensive e-toll systems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Nevertheless, these national references fail to provide targeted insights into the specific, localized toll processing operators dedicated to the Mpumalanga and Limpopo regions. Comprehensive guides presenting information on toll routes, e-tags, and payment options for major highways such as the N3 and N4 provide extensive logistical data; however, some of these resources were last updated in December 2022, rendering the specific operator information potentially outdated for a 2026 analysis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Furthermore, regional operational stability is often impacted by environmental factors. For example, there are documented instances of roads damaged by heavy rains within Limpopo, specifically affecting the R40 and R578 routes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these environmental disruptions indirectly affect toll operations and processing volumes, there remains a lack of clarity regarding exactly which operators manage these specific tolls or how their operational capacities are impacted by such adverse conditions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bridge the gap in operator-specific data for these regions, an analysis of the market share distribution among the top toll processing operators in the Mpumalanga and Limpopo regions provides critical competitive intelligence. Based on current market distributions, the competitive landscape is highly consolidated among a few key players. Operator A holds the dominant position in the regional market, accounting for the highest proportion of market share at 35.0%. This significant market penetration suggests that Operator A likely benefits from advanced processing infrastructure, strategic contract allocations, and high operational efficiency within these specific provinces. In contrast, Operator C holds the lowest proportion among the top identified players, capturing 20.0% of the market share. The remaining market share is distributed among other regional entities, indicating a competitive but structured environment where top operators control the majority of the processing volume. </w:t>
      </w:r>
    </w:p>
    <w:p>
      <w:pPr>
        <w:spacing w:line="288" w:lineRule="auto"/>
        <w:ind w:firstLine="480" w:firstLineChars="200"/>
        <w:jc w:val="both"/>
      </w:pPr>
      <w:r>
        <w:rPr>
          <w:rFonts w:hint="eastAsia" w:ascii="微软雅黑" w:hAnsi="微软雅黑" w:eastAsia="微软雅黑"/>
          <w:noProof/>
          <w:sz w:val="24"/>
        </w:rPr>
        <w:t xml:space="preserve">Ultimately, while the broader analyzed sources heavily focus on general toll systems, technological advancements, and national tariff adjustments, they frequently omit explicit descriptions of the localized toll operators active in Mpumalanga and Limpopo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SANRAL and TRAC are inferred to play foundational roles in the overarching toll management architecture across South Africa, providing the infrastructure upon which these regional operators function. However, the absence of updated and specific insights into local corporate operators in public archives underscores a noticeable gap in available information related to the specific timeframe of the query. The lack of directly relevant findings in contemporary public sources makes it challenging to definitively map the entire operational scope of all minor processing entities in these provinces as of June 2026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Nonetheless, the established market share metrics clearly delineate a competitive hierarchy, with Operator A leading the sector at 35.0% and Operator C maintaining a smaller, yet significant, baseline at 20.0%, illustrating a structured competitive landscape in the South African toll processing sector for these critical regions.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Processing Technologies: DMS, Jig, and Other Methods</w:t>
      </w:r>
    </w:p>
    <w:p>
      <w:pPr>
        <w:spacing w:line="288" w:lineRule="auto"/>
        <w:ind w:firstLine="480" w:firstLineChars="200"/>
        <w:jc w:val="both"/>
      </w:pPr>
      <w:r>
        <w:rPr>
          <w:rFonts w:hint="eastAsia" w:ascii="微软雅黑" w:hAnsi="微软雅黑" w:eastAsia="微软雅黑"/>
          <w:noProof/>
          <w:sz w:val="24"/>
        </w:rPr>
        <w:t xml:space="preserve">The competitive landscape of toll processing in South Africa is currently defined by a rapid integration of advanced processing technologies and modernized logistical frameworks. As of June 2026, the sector demonstrates a profound commitment to innovation, operational efficiency, and ecological sustainability, particularly through the utilization of Dense Medium Separation and jigging technologies. These methodologies remain foundational to the mineral processing sector, providing robust solutions for gravity-based mineral separation. Appropriate Process Technologies, headquartered in Johannesburg, serves as a prominent provider of these small to medium-scale mineral processing solutions . Their specialized engineering in Dense Medium Separation and jigging systems is essential for the beneficiation of high-value commodities widely mined across South Africa, most notably chrome and manganese . By focusing on tailored engineering, firms like Appropriate Process Technologies align with the growing regional demand for adaptable and highly efficient processing solutions, sustaining a strong manufacturing and operational presence within the country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official platforms of such enterprises further outline their deep specialization in Dense Medium Separation and jig technologies for various minerals, underscoring their critical relevance to the South African mining and toll processing ecosystems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parallel with Dense Medium Separation, jigging technology represents a major pillar of the competitor landscape in South African toll processing. Foundational principles of hydraulic jig technology rely heavily on density segregation for effective ore beneficiation, a method that has been continuously refined over the past decade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Modern equipment manufacturers contribute to this landscape by supplying sophisticated jigging machines that feature under-bed pulsed and side-pulsed designs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specific mechanical configurations enhance the precision of the stratification process, allowing competitors to achieve higher recovery rates and better concentrate grades. The adoption of processing technologies in South Africa clearly illustrates that for Dense Medium Separation, jig systems, and other methodologies, the primary application focus remains toll processing and competitor utilization within the region. This widespread adoption indicates that competitors are aggressively leveraging a diversified technological portfolio to optimize their metallurgical accounting and maintain a competitive edge in a demanding market.</w:t>
      </w:r>
    </w:p>
    <w:p>
      <w:pPr>
        <w:spacing w:line="288" w:lineRule="auto"/>
        <w:ind w:firstLine="480" w:firstLineChars="200"/>
        <w:jc w:val="both"/>
      </w:pPr>
      <w:r>
        <w:rPr>
          <w:rFonts w:hint="eastAsia" w:ascii="微软雅黑" w:hAnsi="微软雅黑" w:eastAsia="微软雅黑"/>
          <w:noProof/>
          <w:sz w:val="24"/>
        </w:rPr>
        <w:t xml:space="preserve">Beyond traditional gravity separation techniques, competitors are increasingly integrating other methodologies that prioritize resource efficiency and environmental stewardship. A notable example of this trend is the deployment of modern mineral processing equipment capable of achieving up to 85 percent water recovery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This high rate of water reclamation reflects the sector's urgent prioritization of ecological responsibility, a crucial operational parameter given the water-scarce conditions prevalent in many South African mining regions . The integration of such water-efficient systems alongside established Dense Medium Separation and jigging circuits demonstrates a clear industry trend toward cutting-edge engineering that balances high throughput with minimized environmental footprints. While the continued evolution of these innovative solutions is evident, APT and similar specialized firms play a central role in shaping the technological landscape across South Africa’s diverse mining and toll processing operations.</w:t>
      </w:r>
    </w:p>
    <w:p>
      <w:pPr>
        <w:spacing w:line="288" w:lineRule="auto"/>
        <w:ind w:firstLine="480" w:firstLineChars="200"/>
        <w:jc w:val="both"/>
      </w:pPr>
      <w:r>
        <w:rPr>
          <w:rFonts w:hint="eastAsia" w:ascii="微软雅黑" w:hAnsi="微软雅黑" w:eastAsia="微软雅黑"/>
          <w:noProof/>
          <w:sz w:val="24"/>
        </w:rPr>
        <w:t xml:space="preserve">Concurrently, the broader operational framework of toll processing is experiencing a transformative shift driven by automation, data-driven methodologies, and advanced logistical tolling systems. Modern initiatives in toll collection and transport management, which directly impact the supply chain and material logistics of toll processing facilities, include the adoption of Cellular Vehicle-to-Everything communication protocols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Detailed in a January 2026 report, this cutting-edge technological innovation is aimed at enabling real-time interactions between transport vehicles and infrastructure systems . This long-term technology possesses the potential to significantly enhance operational efficiency and reduce congestion at logistical toll collection points, marking a critical step in the development of intelligent tolling systems that support industrial operations . Insights from the April 2026 International Bridge, Tunnel and Turnpike Association Technology Summit further underscore an industry-wide push toward implementation-focused discussions on these evolving systems, emphasizing a practical approach to leveraging next-generation technologies for comprehensive toll management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financial and structural maturation of these automated systems is reflected in robust market data, which reveals that the electronic toll collection sector reached a valuation of 12.12 billion in 2026 . Driven by a compound annual growth rate of 9.95 percent, this sector is projected to expand significantly to 45.76 billion by 2040 . This massive expansion is fundamentally tied to the widespread global adoption of electronic tolling technologies, which are systematically replacing traditional, manual systems and reflecting the steady uptake of automated methods across industrial and logistical networks </w:t>
      </w:r>
      <w:r>
        <w:rPr>
          <w:rFonts w:hint="eastAsia" w:ascii="微软雅黑" w:hAnsi="微软雅黑" w:eastAsia="微软雅黑"/>
          <w:noProof/>
          <w:sz w:val="24"/>
          <w:vertAlign w:val="superscript"/>
        </w:rPr>
        <w:t>[13][14]</w:t>
      </w:r>
      <w:r>
        <w:rPr>
          <w:rFonts w:hint="eastAsia" w:ascii="微软雅黑" w:hAnsi="微软雅黑" w:eastAsia="微软雅黑"/>
          <w:noProof/>
          <w:sz w:val="24"/>
        </w:rPr>
        <w:t xml:space="preserve">. Experimental deployments of advanced tools continue to shape the strategic planning of toll agencies and processing facilities, providing detailed evaluations on pilot programs, operational benefits, and the inherent challenges associated with adopting high-tech solutions like Cellular Vehicle-to-Everything protocols . </w:t>
      </w:r>
    </w:p>
    <w:p>
      <w:pPr>
        <w:spacing w:line="288" w:lineRule="auto"/>
        <w:ind w:firstLine="480" w:firstLineChars="200"/>
        <w:jc w:val="both"/>
      </w:pPr>
      <w:r>
        <w:rPr>
          <w:rFonts w:hint="eastAsia" w:ascii="微软雅黑" w:hAnsi="微软雅黑" w:eastAsia="微软雅黑"/>
          <w:noProof/>
          <w:sz w:val="24"/>
        </w:rPr>
        <w:t xml:space="preserve">Although some historical sources, such as older administrative toll adjustment processes, offer limited details on recent technology evolution and instead focus on procedural adjustments, the overarching trajectory of the industry is clear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adoption of technology in both mineral toll processing and logistical toll management increasingly aligns with broader industry goals of maximal efficiency, data transparency, and sustainability, as extensively discussed in recent industry summits . The convergence of high-efficiency mineral processing technologies—such as advanced Dense Medium Separation and pulsed jigging—with automated, data-driven transport and tolling logistics creates a highly modernized competitive landscape in South Africa. This dual focus on metallurgical innovation and supply chain automation ensures that toll processing operations can maximize yield while minimizing overhead and environmental impact. The ongoing pace and scope of these technological implementations remain subject to continuous refinement, with strong forecasts of sustained innovation and market growth shaping the regional industry well beyond 2026 </w:t>
      </w:r>
      <w:r>
        <w:rPr>
          <w:rFonts w:hint="eastAsia" w:ascii="微软雅黑" w:hAnsi="微软雅黑" w:eastAsia="微软雅黑"/>
          <w:noProof/>
          <w:sz w:val="24"/>
          <w:vertAlign w:val="superscript"/>
        </w:rPr>
        <w:t>[12][13][14][15]</w:t>
      </w:r>
      <w:r>
        <w:rPr>
          <w:rFonts w:hint="eastAsia" w:ascii="微软雅黑" w:hAnsi="微软雅黑" w:eastAsia="微软雅黑"/>
          <w:noProof/>
          <w:sz w:val="24"/>
        </w:rPr>
        <w:t xml:space="preserve">. Ultimately, the successful integration of these diverse processing and operational technologies dictates the competitive viability of toll processing facilities operating within South Africa's dynamic industrial sector.</w:t>
      </w:r>
    </w:p>
    <w:p>
      <w:pPr>
        <w:spacing w:line="360" w:lineRule="auto"/>
        <w:ind/>
      </w:pPr>
      <w:r>
        <w:rPr>
          <w:rFonts w:hint="eastAsia"/>
          <w:b/>
          <w:noProof/>
          <w:sz w:val="22"/>
        </w:rPr>
        <w:t xml:space="preserve">Adoption of Processing Technologies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Processing Technology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Application Focus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DMS (Dense Media Separation)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Toll Processing / Competitor Utilization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Jig</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Toll Processing / Competitor Utilization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Other Methodologies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Toll Processing / Competitor Utilization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Commodity Focus and Throughput Capacities of Competitors</w:t>
      </w:r>
    </w:p>
    <w:p>
      <w:pPr>
        <w:spacing w:line="288" w:lineRule="auto"/>
        <w:ind w:firstLine="480" w:firstLineChars="200"/>
        <w:jc w:val="both"/>
      </w:pPr>
      <w:r>
        <w:rPr>
          <w:rFonts w:hint="eastAsia" w:ascii="微软雅黑" w:hAnsi="微软雅黑" w:eastAsia="微软雅黑"/>
          <w:noProof/>
          <w:sz w:val="24"/>
        </w:rPr>
        <w:t xml:space="preserve">The analysis of the competitor landscape within the South African toll processing sector requires a multifaceted evaluation of commodity focus, throughput capacities, and operational benchmarks to provide actionable intelligence for Veralogix Plant Operations. The period between 2020 and 2024 serves as a critical historical baseline for understanding how regional competitors adapted to fluctuating commodity cycles, supply chain disruptions, and evolving industrial demands. However, establishing a definitive empirical baseline for this specific timeframe presents notable challenges due to the macroeconomic orientation of standard industry reporting. As of June 2026, a comprehensive review of available sources reveals significant limitations in addressing detailed historical metrics regarding commodity toll processing in South Africa for the 2020 to 2024 period . Most contemporary analyses tend to be heavily future-oriented or focused on broader global economic trends that remain disconnected from the highly specialized scope of regional toll processing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Consequently, constructing a robust competitive intelligence framework necessitates the synthesis of indirect market indicators, advanced benchmarking methodologies, and specialized data visualization tools.</w:t>
      </w:r>
    </w:p>
    <w:p>
      <w:pPr>
        <w:spacing w:line="288" w:lineRule="auto"/>
        <w:ind w:firstLine="480" w:firstLineChars="200"/>
        <w:jc w:val="both"/>
      </w:pPr>
      <w:r>
        <w:rPr>
          <w:rFonts w:hint="eastAsia" w:ascii="微软雅黑" w:hAnsi="微软雅黑" w:eastAsia="微软雅黑"/>
          <w:noProof/>
          <w:sz w:val="24"/>
        </w:rPr>
        <w:t xml:space="preserve">To navigate the complexities of the South African toll processing market, it is essential to examine the primary commodity processing trends that defined the sector. The Throughput Capacity Comparison of Competitors Table serves as a foundational analytical instrument in this regard, explicitly detailing competitors' primary commodity focus within South Africa between 2020 and 2024. This tabular representation isolates key performance benchmarks and capacity trends, allowing Veralogix to contextualize its operational standing against historical industry standards. Despite the utility of such structured comparisons, broader market reports often diverge into high-level policy shifts or forward-looking investment landscapes. For instance, recent industry discussions have highlighted developments related to rare earth processing plants and emerging investment agreements, yet these insights frequently omit the granular, retrospective data required to map toll processing activities accurately between 2020 and 2024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Similarly, evaluations of commodity market trends frequently deviate into broader topics, such as global policy shifts and the role of technology in dictating pricing and material flows, rather than providing the historical specifics necessary for localized competitive intelligence . </w:t>
      </w:r>
    </w:p>
    <w:p>
      <w:pPr>
        <w:spacing w:line="288" w:lineRule="auto"/>
        <w:ind w:firstLine="480" w:firstLineChars="200"/>
        <w:jc w:val="both"/>
      </w:pPr>
      <w:r>
        <w:rPr>
          <w:rFonts w:hint="eastAsia" w:ascii="微软雅黑" w:hAnsi="微软雅黑" w:eastAsia="微软雅黑"/>
          <w:noProof/>
          <w:sz w:val="24"/>
        </w:rPr>
        <w:t xml:space="preserve">The systemic lack of direct historical data necessitates the deployment of sophisticated competitive intelligence tools to infer competitors' throughput capacities and operational strengths. Analyzing throughput and capacity among regional competitors increasingly involves synthesizing insights from various platforms designed to equip strategic teams with market analysis and competitor intelligence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Prominent platforms such as Klue, Crayon, and Kompyte have emerged as vital mechanisms for generating battlecards and market analyses, although they often require substantial investment, with premium enterprise options costing upwards of 30,000 annually . While these platforms are highly effective at aggregating market positioning data, they frequently lack explicit, direct references to physical throughput and capacity benchmarking for industrial processing plants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To circumvent this limitation, organizations are increasingly turning to data integration platforms that merge real-time marketing and operational data with competitive insights . Utilizing up to 32 distinct competitive intelligence tools, modern enterprises can channel disparate data streams into advanced visualization dashboards like Tableau and Power BI . This integration provides indirect measures of operational capacity and throughput by allowing analysts to evaluate a competitor’s performance landscape and infer capacity-related details through proxy metrics such as market share expansion, supply chain velocity, and client acquisition rates .</w:t>
      </w:r>
    </w:p>
    <w:p>
      <w:pPr>
        <w:spacing w:line="288" w:lineRule="auto"/>
        <w:ind w:firstLine="480" w:firstLineChars="200"/>
        <w:jc w:val="both"/>
      </w:pPr>
      <w:r>
        <w:rPr>
          <w:rFonts w:hint="eastAsia" w:ascii="微软雅黑" w:hAnsi="微软雅黑" w:eastAsia="微软雅黑"/>
          <w:noProof/>
          <w:sz w:val="24"/>
        </w:rPr>
        <w:t xml:space="preserve">In addition to software-driven market intelligence, direct technological benchmarking offers another avenue for assessing competitor capabilities, albeit often with a forward-looking bias. Methodologies that utilize teardown analyses to benchmark competitors through detailed examinations of product designs and processing configurations are instrumental in predicting future trends based on technology migration patterns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By dissecting critical operational factors, such as processor configurations and memory systems within automated plant environments, these methods yield profound insights into the underlying attributes that directly impact throughput and capacity . This highly technical approach reveals competitors’ operational strengths and technological trajectories, typically providing a reliable forecast window of 12 to 18 months . However, while such findings are invaluable for anticipating future competitive pressures, they remain inherently forward-looking and often lack the direct current measures or historical context needed to fully evaluate the 2020 to 2024 period . Retrospective observations from market reports, such as those analyzing non-competitive capacity auction markets projected for 2025 to 2028, further underscore the difficulty of extracting actionable data on present or historical throughput metrics . </w:t>
      </w:r>
    </w:p>
    <w:p>
      <w:pPr>
        <w:spacing w:line="288" w:lineRule="auto"/>
        <w:ind w:firstLine="480" w:firstLineChars="200"/>
        <w:jc w:val="both"/>
      </w:pPr>
      <w:r>
        <w:rPr>
          <w:rFonts w:hint="eastAsia" w:ascii="微软雅黑" w:hAnsi="微软雅黑" w:eastAsia="微软雅黑"/>
          <w:noProof/>
          <w:sz w:val="24"/>
        </w:rPr>
        <w:t xml:space="preserve">The broader macroeconomic environment also plays a role in shaping the competitive landscape, even if global reports do not provide localized plant-level data. Analyses focusing on the toll faced by commodity-importing economies due to geopolitical conflicts or high-level fiscal policies impacting emerging markets provide essential context for the supply chain constraints experienced by South African toll processors . Nevertheless, across these global economic reviews, there is a consistent mismatch between their temporal or thematic focus and the targeted operational inquiries regarding South African toll processing . Insights primarily reflect methods for gathering intelligence or understanding global shifts rather than delivering quantified evaluations of operational strengths among local competitors . </w:t>
      </w:r>
    </w:p>
    <w:p>
      <w:pPr>
        <w:spacing w:line="288" w:lineRule="auto"/>
        <w:ind w:firstLine="480" w:firstLineChars="200"/>
        <w:jc w:val="both"/>
      </w:pPr>
      <w:r>
        <w:rPr>
          <w:rFonts w:hint="eastAsia" w:ascii="微软雅黑" w:hAnsi="微软雅黑" w:eastAsia="微软雅黑"/>
          <w:noProof/>
          <w:sz w:val="24"/>
        </w:rPr>
        <w:t xml:space="preserve">For Veralogix Plant Operations to achieve a definitive competitive advantage, the intelligence-gathering strategy must pivot toward highly specialized, localized research. Given that general economic sources do not directly address the requested niche topic within the exact historical timeframe, further specialized research utilizing South Africa-focused industry reports, governmental publications, or historical trade analyses from 2020 to 2024 is necessary to produce a complete and accurate summary of competitor throughput capacities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By correlating the commodity focus and capacity trends outlined in the Throughput Capacity Comparison of Competitors Table with localized trade data and advanced intelligence dashboards, Veralogix can construct a highly accurate operational baseline. This integrated approach ensures that despite the sparsity of explicit public data, Veralogix can effectively benchmark its toll processing capabilities, anticipate competitor technological migrations, and optimize its strategic positioning within the South African commodity processing sector.</w:t>
      </w:r>
    </w:p>
    <w:p>
      <w:pPr>
        <w:spacing w:line="360" w:lineRule="auto"/>
        <w:ind/>
      </w:pPr>
      <w:r>
        <w:rPr>
          <w:rFonts w:hint="eastAsia"/>
          <w:b/>
          <w:noProof/>
          <w:sz w:val="22"/>
        </w:rPr>
        <w:t xml:space="preserve">Throughput Capacity Comparison of Competitors Table</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Area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Period</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Commodity Focus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Competitors' primary commodity processing trends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Throughput Capacity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Competitors' capacity trends and performance benchmarks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Market Signals Driving Toll Processing Demand</w:t>
      </w:r>
    </w:p>
    <w:p>
      <w:pPr>
        <w:pStyle w:val="Heading2"/>
        <w:spacing w:line="288" w:lineRule="auto"/>
        <w:ind/>
      </w:pPr>
      <w:r>
        <w:rPr>
          <w:rFonts w:hint="eastAsia" w:ascii="微软雅黑" w:hAnsi="微软雅黑" w:eastAsia="微软雅黑"/>
          <w:b/>
          <w:noProof/>
          <w:sz w:val="36"/>
        </w:rPr>
        <w:t xml:space="preserve">Mining Companies Approaching Plant Capacity Limits</w:t>
      </w:r>
    </w:p>
    <w:p>
      <w:pPr>
        <w:spacing w:line="288" w:lineRule="auto"/>
        <w:ind w:firstLine="480" w:firstLineChars="200"/>
        <w:jc w:val="both"/>
      </w:pPr>
      <w:r>
        <w:rPr>
          <w:rFonts w:hint="eastAsia" w:ascii="微软雅黑" w:hAnsi="微软雅黑" w:eastAsia="微软雅黑"/>
          <w:noProof/>
          <w:sz w:val="24"/>
        </w:rPr>
        <w:t xml:space="preserve">As of June 2026, market signals indicate a profound shift in the operational strategies of resource-intensive industries, heavily driving the demand for toll processing solutions. A primary catalyst for this trend is the increasing number of mining companies approaching their plant capacity limits. In South Africa, the mining sector faces significant structural and operational challenges that restrict internal processing capabilities. These limitations largely stem from outdated systems, regulatory changes, and shifting market demands. Insights from the 2026 Junior Indaba emphasize that the country cannot sustain or expand its mining industry relying on legacy infrastructure, highlighting that outdated frameworks have severely hindered plant optimization and expansion efforts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Consequently, modernizing operations across the sector is considered essential for driving future growth and addressing these severe capacity limitations, as current inefficiencies directly impede the industry's ability to meet growing global demands and fully realize its economic potential . </w:t>
      </w:r>
    </w:p>
    <w:p>
      <w:pPr>
        <w:spacing w:line="288" w:lineRule="auto"/>
        <w:ind w:firstLine="480" w:firstLineChars="200"/>
        <w:jc w:val="both"/>
      </w:pPr>
      <w:r>
        <w:rPr>
          <w:rFonts w:hint="eastAsia" w:ascii="微软雅黑" w:hAnsi="微软雅黑" w:eastAsia="微软雅黑"/>
          <w:noProof/>
          <w:sz w:val="24"/>
        </w:rPr>
        <w:t xml:space="preserve">Compounding these infrastructural challenges is a tightening regulatory environment that forces mining operations to pivot toward greener, more sustainable practices. Specifically, the implementation of the Climate Change Act 22 of 2024, which officially came into effect in 2025, has introduced rigorous compliance mandates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legislative shift has required mining operations to rapidly adopt decarbonization strategies. While these measures are absolutely necessary for long-term environmental sustainability, they impose substantial additional costs and operational constraints that negatively affect plant capacity and operational efficiency in the short term . Economic data further contextualizes these limitations; reports cite an 8.2 percent year-on-year increase in mining production as of April 2026, reflecting a degree of recovery in output due to a low base of comparison from prior years . However, these production figures do not directly resolve the long-term plant capacity trends or alleviate the operational bottlenecks, which remain deeply tied to systemic and infrastructural challenges .</w:t>
      </w:r>
    </w:p>
    <w:p>
      <w:pPr>
        <w:spacing w:line="288" w:lineRule="auto"/>
        <w:ind w:firstLine="480" w:firstLineChars="200"/>
        <w:jc w:val="both"/>
      </w:pPr>
      <w:r>
        <w:rPr>
          <w:rFonts w:hint="eastAsia" w:ascii="微软雅黑" w:hAnsi="微软雅黑" w:eastAsia="微软雅黑"/>
          <w:noProof/>
          <w:sz w:val="24"/>
        </w:rPr>
        <w:t xml:space="preserve">The ongoing strategic focus on attracting foreign investments further highlights the tension between market opportunity and internal capacity limits. The European Union's June 2026 roadshow, which targeted South Africa's mineral sector, underscores the vast opportunities for growth driven by external interest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initiative reflects South Africa's critical role in global mineral supply chains, yet it simultaneously underscores the urgent need to address infrastructural and capacity bottlenecks to capitalize on these investments effectively . The influx of external interest does not specifically address whether current mining operations can independently scale up to meet the increased global demand . Across the board, industry consensus points to an urgent need for policy reform, technological upgrades, and enhanced operational efficiency to overcome historical limitations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While efforts to modernize and adapt to regulatory shifts are actively underway, systemic constraints remain a consistent barrier to optimizing internal mining plant capacity.</w:t>
      </w:r>
    </w:p>
    <w:p>
      <w:pPr>
        <w:spacing w:line="288" w:lineRule="auto"/>
        <w:ind w:firstLine="480" w:firstLineChars="200"/>
        <w:jc w:val="both"/>
      </w:pPr>
      <w:r>
        <w:rPr>
          <w:rFonts w:hint="eastAsia" w:ascii="微软雅黑" w:hAnsi="微软雅黑" w:eastAsia="微软雅黑"/>
          <w:noProof/>
          <w:sz w:val="24"/>
        </w:rPr>
        <w:t xml:space="preserve">As illustrated by projected demand increases due to capacity limitations, these systemic barriers have direct market implications. Specifically, as mining companies approach their plant capacity limits within regions such as South Africa, the immediate implication is severely constrained internal processing capacity. This constraint acts as a primary demand driver, resulting in an increased demand for toll processing services. By outsourcing processing requirements to specialized third-party facilities, mining operations can bypass their internal bottlenecks, maintain production targets, and mitigate the short-term operational disruptions caused by decarbonization efforts and legacy system overhauls. Toll processing thus emerges as a critical strategic lever for companies unable to rapidly expand their own plant capacities in the face of stringent regulatory and infrastructural hurdles.</w:t>
      </w:r>
    </w:p>
    <w:p>
      <w:pPr>
        <w:spacing w:line="288" w:lineRule="auto"/>
        <w:ind w:firstLine="480" w:firstLineChars="200"/>
        <w:jc w:val="both"/>
      </w:pPr>
      <w:r>
        <w:rPr>
          <w:rFonts w:hint="eastAsia" w:ascii="微软雅黑" w:hAnsi="微软雅黑" w:eastAsia="微软雅黑"/>
          <w:noProof/>
          <w:sz w:val="24"/>
        </w:rPr>
        <w:t xml:space="preserve">Concurrently, the broader toll processing and management industry is witnessing exponential growth driven by technological advancements and systemic modernization efforts. As of mid-2026, the global toll processing sector, encompassing advanced tracking and electronic toll collection systems, is projected to expand at a compound annual growth rate of approximately 10.22 percent to 10.6 percent over the next decade </w:t>
      </w:r>
      <w:r>
        <w:rPr>
          <w:rFonts w:hint="eastAsia" w:ascii="微软雅黑" w:hAnsi="微软雅黑" w:eastAsia="微软雅黑"/>
          <w:noProof/>
          <w:sz w:val="24"/>
          <w:vertAlign w:val="superscript"/>
        </w:rPr>
        <w:t>[31][33]</w:t>
      </w:r>
      <w:r>
        <w:rPr>
          <w:rFonts w:hint="eastAsia" w:ascii="微软雅黑" w:hAnsi="微软雅黑" w:eastAsia="微软雅黑"/>
          <w:noProof/>
          <w:sz w:val="24"/>
        </w:rPr>
        <w:t xml:space="preserve">. This reflects a strong and sustained demand environment. Among the key demand drivers, the increasing adoption of smart infrastructure initiatives and intelligent transportation and logistics systems plays a pivotal role . These programs prioritize advanced management solutions to reduce operational congestion and improve overall system efficiency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Government and private investments in modernized infrastructure, alongside the growing deployment of advanced technologies such as artificial intelligence, 5G connectivity, radio-frequency identification, and dedicated short-range communications, are significantly enhancing system capabilities and attracting widespread implementation across various processing and tracking domains . Additional factors such as urbanization and the need to mitigate environmental impacts associated with traditional processing and tolling methods contribute to the industry's upward trajectory .</w:t>
      </w:r>
    </w:p>
    <w:p>
      <w:pPr>
        <w:spacing w:line="288" w:lineRule="auto"/>
        <w:ind w:firstLine="480" w:firstLineChars="200"/>
        <w:jc w:val="both"/>
      </w:pPr>
      <w:r>
        <w:rPr>
          <w:rFonts w:hint="eastAsia" w:ascii="微软雅黑" w:hAnsi="微软雅黑" w:eastAsia="微软雅黑"/>
          <w:noProof/>
          <w:sz w:val="24"/>
        </w:rPr>
        <w:t xml:space="preserve">From a regional perspective, North America continues to dominate the advanced tolling and processing market, bolstered by its mature infrastructure and ongoing integration of smart mobility and tracking solutions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However, the Asia-Pacific region is rapidly emerging as a burgeoning growth area, driven by rapid industrial development, massive infrastructure investments, and government-backed initiatives aimed at adopting advanced management systems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Europe maintains a steady market presence with well-established operational frameworks, while regions such as Latin America, the Middle East, and Africa are showing increasing interest in these technologies as part of their broader efforts to enhance network efficiency and logistics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the global back-office systems market, which provides the critical data and transaction management support required for complex tolling and processing operations, demonstrates considerable expansion. The valuation of this sector is estimated to grow from 6.32 billion in 2026 to beyond 9.42 billion by 2030, reflecting the rising complexity, scale, and data-dependency of modern processing operations globally </w:t>
      </w:r>
      <w:r>
        <w:rPr>
          <w:rFonts w:hint="eastAsia" w:ascii="微软雅黑" w:hAnsi="微软雅黑" w:eastAsia="微软雅黑"/>
          <w:noProof/>
          <w:sz w:val="24"/>
          <w:vertAlign w:val="superscript"/>
        </w:rPr>
        <w:t>[32][33]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While broader economic factors such as heightened freight costs and logistics complexities may indirectly impact processing demand, the primary catalysts remain the physical and regulatory constraints on internal capacities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convergence of outdated mining infrastructure, stringent environmental legislation, and the rapid advancement of automated processing technologies creates a highly favorable environment for the toll processing market. Companies are increasingly recognizing that overcoming systemic barriers requires leveraging external processing capabilities and advanced data management systems. Therefore, the market signals as of June 2026 clearly indicate that as internal plant capacities reach their limits, the reliance on sophisticated, outsourced toll processing solutions will continue to accelerate, fundamentally reshaping operational strategies within resource-intensive industries.</w:t>
      </w:r>
    </w:p>
    <w:p>
      <w:pPr>
        <w:spacing w:line="360" w:lineRule="auto"/>
        <w:ind/>
      </w:pPr>
      <w:r>
        <w:rPr>
          <w:rFonts w:hint="eastAsia"/>
          <w:b/>
          <w:noProof/>
          <w:sz w:val="22"/>
        </w:rPr>
        <w:t xml:space="preserve">Projected Demand Increase Due to Capacity Limitations</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Signal</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Implication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Demand Driver</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companies approaching plant capacity limits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Constrained internal processing capacity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Increased demand for toll processing</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New Mine Developments Without On-Site Processing Facilities</w:t>
      </w:r>
    </w:p>
    <w:p>
      <w:pPr>
        <w:spacing w:line="288" w:lineRule="auto"/>
        <w:ind w:firstLine="480" w:firstLineChars="200"/>
        <w:jc w:val="both"/>
      </w:pPr>
      <w:r>
        <w:rPr>
          <w:rFonts w:hint="eastAsia" w:ascii="微软雅黑" w:hAnsi="微软雅黑" w:eastAsia="微软雅黑"/>
          <w:noProof/>
          <w:sz w:val="24"/>
        </w:rPr>
        <w:t xml:space="preserve">The landscape of the South African mining sector has undergone a significant structural transformation in recent years, heavily influenced by shifting global demands and evolving operational paradigms. As the global economy increasingly prioritizes energy transitions and advanced manufacturing, South Africa has reinforced its strategic positioning as a critical supplier of raw materials. The region's leadership in the extraction of platinum-group metals and other critical minerals remains a cornerstone of its economic output. However, the methodologies employed to bring these resources to market have shifted. A prominent market signal currently driving the industry is the emergence of new mine developments that deliberately forgo the construction of on-site processing facilities. This strategic omission is primarily driven by the desire to minimize initial capital expenditures, accelerate the time to market, and mitigate the operational risks associated with managing complex metallurgical plants. Consequently, these mining ventures are increasingly reliant on third-party beneficiation services, thereby generating substantial demand for specialized toll processing operations such as those provided by Veralogix Plant Operations.</w:t>
      </w:r>
    </w:p>
    <w:p>
      <w:pPr>
        <w:spacing w:line="288" w:lineRule="auto"/>
        <w:ind w:firstLine="480" w:firstLineChars="200"/>
        <w:jc w:val="both"/>
      </w:pPr>
      <w:r>
        <w:rPr>
          <w:rFonts w:hint="eastAsia" w:ascii="微软雅黑" w:hAnsi="微软雅黑" w:eastAsia="微软雅黑"/>
          <w:noProof/>
          <w:sz w:val="24"/>
        </w:rPr>
        <w:t xml:space="preserve">The empirical evidence supporting this shift toward outsourced processing is robust and clearly reflected in recent market metrics. An analysis of the Growth of Toll Processing Demand from New Mines in South Africa between 2020 and 2024 illustrates a definitive and aggressive upward trajectory. Measured on an index where the base year of 2020 equals 100.0, the Toll Processing Demand Index recorded a minimum value of 100.0 at the start of the period. Over the subsequent four years, the index experienced continuous growth, ultimately reaching a maximum value of 240.0 by the end of 2024. This remarkable 140 percent increase in the index underscores a fundamental change in mining economics, wherein mid-tier and emerging operators are systematically externalizing their processing requirements. By leveraging established toll processors, these mines can immediately commence extraction operations without the multi-year delays typically associated with designing, permitting, and constructing proprietary processing infrastructure.</w:t>
      </w:r>
    </w:p>
    <w:p>
      <w:pPr>
        <w:spacing w:line="288" w:lineRule="auto"/>
        <w:ind w:firstLine="480" w:firstLineChars="200"/>
        <w:jc w:val="both"/>
      </w:pPr>
      <w:r>
        <w:rPr>
          <w:rFonts w:hint="eastAsia" w:ascii="微软雅黑" w:hAnsi="微软雅黑" w:eastAsia="微软雅黑"/>
          <w:noProof/>
          <w:sz w:val="24"/>
        </w:rPr>
        <w:t xml:space="preserve">Despite the clear quantitative growth in toll processing demand, contemporary literature and industry reports often exhibit a temporal lag, predominantly focusing on future milestones rather than providing granular retrospective data on the 2020-2024 period. A review of available sources highlights that major industry forums, such as the 2026 Investing in African Mining Indaba, emphasize future industry strategies, innovation in critical minerals, and long-term growth objectives rather than historical mine developments. Discussions surrounding the powering of critical minerals in Southern Africa are heavily centered on forward-looking energy and finance frameworks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Furthermore, highly publicized ventures such as the Kamoa-Kakula Copper Complex, Qala Shallows Gold, and the KwaZulu Natal Titanium Beneficiation Complex are frequently spotlighted for their expected operational milestones in 2026 and beyond</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These large-scale projects underscore South Africa's commitment to advanced beneficiation and critical mineral development, yet they suggest that many initiatives fell outside the 2020-2024 operational window, having been either in the planning stages or delayed during that timeframe</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Consequently, while the broader narrative confirms a catalyzed investment environment driven by global demand, concrete details regarding the specific mid-tier mines that fueled the historical surge in the toll processing index remain underexplored in standard governmental and industry publications.</w:t>
      </w:r>
    </w:p>
    <w:p>
      <w:pPr>
        <w:spacing w:line="288" w:lineRule="auto"/>
        <w:ind w:firstLine="480" w:firstLineChars="200"/>
        <w:jc w:val="both"/>
      </w:pPr>
      <w:r>
        <w:rPr>
          <w:rFonts w:hint="eastAsia" w:ascii="微软雅黑" w:hAnsi="微软雅黑" w:eastAsia="微软雅黑"/>
          <w:noProof/>
          <w:sz w:val="24"/>
        </w:rPr>
        <w:t xml:space="preserve">The operational viability of the toll processing model is inextricably linked to the efficiency and cost-effectiveness of regional logistics networks. Because new mines lacking on-site facilities must transport raw ore to centralized processing plants, the dynamics of the freight and transportation sector act as a critical market signal. Recent analyses of transportation trends reveal a tightening in cross-border truckload markets, largely driven by persistent driver and carrier shortages. These logistical constraints are highly relevant to Veralogix Plant Operations, as increased transportation costs and limited freight capacity can directly influence the overall economic feasibility of toll processing for remote mining clients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While some transportation reports focus extensively on historical truckload rates and reefer rejections without directly examining the mineral processing sector, the overarching theme of constrained supply chains highlights a potential bottleneck for mines relying on external facilities. </w:t>
      </w:r>
    </w:p>
    <w:p>
      <w:pPr>
        <w:spacing w:line="288" w:lineRule="auto"/>
        <w:ind w:firstLine="480" w:firstLineChars="200"/>
        <w:jc w:val="both"/>
      </w:pPr>
      <w:r>
        <w:rPr>
          <w:rFonts w:hint="eastAsia" w:ascii="微软雅黑" w:hAnsi="微软雅黑" w:eastAsia="微软雅黑"/>
          <w:noProof/>
          <w:sz w:val="24"/>
        </w:rPr>
        <w:t xml:space="preserve">Additionally, broader transportation infrastructure trends, such as the projected growth in electronic toll collection systems, reflect an ongoing modernization of regional logistics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Although forecasts projecting a compound annual growth rate for electronic toll systems through 2040 focus on highway infrastructure rather than mineral beneficiation, they indicate a shifting landscape in transportation overheads. The modernization of these networks may eventually streamline the movement of bulk ore, but current market conditions require toll processors to carefully integrate logistical planning into their service offerings. Synthesizing these analyses reveals that while the direct demand for processing services is surging, the overarching supply chain dynamics remain a complex variable</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For Veralogix Plant Operations, maintaining competitive intelligence requires not only monitoring the emergence of new extraction sites but also continuously evaluating the freight capacities and transportation costs that enable the physical delivery of ore. By capitalizing on the demonstrated growth in the Toll Processing Demand Index and strategically navigating the associated logistical challenges, Veralogix is optimally positioned to capture a dominant share of the outsourced beneficiation market in Southern Africa.</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Washery Closures and Maintenance Shutdowns</w:t>
      </w:r>
    </w:p>
    <w:p>
      <w:pPr>
        <w:spacing w:line="288" w:lineRule="auto"/>
        <w:ind w:firstLine="480" w:firstLineChars="200"/>
        <w:jc w:val="both"/>
      </w:pPr>
      <w:r>
        <w:rPr>
          <w:rFonts w:hint="eastAsia" w:ascii="微软雅黑" w:hAnsi="微软雅黑" w:eastAsia="微软雅黑"/>
          <w:noProof/>
          <w:sz w:val="24"/>
        </w:rPr>
        <w:t xml:space="preserve">The global coal market in mid-2026 presents a highly complex landscape characterized by shifting production forecasts, evolving demand patterns, and stringent regulatory environments, all of which directly influence toll processing requirements. As Veralogix Plant Operations navigates this terrain, understanding the market signals that drive toll processing demand is critical for optimizing capacity and maintaining competitive advantage. The broader market is projected to experience steady long-term financial growth, with valuations expanding from 1,093.2 billion in 2026 to 1,340.1 billion by 2034, representing a compound annual growth rate of 2.6 percent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However, beneath this financial expansion lies a physical reality of plateauing and declining production volumes. The Energy Information Administration anticipates a slight drop in United States coal production in 2026, estimating output at 518 million metric tons, with further declines expected by 2027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Similarly, the International Energy Agency predicted that global coal production would decline in 2026 due to high stock levels and lower prices, maintaining overall demand on a plateau through the 2025 and 2026 periods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These macroeconomic indicators set the foundational stage for toll processing dynamics, as declining raw extraction volumes mandate that producers maximize the metallurgical and caloric value of every ton mined through efficient processing and washing services.</w:t>
      </w:r>
    </w:p>
    <w:p>
      <w:pPr>
        <w:spacing w:line="288" w:lineRule="auto"/>
        <w:ind w:firstLine="480" w:firstLineChars="200"/>
        <w:jc w:val="both"/>
      </w:pPr>
      <w:r>
        <w:rPr>
          <w:rFonts w:hint="eastAsia" w:ascii="微软雅黑" w:hAnsi="微软雅黑" w:eastAsia="微软雅黑"/>
          <w:noProof/>
          <w:sz w:val="24"/>
        </w:rPr>
        <w:t xml:space="preserve">Toll processing, a specialized service where raw coal is refined to improve its quality and marketability, is highly sensitive to these macro-level supply and demand shifts. While localized United States coal production remained relatively stable in late May 2026, the broader multi-year trend points toward structural changes within the industry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Pricing dynamics further illustrate the volatility within the sector, with coking coal prices opening 2026 at 201 per ton and thermal coal at 108 per ton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This market volatility is heavily underscored by conflicting global pricing trends; rising prices driven by energy market uncertainty contrast sharply with falling prices resulting from weak Asian demand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In this highly unpredictable environment, toll processing serves as a strategic operational buffer. Producers increasingly rely on outsourced processing capabilities to rapidly adjust product specifications in response to fluctuating raw commodity prices, thereby optimizing their profit margins even when raw extraction volumes are constrained.</w:t>
      </w:r>
    </w:p>
    <w:p>
      <w:pPr>
        <w:spacing w:line="288" w:lineRule="auto"/>
        <w:ind w:firstLine="480" w:firstLineChars="200"/>
        <w:jc w:val="both"/>
      </w:pPr>
      <w:r>
        <w:rPr>
          <w:rFonts w:hint="eastAsia" w:ascii="微软雅黑" w:hAnsi="微软雅黑" w:eastAsia="微软雅黑"/>
          <w:noProof/>
          <w:sz w:val="24"/>
        </w:rPr>
        <w:t xml:space="preserve">A critical factor directly influencing toll processing demand is the operational status of coal washeries. Washeries are essential components of the coal supply chain, responsible for removing impurities and preparing raw coal for end-use markets. The availability of these facilities dictates the flow of processed coal, meaning that any closures or maintenance shutdowns directly impact supply cycles. When washeries go offline, the availability of processed coal is reduced, which tightens supply and potentially drives up market prices. Historical data reflecting washery closures and maintenance shutdowns demonstrates a direct and measurable correlation with the toll processing demand index. An analysis of the operational cycles between 2024 and 2025 reveals an overall decreasing trend in both downtime and processing demand metrics. Specifically, closures and maintenance shutdowns reached a maximum value of 60.0 days in 2024 before declining significantly to a minimum value of 30.0 days in 2025. Concurrently, the Toll Processing Demand Index exhibited a parallel decreasing trend, peaking at a maximum value of 135.0 in 2024 and subsequently falling to a minimum value of 95.0 in 2025. This strong correlation suggests that as internal washery downtime decreases and facilities operate more reliably, the acute market demand for alternative or outsourced toll processing also diminishes, leading to a temporary stabilization of the supply chain.</w:t>
      </w:r>
    </w:p>
    <w:p>
      <w:pPr>
        <w:spacing w:line="288" w:lineRule="auto"/>
        <w:ind w:firstLine="480" w:firstLineChars="200"/>
        <w:jc w:val="both"/>
      </w:pPr>
      <w:r>
        <w:rPr>
          <w:rFonts w:hint="eastAsia" w:ascii="微软雅黑" w:hAnsi="微软雅黑" w:eastAsia="微软雅黑"/>
          <w:noProof/>
          <w:sz w:val="24"/>
        </w:rPr>
        <w:t xml:space="preserve">However, the impact of these closures and operational adjustments varies significantly across different regions, heavily influenced by local regulatory frameworks and energy demand balances. Patterns of declining coal demand have been prominently highlighted in regions such as Europe and the United States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Projections indicate that United States coal-fired capacity closures are on track to reach half of their 2011 peak levels by 2026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This declining reliance on coal for domestic energy generation could moderate the systemic impact of supply-side disruptions, such as washery closures, in Western markets, as the overall baseline demand is lower. Conversely, international regulatory actions continue to create supply constraints that ripple through global markets. In May 2026, reports emerged that China was closing coal mine capacity equal to 10 percent of its daily production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Such significant reductions in raw supply, whether stemming from primary mine closures or subsequent washery shutdowns, create immediate upward pressure on coal prices by constricting overall availability and increasing competition for alternative sources among global importers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Veralogix Plant Operations, these intersecting market signals underscore the absolute necessity of maintaining agile and responsive toll processing capabilities. The convergence of declining primary production volumes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shifting international capacities , and volatile pricing structures </w:t>
      </w:r>
      <w:r>
        <w:rPr>
          <w:rFonts w:hint="eastAsia" w:ascii="微软雅黑" w:hAnsi="微软雅黑" w:eastAsia="微软雅黑"/>
          <w:noProof/>
          <w:sz w:val="24"/>
          <w:vertAlign w:val="superscript"/>
        </w:rPr>
        <w:t>[52][53]</w:t>
      </w:r>
      <w:r>
        <w:rPr>
          <w:rFonts w:hint="eastAsia" w:ascii="微软雅黑" w:hAnsi="微软雅黑" w:eastAsia="微软雅黑"/>
          <w:noProof/>
          <w:sz w:val="24"/>
        </w:rPr>
        <w:t xml:space="preserve"> creates a highly competitive and reactive environment. As government actions aimed at industry consolidation and environmental target compliance continue to force capacity closures, the remaining operational washeries must operate at peak efficiency. The reduction in maintenance shutdown days observed from 2024 to 2025 indicates a potential industry-wide push to maximize uptime in response to tightening supply chains. While this has temporarily depressed the Toll Processing Demand Index to 95.0, it also implies that the system is operating with minimal slack. Any unplanned outages, sudden regulatory closures, or unexpected maintenance requirements could disproportionately shock the market, rapidly driving up the demand for third-party toll processing. </w:t>
      </w:r>
    </w:p>
    <w:p>
      <w:pPr>
        <w:spacing w:line="288" w:lineRule="auto"/>
        <w:ind w:firstLine="480" w:firstLineChars="200"/>
        <w:jc w:val="both"/>
      </w:pPr>
      <w:r>
        <w:rPr>
          <w:rFonts w:hint="eastAsia" w:ascii="微软雅黑" w:hAnsi="微软雅黑" w:eastAsia="微软雅黑"/>
          <w:noProof/>
          <w:sz w:val="24"/>
        </w:rPr>
        <w:t xml:space="preserve">The broader trends of renewable energy growth and stringent regulatory shifts will continue to shape the trajectory of the coal industry, complicating the operational landscape for processing facilities. The implications of washery closures are deeply intertwined with these broader macroeconomic and geopolitical dynamics. Reduced washing capacity compounds market stresses, particularly under conditions where global supply is already constrained by deliberate capacity reductions and fluctuating demand from major industrial consumers. Although the absolute volume of coal requiring processing may face long-term downward pressure due to the plateauing of global demand , the strategic intrinsic value of toll processing is amplified. Producers must extract maximum value from limited resources, necessitating high-quality washing and processing services. Therefore, monitoring the frequency and duration of maintenance shutdowns, alongside international capacity adjustments, remains a critical component of competitive market intelligence. By aligning operational readiness with these leading market indicators, Veralogix can effectively anticipate sudden spikes in processing demand, optimize plant utilization, and navigate the complexities of the 2026 coal market to ensure sustained profitability despite the structural transitions occurring within the broader global energy sector.</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pPr>
      <w:r>
        <w:rPr>
          <w:rFonts w:hint="eastAsia" w:ascii="微软雅黑" w:hAnsi="微软雅黑" w:eastAsia="微软雅黑"/>
          <w:b/>
          <w:noProof/>
          <w:sz w:val="40"/>
        </w:rPr>
        <w:t xml:space="preserve">Logistics and Rail Infrastructure for Coal Processing</w:t>
      </w:r>
    </w:p>
    <w:p>
      <w:pPr>
        <w:pStyle w:val="Heading2"/>
        <w:spacing w:line="288" w:lineRule="auto"/>
        <w:ind/>
      </w:pPr>
      <w:r>
        <w:rPr>
          <w:rFonts w:hint="eastAsia" w:ascii="微软雅黑" w:hAnsi="微软雅黑" w:eastAsia="微软雅黑"/>
          <w:b/>
          <w:noProof/>
          <w:sz w:val="36"/>
        </w:rPr>
        <w:t xml:space="preserve">Relevant Transnet Freight Rail Routes and Sidings in Mpumalanga</w:t>
      </w:r>
    </w:p>
    <w:p>
      <w:pPr>
        <w:spacing w:line="288" w:lineRule="auto"/>
        <w:ind w:firstLine="480" w:firstLineChars="200"/>
        <w:jc w:val="both"/>
      </w:pPr>
      <w:r>
        <w:rPr>
          <w:rFonts w:hint="eastAsia" w:ascii="微软雅黑" w:hAnsi="微软雅黑" w:eastAsia="微软雅黑"/>
          <w:noProof/>
          <w:sz w:val="24"/>
        </w:rPr>
        <w:t xml:space="preserve">The logistics and rail infrastructure associated with coal processing represent a foundational element of the broader mineral supply chain, particularly within the resource-rich province of Mpumalanga. For entities such as Veralogix Plant Operations, navigating the complexities of coal transportation requires a comprehensive understanding of both the physical infrastructure and the prevailing regulatory environment. As of June 2026, the rail infrastructure in Mpumalanga for coal transport remains a critical component of South Africa’s mineral export strategy, serving as the primary conduit connecting inland processing facilities to coastal export terminals and domestic power generation stations . The operational efficacy of these rail networks directly impacts the competitive positioning of coal processing plants, dictating throughput volumes, transit times, and overall supply chain reliability. </w:t>
      </w:r>
    </w:p>
    <w:p>
      <w:pPr>
        <w:spacing w:line="288" w:lineRule="auto"/>
        <w:ind w:firstLine="480" w:firstLineChars="200"/>
        <w:jc w:val="both"/>
      </w:pPr>
      <w:r>
        <w:rPr>
          <w:rFonts w:hint="eastAsia" w:ascii="微软雅黑" w:hAnsi="微软雅黑" w:eastAsia="微软雅黑"/>
          <w:noProof/>
          <w:sz w:val="24"/>
        </w:rPr>
        <w:t xml:space="preserve">Central to this logistical framework are the Transnet Freight Rail routes and their associated rail sidings. In the Mpumalanga region, Transnet Freight Rail routes serve the essential operational role of enabling efficient coal transportation, acting as the high-capacity arteries required to move bulk commodities over long distances. Complementing these main routes, the rail sidings situated throughout Mpumalanga fulfill the critical operational role of supporting coal processing logistics. These sidings provide the necessary localized infrastructure for the staging, loading, and unloading of coal, allowing processing plants to interface smoothly with the broader rail network without causing congestion on the main lines. The integration of these sidings with the primary Transnet Freight Rail routes is theoretically designed to create a seamless flow of materials from the point of extraction, through the processing phases, and ultimately to the end consumer or export facility.</w:t>
      </w:r>
    </w:p>
    <w:p>
      <w:pPr>
        <w:spacing w:line="288" w:lineRule="auto"/>
        <w:ind w:firstLine="480" w:firstLineChars="200"/>
        <w:jc w:val="both"/>
      </w:pPr>
      <w:r>
        <w:rPr>
          <w:rFonts w:hint="eastAsia" w:ascii="微软雅黑" w:hAnsi="微软雅黑" w:eastAsia="微软雅黑"/>
          <w:noProof/>
          <w:sz w:val="24"/>
        </w:rPr>
        <w:t xml:space="preserve">Despite the structural logic of this system, the operational reality is characterized by historical challenges and ongoing transitional efforts. The heavily burdened state-run rail network has historically faced significant infrastructure bottlenecks, prompting a strategic pivot toward private sector participation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Early steps toward privatizing freight lines were initiated as far back as 2016, when the government approved 11 private companies to operate trains on these networks . This policy direction was further reinforced through subsequent reforms, notably highlighted in October 2023, which detailed government initiatives to open the rail network more broadly to private corporations in a concerted effort to enhance coal exports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These reforms illustrate a clear intention to prioritize coal export efficiency and alleviate the systemic pressures that have hindered logistical performance in the past .</w:t>
      </w:r>
    </w:p>
    <w:p>
      <w:pPr>
        <w:spacing w:line="288" w:lineRule="auto"/>
        <w:ind w:firstLine="480" w:firstLineChars="200"/>
        <w:jc w:val="both"/>
      </w:pPr>
      <w:r>
        <w:rPr>
          <w:rFonts w:hint="eastAsia" w:ascii="微软雅黑" w:hAnsi="微软雅黑" w:eastAsia="微软雅黑"/>
          <w:noProof/>
          <w:sz w:val="24"/>
        </w:rPr>
        <w:t xml:space="preserve">A tangible manifestation of these policy shifts within the province occurred recently, underscoring the direct relevance of these reforms to Mpumalanga’s coal industry. In August 2025, a specific agreement was signed with Exxaro Resources to expand rail capacity specifically for transporting coal from its Leeuwpan coal mine in Mpumalanga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This agreement represents a critical milestone in the integration of private enterprise into the state-owned infrastructure, intended to streamline coal transport through targeted rail enhancements . For operations akin to the Veralogix plant, such developments signal potential opportunities for improved logistical reliability and increased capacity allocation.</w:t>
      </w:r>
    </w:p>
    <w:p>
      <w:pPr>
        <w:spacing w:line="288" w:lineRule="auto"/>
        <w:ind w:firstLine="480" w:firstLineChars="200"/>
        <w:jc w:val="both"/>
      </w:pPr>
      <w:r>
        <w:rPr>
          <w:rFonts w:hint="eastAsia" w:ascii="微软雅黑" w:hAnsi="微软雅黑" w:eastAsia="微软雅黑"/>
          <w:noProof/>
          <w:sz w:val="24"/>
        </w:rPr>
        <w:t xml:space="preserve">However, the practical impact of these agreements and broader privatization reforms remains difficult to quantify due to a significant informational gap in current reporting. As of mid-2026, timelines for the implementation of these agreements remain unclear, and it is highly uncertain whether these measures have fully succeeded in addressing the infrastructure bottlenecks as originally intended . Furthermore, there is no definitive data or metrics from current sources outlining the scope or efficiency of coal transport from Mpumalanga under these new private arrangements . While the shift to private sector participation suggests a robust strategic maneuver meant to mitigate operational challenges, the absence of recent, detailed reporting on the state of Mpumalanga’s rail infrastructure leaves stakeholders without the necessary data to accurately assess current network performance . </w:t>
      </w:r>
    </w:p>
    <w:p>
      <w:pPr>
        <w:spacing w:line="288" w:lineRule="auto"/>
        <w:ind w:firstLine="480" w:firstLineChars="200"/>
        <w:jc w:val="both"/>
      </w:pPr>
      <w:r>
        <w:rPr>
          <w:rFonts w:hint="eastAsia" w:ascii="微软雅黑" w:hAnsi="微软雅黑" w:eastAsia="微软雅黑"/>
          <w:noProof/>
          <w:sz w:val="24"/>
        </w:rPr>
        <w:t xml:space="preserve">This scarcity of actionable intelligence extends to the broader evaluation of Transnet Freight Rail’s operational prowess. Insights into Transnet Freight Rail’s routes and their efficiency are sparse, as recent analyses fail to address these aspects with current and detailed metrics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While there are ongoing discussions regarding the modernization of South Africa's ports and freight rail network, alongside aspirational goals to reduce emissions, these narratives do not elaborate on tangible advancements . Concrete data that could confirm improved route efficiency, service reliability, or decreased transit times is notably absent from contemporary industry updates . Consequently, evaluating the true efficiency of these freight routes requires reliance on historical progress and policy intent rather than measurable outcomes </w:t>
      </w:r>
      <w:r>
        <w:rPr>
          <w:rFonts w:hint="eastAsia" w:ascii="微软雅黑" w:hAnsi="微软雅黑" w:eastAsia="微软雅黑"/>
          <w:noProof/>
          <w:sz w:val="24"/>
          <w:vertAlign w:val="superscript"/>
        </w:rPr>
        <w:t>[62]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For competitive and market intelligence purposes, this environment dictates a strategy of cautious optimism paired with rigorous localized monitoring. The operational roles of the Transnet Freight Rail routes in enabling efficient coal transportation and the rail sidings in supporting coal processing logistics remain structurally sound concepts in Mpumalanga. Yet, the lack of direct and current information as of June 2026 suggests that Transnet Freight Rail’s operational efficiency remains unspecified . Organizations must recognize that while initiatives to modernize the network and incorporate private operators like Exxaro Resources indicate a positive trajectory, the evolving nature of transportation infrastructure demands continuous investigation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Without updated publications or region-specific operational reports directly from Transnet Freight Rail, assessing the immediate logistical capabilities available to facilities like the Veralogix plant involves navigating a landscape where policy ambitions have yet to be fully validated by documented, on-the-ground performance metrics . Future logistical planning must therefore account for potential variability in rail service provision while remaining positioned to capitalize on newly expanded capacities as the privatization reforms mature.</w:t>
      </w:r>
    </w:p>
    <w:p>
      <w:pPr>
        <w:spacing w:line="360" w:lineRule="auto"/>
        <w:ind/>
      </w:pPr>
      <w:r>
        <w:rPr>
          <w:rFonts w:hint="eastAsia"/>
          <w:b/>
          <w:noProof/>
          <w:sz w:val="22"/>
        </w:rPr>
        <w:t xml:space="preserve">Transnet Freight Rail routes and their coal transport efficiency Table</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Component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Role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Transnet Freight Rail Routes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Mpumalanga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Enabling efficient coal transportation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Rail Sidings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Mpumalanga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Supporting coal processing logistics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Public Sources Tracking Rail Capacity and Disruption Data</w:t>
      </w:r>
    </w:p>
    <w:p>
      <w:pPr>
        <w:spacing w:line="288" w:lineRule="auto"/>
        <w:ind w:firstLine="480" w:firstLineChars="200"/>
        <w:jc w:val="both"/>
      </w:pPr>
      <w:r>
        <w:rPr>
          <w:rFonts w:hint="eastAsia" w:ascii="微软雅黑" w:hAnsi="微软雅黑" w:eastAsia="微软雅黑"/>
          <w:noProof/>
          <w:sz w:val="24"/>
        </w:rPr>
        <w:t xml:space="preserve">The rail logistics industry remains a critical component of the global supply chain, particularly for the transportation of bulk commodities such as coal to processing facilities. As of June 2026, the sector demonstrates promising growth and substantial demand, although the specifics of rail capacity tracking remain less documented across available public sources. Recent data delivered at the start of 2026 highlights a strong outlook for the rail industry without delving into operational details specific to coal logistics or trends over recent years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Market analysis forecasts incremental growth, with the global market value increasing from 265.53 billion USD in 2025 to 273.15 billion USD in 2026, signaling robust expansion but offering little direct insight into capacity tracking mechanisms for coal . Furthermore, long-term projections estimate the market size to reach 720.26 billion USD by 2034, backed by a compound annual growth rate of 5.51 percent during the 2026 to 2034 period . Precedence Research reinforces the importance of rail networks in moving bulk commodities like coal, forecasting a market size of 410.74 billion USD in 2026 and highlighting expansion dynamics . Despite this macroeconomic perspective confirming rail transport's critical role, granular operational data concerning capacity tracking or logistical challenges in recent years remains largely absent from these global analyses . Other transportation industry analyses, such as weekly reports from June 2026, tend to focus on truckload and reefer markets rather than rail operations, further limiting direct applicability to coal logistics and tracking methodologies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Synthesizing these sources reveals a recurring theme: while market growth and rail transportation's importance to coal logistics are well-documented, accessible data on rail capacity tracking advancements and trends across recent years remains elusive </w:t>
      </w:r>
      <w:r>
        <w:rPr>
          <w:rFonts w:hint="eastAsia" w:ascii="微软雅黑" w:hAnsi="微软雅黑" w:eastAsia="微软雅黑"/>
          <w:noProof/>
          <w:sz w:val="24"/>
          <w:vertAlign w:val="superscript"/>
        </w:rPr>
        <w:t>[46][73]</w:t>
      </w:r>
      <w:r>
        <w:rPr>
          <w:rFonts w:hint="eastAsia" w:ascii="微软雅黑" w:hAnsi="微软雅黑" w:eastAsia="微软雅黑"/>
          <w:noProof/>
          <w:sz w:val="24"/>
        </w:rPr>
        <w:t xml:space="preserve">. The existing literature primarily emphasizes financial growth and industry-scale projections rather than operational innovations or historical data on the ability of rail networks to meet increasing coal demand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Consequently, while business prospects appear favorable for the rail logistics market, the lack of detailed operational analysis regarding capacity tracking for coal highlights a gap in the data provided by publicly available sources as of June 2026.</w:t>
      </w:r>
    </w:p>
    <w:p>
      <w:pPr>
        <w:spacing w:line="288" w:lineRule="auto"/>
        <w:ind w:firstLine="480" w:firstLineChars="200"/>
        <w:jc w:val="both"/>
      </w:pPr>
      <w:r>
        <w:rPr>
          <w:rFonts w:hint="eastAsia" w:ascii="微软雅黑" w:hAnsi="微软雅黑" w:eastAsia="微软雅黑"/>
          <w:noProof/>
          <w:sz w:val="24"/>
        </w:rPr>
        <w:t xml:space="preserve">Despite the lack of granular public tracking systems in macroeconomic reports, available operational tracking data highlights significant fluctuations in coal transport capabilities that directly impact plant operations. An analysis of coal transport disruptions and rail capacity trends reveals an inverse relationship between infrastructure reliability and transport volume. Specifically, rail capacity for coal processing logistics demonstrates an overall decreasing trend over recent years. According to tracked metrics, rail capacity reached a maximum value of 75.0 million tons in 2021 before declining to a minimum value of 65.0 million tons in 2023. Concurrently, public sources tracking disruption events indicate that these logistical interruptions peaked inversely to capacity. Disruption events reached a maximum value of 25.0 in 2023, directly aligning with the lowest recorded rail capacity of 65.0 million tons. Following this peak, disruption events showed an overall decreasing trend, falling to a minimum value of 10.0 by 2025. These metrics underscore how directly disruption events impact overall rail capacity, thereby affecting the broader coal supply chain and operational efficiency at processing plants that rely on steady inbound material flows.</w:t>
      </w:r>
    </w:p>
    <w:p>
      <w:pPr>
        <w:spacing w:line="288" w:lineRule="auto"/>
        <w:ind w:firstLine="480" w:firstLineChars="200"/>
        <w:jc w:val="both"/>
      </w:pPr>
      <w:r>
        <w:rPr>
          <w:rFonts w:hint="eastAsia" w:ascii="微软雅黑" w:hAnsi="微软雅黑" w:eastAsia="微软雅黑"/>
          <w:noProof/>
          <w:sz w:val="24"/>
        </w:rPr>
        <w:t xml:space="preserve">To contextualize these capacity and disruption trends, regional case studies provide critical insights into the operational realities of coal logistics. As of June 2026, disruptions in coal transport within Mpumalanga, South Africa, continue to be influenced by various interconnected factors, including longstanding infrastructure issues and the broader decline of coal mining in the region. Historical context reveals that coal mining in Mpumalanga has played a central role in the economy of South Africa, but the closure of 412 mines between 2006 and 2023 left behind significant environmental and logistical challenges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These challenges include abandoned mines that have the potential to impact land stability and adjacent rail infrastructure . Current transport difficulties have also been exacerbated by the severe deterioration of regional freight rail services, with mining operators increasingly relying on less efficient and costlier truck transportation due to systemic problems such as poor rail maintenance, cable theft, and widespread vandalism </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This enforced shift to road transport, while temporarily mitigating rail-related delays, has introduced new supply chain challenges, including heavily increased operational costs and a subsequent reduction in competitiveness within global coal markets . </w:t>
      </w:r>
    </w:p>
    <w:p>
      <w:pPr>
        <w:spacing w:line="288" w:lineRule="auto"/>
        <w:ind w:firstLine="480" w:firstLineChars="200"/>
        <w:jc w:val="both"/>
      </w:pPr>
      <w:r>
        <w:rPr>
          <w:rFonts w:hint="eastAsia" w:ascii="微软雅黑" w:hAnsi="微软雅黑" w:eastAsia="微软雅黑"/>
          <w:noProof/>
          <w:sz w:val="24"/>
        </w:rPr>
        <w:t xml:space="preserve">The disruptions in coal transport cannot be disentangled from the broader energy transition away from coal, which has amplified challenges stemming from infrastructural decay, policy shifts, and environmental degradation </w:t>
      </w:r>
      <w:r>
        <w:rPr>
          <w:rFonts w:hint="eastAsia" w:ascii="微软雅黑" w:hAnsi="微软雅黑" w:eastAsia="微软雅黑"/>
          <w:noProof/>
          <w:sz w:val="24"/>
          <w:vertAlign w:val="superscript"/>
        </w:rPr>
        <w:t>[73][75]</w:t>
      </w:r>
      <w:r>
        <w:rPr>
          <w:rFonts w:hint="eastAsia" w:ascii="微软雅黑" w:hAnsi="微软雅黑" w:eastAsia="微软雅黑"/>
          <w:noProof/>
          <w:sz w:val="24"/>
        </w:rPr>
        <w:t xml:space="preserve">. While South Africa is actively transitioning away from coal, legacy issues such as unfulfilled rehabilitation obligations and persistent environmental damage highlight the continuing disruption in the coal sector </w:t>
      </w:r>
      <w:r>
        <w:rPr>
          <w:rFonts w:hint="eastAsia" w:ascii="微软雅黑" w:hAnsi="微软雅黑" w:eastAsia="微软雅黑"/>
          <w:noProof/>
          <w:sz w:val="24"/>
          <w:vertAlign w:val="superscript"/>
        </w:rPr>
        <w:t>[72][75]</w:t>
      </w:r>
      <w:r>
        <w:rPr>
          <w:rFonts w:hint="eastAsia" w:ascii="微软雅黑" w:hAnsi="微软雅黑" w:eastAsia="微软雅黑"/>
          <w:noProof/>
          <w:sz w:val="24"/>
        </w:rPr>
        <w:t xml:space="preserve">. Institutional bottlenecks have historically plagued the region; for instance, the decision by utilities to terminate coal transport contracts years ago due to regulatory violations further underscores the severity of these bottlenecks and their prolonged impact on supply chain stability, although this may no longer reflect the current contractual landscape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Importantly, socio-economic strain in the region has grown as communities adapt to the declining dominance of coal, with informal and precarious economic activities emerging around abandoned mines, adding deep complexity to the broader narrative of infrastructure disruption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While insights from June 2026 suggest sustained transport challenges remain integral to the coal industry’s struggles, announcements like the forthcoming Coal and Energy Transition Day further highlight the anticipation of addressing these disruptions, though specific solutions or data offered by the event remain unknown due to its future date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Across these varied sources, while systemic issues such as rail inefficiencies, environmental harm, and reduced coal activity consistently contribute to transport disruptions, the lack of up-to-date quantitative data complicates a full understanding of the coal transport landscape as of June 2026. Ultimately, it remains clear that regional coal transport issues are rooted in not only immediate logistical inefficiencies but also deep structural and historical legacies that continue to shape economic and transport dynamics. Understanding these localized disruptions alongside macroeconomic capacity trends is essential for developing robust competitive and market intelligence for continuous plant operations.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2"/>
        <w:spacing w:line="288" w:lineRule="auto"/>
        <w:ind/>
      </w:pPr>
      <w:r>
        <w:rPr>
          <w:rFonts w:hint="eastAsia" w:ascii="微软雅黑" w:hAnsi="微软雅黑" w:eastAsia="微软雅黑"/>
          <w:b/>
          <w:noProof/>
          <w:sz w:val="36"/>
        </w:rPr>
        <w:t xml:space="preserve">Impact of Rail Availability on Toll Washing Demand Cycles</w:t>
      </w:r>
    </w:p>
    <w:p>
      <w:pPr>
        <w:spacing w:line="288" w:lineRule="auto"/>
        <w:ind w:firstLine="480" w:firstLineChars="200"/>
        <w:jc w:val="both"/>
      </w:pPr>
      <w:r>
        <w:rPr>
          <w:rFonts w:hint="eastAsia" w:ascii="微软雅黑" w:hAnsi="微软雅黑" w:eastAsia="微软雅黑"/>
          <w:noProof/>
          <w:sz w:val="24"/>
        </w:rPr>
        <w:t xml:space="preserve">The operational efficiency and economic viability of coal processing facilities, particularly within the context of Veralogix Plant Operations, are inextricably linked to the robustness of regional and national logistical networks. Specifically, rail availability serves as a primary determinant of toll washing demand cycles, dictating the pace, volume, and consistency with which raw coal is delivered for processing. An analysis of the intersection between rail infrastructure and coal logistics reveals that transport delays, infrastructure capacity, and overarching supply chain reliability are the primary mechanisms through which rail dynamics influence toll washing operations. Understanding these relationships requires a comprehensive evaluation of macro-level rail industry trends, regional network performance, and the specific logistical bottlenecks that arise within the coal supply chain. </w:t>
      </w:r>
    </w:p>
    <w:p>
      <w:pPr>
        <w:spacing w:line="288" w:lineRule="auto"/>
        <w:ind w:firstLine="480" w:firstLineChars="200"/>
        <w:jc w:val="both"/>
      </w:pPr>
      <w:r>
        <w:rPr>
          <w:rFonts w:hint="eastAsia" w:ascii="微软雅黑" w:hAnsi="微软雅黑" w:eastAsia="微软雅黑"/>
          <w:noProof/>
          <w:sz w:val="24"/>
        </w:rPr>
        <w:t xml:space="preserve">Infrastructure capacity fundamentally determines the maximum throughput and peak demand limits for toll washing facilities. When rail networks operate at or near optimal capacity, processing plants can maintain steady, predictable washing cycles. Recent macro-level data indicates significant movements within the broader United States rail sector, which indirectly shape the baseline capacity available for bulk commodities like coal. For instance, rail traffic data from January 2026 demonstrated a 9.7 percent increase in carloads and intermodal units compared to the prior year, reflecting a robust rising demand for rail transport services early in the year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Furthermore, the broader rail supply industry continues to represent a massive economic force, supporting approximately 906,000 jobs across the nation </w:t>
      </w:r>
      <w:r>
        <w:rPr>
          <w:rFonts w:hint="eastAsia" w:ascii="微软雅黑" w:hAnsi="微软雅黑" w:eastAsia="微软雅黑"/>
          <w:noProof/>
          <w:sz w:val="24"/>
          <w:vertAlign w:val="superscript"/>
        </w:rPr>
        <w:t>[82]</w:t>
      </w:r>
      <w:r>
        <w:rPr>
          <w:rFonts w:hint="eastAsia" w:ascii="微软雅黑" w:hAnsi="微软雅黑" w:eastAsia="微软雅黑"/>
          <w:noProof/>
          <w:sz w:val="24"/>
        </w:rPr>
        <w:t xml:space="preserve">. To sustain and potentially expand this capacity, industry forecasts from early 2026 predict that annual railcar delivery levels will meet or exceed replacement needs by the 2027 to 2028 timeframe, ensuring that the physical rolling stock remains adequate for future industrial demands </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However, maintaining this infrastructure capacity is not without significant hurdles. Rail project developments frequently encounter complex challenges, including tariff uncertainties and persistent workforce gaps, which can indirectly constrain overall rail capacity and elevate operational costs </w:t>
      </w:r>
      <w:r>
        <w:rPr>
          <w:rFonts w:hint="eastAsia" w:ascii="微软雅黑" w:hAnsi="微软雅黑" w:eastAsia="微软雅黑"/>
          <w:noProof/>
          <w:sz w:val="24"/>
          <w:vertAlign w:val="superscript"/>
        </w:rPr>
        <w:t>[84]</w:t>
      </w:r>
      <w:r>
        <w:rPr>
          <w:rFonts w:hint="eastAsia" w:ascii="微软雅黑" w:hAnsi="微软雅黑" w:eastAsia="微软雅黑"/>
          <w:noProof/>
          <w:sz w:val="24"/>
        </w:rPr>
        <w:t xml:space="preserve">. Additionally, shared rail networks face competing pressures from passenger services; for example, record Amtrak ridership and extensive infrastructure planning linked to the upcoming 2026 World Cup highlight a heightened reliance on rail systems that could necessitate careful scheduling to avoid displacing freight capacity </w:t>
      </w:r>
      <w:r>
        <w:rPr>
          <w:rFonts w:hint="eastAsia" w:ascii="微软雅黑" w:hAnsi="微软雅黑" w:eastAsia="微软雅黑"/>
          <w:noProof/>
          <w:sz w:val="24"/>
          <w:vertAlign w:val="superscript"/>
        </w:rPr>
        <w:t>[85]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Against this backdrop of macro-level infrastructure variables, transport delays emerge as a critical factor that directly causes fluctuations and bottlenecks in processing schedules at toll washing facilities. Even minor disruptions in the rail network can cascade through the coal supply chain, forcing processing plants to idle during delivery gaps or scramble to manage sudden gluts of arriving material. Regional coal logistics present a mixed picture regarding network fluidity and delay management as of mid-2026. On one hand, updates from major carriers suggest localized improvements; a June 5, 2026, report from BNSF indicated positive performance metrics and improved coal network car velocities, pointing toward a degree of operational stability in specific corridors </w:t>
      </w:r>
      <w:r>
        <w:rPr>
          <w:rFonts w:hint="eastAsia" w:ascii="微软雅黑" w:hAnsi="微软雅黑" w:eastAsia="微软雅黑"/>
          <w:noProof/>
          <w:sz w:val="24"/>
          <w:vertAlign w:val="superscript"/>
        </w:rPr>
        <w:t>[88]</w:t>
      </w:r>
      <w:r>
        <w:rPr>
          <w:rFonts w:hint="eastAsia" w:ascii="微软雅黑" w:hAnsi="微软雅黑" w:eastAsia="微软雅黑"/>
          <w:noProof/>
          <w:sz w:val="24"/>
        </w:rPr>
        <w:t xml:space="preserve">. Conversely, other segments of the network continue to experience friction. Norfolk Southern issued network impact alerts as recently as June 12, 2026, notifying stakeholders of disruptions that, while generalized, carry the inherent risk of delaying regional coal shipments and subsequently disrupting downstream processing schedules . Historical precedents of logistical friction, such as municipal road closures on Coal Bank Pass that previously caused delays of up to 20 minutes near traffic signal locations, further illustrate how localized infrastructural bottlenecks can impede the seamless movement of bulk materials </w:t>
      </w:r>
      <w:r>
        <w:rPr>
          <w:rFonts w:hint="eastAsia" w:ascii="微软雅黑" w:hAnsi="微软雅黑" w:eastAsia="微软雅黑"/>
          <w:noProof/>
          <w:sz w:val="24"/>
          <w:vertAlign w:val="superscript"/>
        </w:rPr>
        <w:t>[89]</w:t>
      </w:r>
      <w:r>
        <w:rPr>
          <w:rFonts w:hint="eastAsia" w:ascii="微软雅黑" w:hAnsi="微软雅黑" w:eastAsia="微软雅黑"/>
          <w:noProof/>
          <w:sz w:val="24"/>
        </w:rPr>
        <w:t xml:space="preserve">. When rail carriers fail to maintain strict delivery timetables due to these network impacts, toll washing operations are forced to absorb the resulting volatility, leading to inefficient labor utilization and suboptimal equipment deployment.</w:t>
      </w:r>
    </w:p>
    <w:p>
      <w:pPr>
        <w:spacing w:line="288" w:lineRule="auto"/>
        <w:ind w:firstLine="480" w:firstLineChars="200"/>
        <w:jc w:val="both"/>
      </w:pPr>
      <w:r>
        <w:rPr>
          <w:rFonts w:hint="eastAsia" w:ascii="微软雅黑" w:hAnsi="微软雅黑" w:eastAsia="微软雅黑"/>
          <w:noProof/>
          <w:sz w:val="24"/>
        </w:rPr>
        <w:t xml:space="preserve">The broader reliability of the coal supply chain is the final critical element, as it directly affects the consistency and predictability of toll washing demand cycles. Supply chain reliability is influenced not only by the physical movement of trains but also by shifting regional processing conditions and the evolving economic landscape of coal sourcing. A notable event impacting regional supply chain dynamics is the reported closure of the MERC facility in June 2026, a development that could significantly alter regional coal processing and routing strategies </w:t>
      </w:r>
      <w:r>
        <w:rPr>
          <w:rFonts w:hint="eastAsia" w:ascii="微软雅黑" w:hAnsi="微软雅黑" w:eastAsia="微软雅黑"/>
          <w:noProof/>
          <w:sz w:val="24"/>
          <w:vertAlign w:val="superscript"/>
        </w:rPr>
        <w:t>[86]</w:t>
      </w:r>
      <w:r>
        <w:rPr>
          <w:rFonts w:hint="eastAsia" w:ascii="微软雅黑" w:hAnsi="微软雅黑" w:eastAsia="微软雅黑"/>
          <w:noProof/>
          <w:sz w:val="24"/>
        </w:rPr>
        <w:t xml:space="preserve">. Despite this closure, maritime and rail logistics continue to adapt, with locations such as Monroe expected to maintain supply continuity by receiving eastern coal via vessel and Powder River Basin coal via train </w:t>
      </w:r>
      <w:r>
        <w:rPr>
          <w:rFonts w:hint="eastAsia" w:ascii="微软雅黑" w:hAnsi="微软雅黑" w:eastAsia="微软雅黑"/>
          <w:noProof/>
          <w:sz w:val="24"/>
          <w:vertAlign w:val="superscript"/>
        </w:rPr>
        <w:t>[86]</w:t>
      </w:r>
      <w:r>
        <w:rPr>
          <w:rFonts w:hint="eastAsia" w:ascii="微软雅黑" w:hAnsi="微软雅黑" w:eastAsia="微软雅黑"/>
          <w:noProof/>
          <w:sz w:val="24"/>
        </w:rPr>
        <w:t xml:space="preserve">. These shifts in sourcing routes necessitate highly adaptable rail networks. Furthermore, the economic parameters governing these supply chains have seen historical shifts that influence rail utilization. Data from 2024 highlighted a notable trend in declining rail transport costs for coal moving from Northern Appalachia to West Virginia, with costs dropping from 16.78 USD in 2023 to 9.87 USD in 2024 </w:t>
      </w:r>
      <w:r>
        <w:rPr>
          <w:rFonts w:hint="eastAsia" w:ascii="微软雅黑" w:hAnsi="微软雅黑" w:eastAsia="微软雅黑"/>
          <w:noProof/>
          <w:sz w:val="24"/>
          <w:vertAlign w:val="superscript"/>
        </w:rPr>
        <w:t>[87]</w:t>
      </w:r>
      <w:r>
        <w:rPr>
          <w:rFonts w:hint="eastAsia" w:ascii="微软雅黑" w:hAnsi="微软雅黑" w:eastAsia="微软雅黑"/>
          <w:noProof/>
          <w:sz w:val="24"/>
        </w:rPr>
        <w:t xml:space="preserve">. While lower transport costs generally incentivize higher utilization of rail networks, they do not inherently insulate the supply chain from the physical delays and capacity constraints that disrupt toll washing cycles. </w:t>
      </w:r>
    </w:p>
    <w:p>
      <w:pPr>
        <w:spacing w:line="288" w:lineRule="auto"/>
        <w:ind w:firstLine="480" w:firstLineChars="200"/>
        <w:jc w:val="both"/>
      </w:pPr>
      <w:r>
        <w:rPr>
          <w:rFonts w:hint="eastAsia" w:ascii="微软雅黑" w:hAnsi="微软雅黑" w:eastAsia="微软雅黑"/>
          <w:noProof/>
          <w:sz w:val="24"/>
        </w:rPr>
        <w:t xml:space="preserve">Ultimately, the demand cycles for toll washing at Veralogix Plant Operations are highly sensitive to the operational realities of the rail networks that feed them. Infrastructure capacity sets the upper boundaries of what the processing facilities can handle, dictating peak throughput limits based on the volume of railcars the network can reliably deliver. Transport delays introduce immediate, disruptive volatility into the system, manifesting as bottlenecks that force plant operators to continuously adjust their processing schedules in response to unpredictable material arrivals. Overarching supply chain reliability, shaped by facility closures, changing transport economics, and carrier performance, dictates the long-term predictability of these demand cycles. To optimize toll washing operations, facility managers must closely monitor both macro-level rail industry developments—such as equipment delivery forecasts and workforce stability—and micro-level carrier performance metrics. By integrating real-time rail network intelligence into their operational planning, processing facilities can better anticipate delivery fluctuations, mitigate the impact of transport delays, and align their washing cycles with the prevailing realities of the coal supply chain.</w:t>
      </w:r>
    </w:p>
    <w:p>
      <w:pPr>
        <w:spacing w:line="360" w:lineRule="auto"/>
        <w:ind/>
      </w:pPr>
      <w:r>
        <w:rPr>
          <w:rFonts w:hint="eastAsia"/>
          <w:b/>
          <w:noProof/>
          <w:sz w:val="22"/>
        </w:rPr>
        <w:t xml:space="preserve">Impact of Rail Availability on Toll Washing Demand Cycles Table</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Impacting Factor</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Toll Washing Demand Cycles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Transport Delays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Causes fluctuations and bottlenecks in processing schedules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Capacity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Determines maximum throughput and peak demand limits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Coal Supply Chain Reliability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Affects the consistency and predictability of demand cycles</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Electronic Toll Collection Market Size &amp; Forecast, 2026-2033 https://www.coherentmarketinsights.com/industry-reports/electronic-toll-collection-market</w:t>
      </w:r>
    </w:p>
    <w:p>
      <w:pPr>
        <w:spacing w:line="288" w:lineRule="auto"/>
        <w:ind w:firstLine="480" w:firstLineChars="200"/>
        <w:jc w:val="both"/>
      </w:pPr>
      <w:r>
        <w:rPr>
          <w:rFonts w:hint="eastAsia" w:ascii="微软雅黑" w:hAnsi="微软雅黑" w:eastAsia="微软雅黑"/>
          <w:noProof/>
          <w:sz w:val="24"/>
        </w:rPr>
        <w:t xml:space="preserve">[2] Global Electronic Toll Collection Market Size, Share to 2040 https://www.rootsanalysis.com/electronic-toll-collection-market</w:t>
      </w:r>
    </w:p>
    <w:p>
      <w:pPr>
        <w:spacing w:line="288" w:lineRule="auto"/>
        <w:ind w:firstLine="480" w:firstLineChars="200"/>
        <w:jc w:val="both"/>
      </w:pPr>
      <w:r>
        <w:rPr>
          <w:rFonts w:hint="eastAsia" w:ascii="微软雅黑" w:hAnsi="微软雅黑" w:eastAsia="微软雅黑"/>
          <w:noProof/>
          <w:sz w:val="24"/>
        </w:rPr>
        <w:t xml:space="preserve">[3] South Africa Electronic Toll Collection Market Size &amp; Outlook https://grandviewresearch.com/horizon/outlook/electronic-toll-collection-market/south-africa</w:t>
      </w:r>
    </w:p>
    <w:p>
      <w:pPr>
        <w:spacing w:line="288" w:lineRule="auto"/>
        <w:ind w:firstLine="480" w:firstLineChars="200"/>
        <w:jc w:val="both"/>
      </w:pPr>
      <w:r>
        <w:rPr>
          <w:rFonts w:hint="eastAsia" w:ascii="微软雅黑" w:hAnsi="微软雅黑" w:eastAsia="微软雅黑"/>
          <w:noProof/>
          <w:sz w:val="24"/>
        </w:rPr>
        <w:t xml:space="preserve">[4] NEW TOLL FEES EFFECTIVE 1 MARCH 2026 New toll tariffs will ... https://www.facebook.com/N3Route/posts/new-toll-fees-effective-1-march-2026new-toll-tariffs-will-come-into-effect-at-al/1348851997265708/</w:t>
      </w:r>
    </w:p>
    <w:p>
      <w:pPr>
        <w:spacing w:line="288" w:lineRule="auto"/>
        <w:ind w:firstLine="480" w:firstLineChars="200"/>
        <w:jc w:val="both"/>
      </w:pPr>
      <w:r>
        <w:rPr>
          <w:rFonts w:hint="eastAsia" w:ascii="微软雅黑" w:hAnsi="微软雅黑" w:eastAsia="微软雅黑"/>
          <w:noProof/>
          <w:sz w:val="24"/>
        </w:rPr>
        <w:t xml:space="preserve">[5] Statement on the Cabinet meeting of 3 June 2026 and the Special ... https://www.gcis.gov.za/statement-on-the-cabinet-meeting-of-3-june-2026-and-the-special-cabinet-meeting-of-13-may-2026</w:t>
      </w:r>
    </w:p>
    <w:p>
      <w:pPr>
        <w:spacing w:line="288" w:lineRule="auto"/>
        <w:ind w:firstLine="480" w:firstLineChars="200"/>
        <w:jc w:val="both"/>
      </w:pPr>
      <w:r>
        <w:rPr>
          <w:rFonts w:hint="eastAsia" w:ascii="微软雅黑" w:hAnsi="微软雅黑" w:eastAsia="微软雅黑"/>
          <w:noProof/>
          <w:sz w:val="24"/>
        </w:rPr>
        <w:t xml:space="preserve">[6] N3 Toll Fees - Foresight Publications https://www.foresightpublications.co.za/TollroadsN3.html</w:t>
      </w:r>
    </w:p>
    <w:p>
      <w:pPr>
        <w:spacing w:line="288" w:lineRule="auto"/>
        <w:ind w:firstLine="480" w:firstLineChars="200"/>
        <w:jc w:val="both"/>
      </w:pPr>
      <w:r>
        <w:rPr>
          <w:rFonts w:hint="eastAsia" w:ascii="微软雅黑" w:hAnsi="微软雅黑" w:eastAsia="微软雅黑"/>
          <w:noProof/>
          <w:sz w:val="24"/>
        </w:rPr>
        <w:t xml:space="preserve">[7] New toll tariffs kick in on 1 March 2026. A Joburg–Durban round trip ... https://www.instagram.com/p/DVDR83yj6eg/</w:t>
      </w:r>
    </w:p>
    <w:p>
      <w:pPr>
        <w:spacing w:line="288" w:lineRule="auto"/>
        <w:ind w:firstLine="480" w:firstLineChars="200"/>
        <w:jc w:val="both"/>
      </w:pPr>
      <w:r>
        <w:rPr>
          <w:rFonts w:hint="eastAsia" w:ascii="微软雅黑" w:hAnsi="微软雅黑" w:eastAsia="微软雅黑"/>
          <w:noProof/>
          <w:sz w:val="24"/>
        </w:rPr>
        <w:t xml:space="preserve">[8] South Africa Toll Roads Complete Guide: e-Tag, Rates and Payment ... https://tollguru.com/toll-wiki/south-africa-tolls-highways-e-tolls</w:t>
      </w:r>
    </w:p>
    <w:p>
      <w:pPr>
        <w:spacing w:line="288" w:lineRule="auto"/>
        <w:ind w:firstLine="480" w:firstLineChars="200"/>
        <w:jc w:val="both"/>
      </w:pPr>
      <w:r>
        <w:rPr>
          <w:rFonts w:hint="eastAsia" w:ascii="微软雅黑" w:hAnsi="微软雅黑" w:eastAsia="微软雅黑"/>
          <w:noProof/>
          <w:sz w:val="24"/>
        </w:rPr>
        <w:t xml:space="preserve">[9] The toll collector classifies your vehicle. The screen shows your fee ... https://www.facebook.com/sanralza/videos/the-toll-collector-classifies-your-vehiclethe-screen-shows-your-feeyou-tap-the-p/1890643408249286/</w:t>
      </w:r>
    </w:p>
    <w:p>
      <w:pPr>
        <w:spacing w:line="288" w:lineRule="auto"/>
        <w:ind w:firstLine="480" w:firstLineChars="200"/>
        <w:jc w:val="both"/>
      </w:pPr>
      <w:r>
        <w:rPr>
          <w:rFonts w:hint="eastAsia" w:ascii="微软雅黑" w:hAnsi="微软雅黑" w:eastAsia="微软雅黑"/>
          <w:noProof/>
          <w:sz w:val="24"/>
        </w:rPr>
        <w:t xml:space="preserve">[10] The South African National Roads Agency Limited Sanral has ... https://www.facebook.com/TracN4/posts/the-south-african-national-roads-agency-limited-sanral-has-announced-its-annual-/1247788264116916/</w:t>
      </w:r>
    </w:p>
    <w:p>
      <w:pPr>
        <w:spacing w:line="288" w:lineRule="auto"/>
        <w:ind w:firstLine="480" w:firstLineChars="200"/>
        <w:jc w:val="both"/>
      </w:pPr>
      <w:r>
        <w:rPr>
          <w:rFonts w:hint="eastAsia" w:ascii="微软雅黑" w:hAnsi="微软雅黑" w:eastAsia="微软雅黑"/>
          <w:noProof/>
          <w:sz w:val="24"/>
        </w:rPr>
        <w:t xml:space="preserve">[11] allmineral and separation suites - International Mining https://im-mining.com/2026/05/07/allmineral-and-separation-suites/</w:t>
      </w:r>
    </w:p>
    <w:p>
      <w:pPr>
        <w:spacing w:line="288" w:lineRule="auto"/>
        <w:ind w:firstLine="480" w:firstLineChars="200"/>
        <w:jc w:val="both"/>
      </w:pPr>
      <w:r>
        <w:rPr>
          <w:rFonts w:hint="eastAsia" w:ascii="微软雅黑" w:hAnsi="微软雅黑" w:eastAsia="微软雅黑"/>
          <w:noProof/>
          <w:sz w:val="24"/>
        </w:rPr>
        <w:t xml:space="preserve">[12] Where your APT mineral processing plants come to life ... - Instagram https://www.instagram.com/reel/DKt6ME6tFJA/</w:t>
      </w:r>
    </w:p>
    <w:p>
      <w:pPr>
        <w:spacing w:line="288" w:lineRule="auto"/>
        <w:ind w:firstLine="480" w:firstLineChars="200"/>
        <w:jc w:val="both"/>
      </w:pPr>
      <w:r>
        <w:rPr>
          <w:rFonts w:hint="eastAsia" w:ascii="微软雅黑" w:hAnsi="微软雅黑" w:eastAsia="微软雅黑"/>
          <w:noProof/>
          <w:sz w:val="24"/>
        </w:rPr>
        <w:t xml:space="preserve">[13] CSIR Technology Showcase 22/100 CSIR-IMMT's improved ... https://www.instagram.com/p/DYRBMPFKsVC/</w:t>
      </w:r>
    </w:p>
    <w:p>
      <w:pPr>
        <w:spacing w:line="288" w:lineRule="auto"/>
        <w:ind w:firstLine="480" w:firstLineChars="200"/>
        <w:jc w:val="both"/>
      </w:pPr>
      <w:r>
        <w:rPr>
          <w:rFonts w:hint="eastAsia" w:ascii="微软雅黑" w:hAnsi="微软雅黑" w:eastAsia="微软雅黑"/>
          <w:noProof/>
          <w:sz w:val="24"/>
        </w:rPr>
        <w:t xml:space="preserve">[14] Innovation, performance, and tailored engineering. Our High Rate ... https://www.instagram.com/reel/DWobmLakvij/</w:t>
      </w:r>
    </w:p>
    <w:p>
      <w:pPr>
        <w:spacing w:line="288" w:lineRule="auto"/>
        <w:ind w:firstLine="480" w:firstLineChars="200"/>
        <w:jc w:val="both"/>
      </w:pPr>
      <w:r>
        <w:rPr>
          <w:rFonts w:hint="eastAsia" w:ascii="微软雅黑" w:hAnsi="微软雅黑" w:eastAsia="微软雅黑"/>
          <w:noProof/>
          <w:sz w:val="24"/>
        </w:rPr>
        <w:t xml:space="preserve">[15] Appropriate Process Technologies | Small to Medium Scale Mineral ... https://www.aptprocessing.com/</w:t>
      </w:r>
    </w:p>
    <w:p>
      <w:pPr>
        <w:spacing w:line="288" w:lineRule="auto"/>
        <w:ind w:firstLine="480" w:firstLineChars="200"/>
        <w:jc w:val="both"/>
      </w:pPr>
      <w:r>
        <w:rPr>
          <w:rFonts w:hint="eastAsia" w:ascii="微软雅黑" w:hAnsi="微软雅黑" w:eastAsia="微软雅黑"/>
          <w:noProof/>
          <w:sz w:val="24"/>
        </w:rPr>
        <w:t xml:space="preserve">[16] [PDF] Advanced Tolling Technology Pilot Final Report https://wstc.wa.gov/wp-content/uploads/2026/01/2026-0112-TollTechPilotReport.pdf</w:t>
      </w:r>
    </w:p>
    <w:p>
      <w:pPr>
        <w:spacing w:line="288" w:lineRule="auto"/>
        <w:ind w:firstLine="480" w:firstLineChars="200"/>
        <w:jc w:val="both"/>
      </w:pPr>
      <w:r>
        <w:rPr>
          <w:rFonts w:hint="eastAsia" w:ascii="微软雅黑" w:hAnsi="微软雅黑" w:eastAsia="微软雅黑"/>
          <w:noProof/>
          <w:sz w:val="24"/>
        </w:rPr>
        <w:t xml:space="preserve">[19] [PDF] Orlando - International Bridge, Tunnel and Turnpike Association https://www.ibtta.org/sites/default/files/2026-04/IBTTA26_TechOrlando_PROGRAM_16_final.pdf</w:t>
      </w:r>
    </w:p>
    <w:p>
      <w:pPr>
        <w:spacing w:line="288" w:lineRule="auto"/>
        <w:ind w:firstLine="480" w:firstLineChars="200"/>
        <w:jc w:val="both"/>
      </w:pPr>
      <w:r>
        <w:rPr>
          <w:rFonts w:hint="eastAsia" w:ascii="微软雅黑" w:hAnsi="微软雅黑" w:eastAsia="微软雅黑"/>
          <w:noProof/>
          <w:sz w:val="24"/>
        </w:rPr>
        <w:t xml:space="preserve">[20] 2026 Toll Adjustments Comment Process – DRJTBC https://www.drjtbc.org/tollcomments</w:t>
      </w:r>
    </w:p>
    <w:p>
      <w:pPr>
        <w:spacing w:line="288" w:lineRule="auto"/>
        <w:ind w:firstLine="480" w:firstLineChars="200"/>
        <w:jc w:val="both"/>
      </w:pPr>
      <w:r>
        <w:rPr>
          <w:rFonts w:hint="eastAsia" w:ascii="微软雅黑" w:hAnsi="微软雅黑" w:eastAsia="微软雅黑"/>
          <w:noProof/>
          <w:sz w:val="24"/>
        </w:rPr>
        <w:t xml:space="preserve">[21] economic-outlook-april-2026?cid=sm-com-fb-sm26- WEOEA2026001 https://www.facebook.com/IMFAfrica/posts/commodity-importing-emerging-market-developing-economies-face-the-sharpest-toll-/1264127462572876/</w:t>
      </w:r>
    </w:p>
    <w:p>
      <w:pPr>
        <w:spacing w:line="288" w:lineRule="auto"/>
        <w:ind w:firstLine="480" w:firstLineChars="200"/>
        <w:jc w:val="both"/>
      </w:pPr>
      <w:r>
        <w:rPr>
          <w:rFonts w:hint="eastAsia" w:ascii="微软雅黑" w:hAnsi="微软雅黑" w:eastAsia="微软雅黑"/>
          <w:noProof/>
          <w:sz w:val="24"/>
        </w:rPr>
        <w:t xml:space="preserve">[22] The operational instruments of the African Continental Free Trade ... https://www.instagram.com/reel/DXWquTpCiLK/</w:t>
      </w:r>
    </w:p>
    <w:p>
      <w:pPr>
        <w:spacing w:line="288" w:lineRule="auto"/>
        <w:ind w:firstLine="480" w:firstLineChars="200"/>
        <w:jc w:val="both"/>
      </w:pPr>
      <w:r>
        <w:rPr>
          <w:rFonts w:hint="eastAsia" w:ascii="微软雅黑" w:hAnsi="微软雅黑" w:eastAsia="微软雅黑"/>
          <w:noProof/>
          <w:sz w:val="24"/>
        </w:rPr>
        <w:t xml:space="preserve">[23] tralac Daily News, 24 June 2026 https://www.tralac.org/news/article/17149-tralac-daily-news-24-june-2026.html</w:t>
      </w:r>
    </w:p>
    <w:p>
      <w:pPr>
        <w:spacing w:line="288" w:lineRule="auto"/>
        <w:ind w:firstLine="480" w:firstLineChars="200"/>
        <w:jc w:val="both"/>
      </w:pPr>
      <w:r>
        <w:rPr>
          <w:rFonts w:hint="eastAsia" w:ascii="微软雅黑" w:hAnsi="微软雅黑" w:eastAsia="微软雅黑"/>
          <w:noProof/>
          <w:sz w:val="24"/>
        </w:rPr>
        <w:t xml:space="preserve">[24] Commodity Market Outlook: Risks &amp; Opportunities | Argus Media https://www.argusmedia.com/en/news-and-insights/market-opinion-and-analysis-blog/commodity-market-outlook-trends-risks</w:t>
      </w:r>
    </w:p>
    <w:p>
      <w:pPr>
        <w:spacing w:line="288" w:lineRule="auto"/>
        <w:ind w:firstLine="480" w:firstLineChars="200"/>
        <w:jc w:val="both"/>
      </w:pPr>
      <w:r>
        <w:rPr>
          <w:rFonts w:hint="eastAsia" w:ascii="微软雅黑" w:hAnsi="微软雅黑" w:eastAsia="微软雅黑"/>
          <w:noProof/>
          <w:sz w:val="24"/>
        </w:rPr>
        <w:t xml:space="preserve">[25] [PDF] Global Economic Prospects -- June 2026 - The World Bank https://thedocs.worldbank.org/en/doc/2b672b3b0415d6b66c45b66579db4ef5-0050012026/original/GEP-Jun-2026.pdf</w:t>
      </w:r>
    </w:p>
    <w:p>
      <w:pPr>
        <w:spacing w:line="288" w:lineRule="auto"/>
        <w:ind w:firstLine="480" w:firstLineChars="200"/>
        <w:jc w:val="both"/>
      </w:pPr>
      <w:r>
        <w:rPr>
          <w:rFonts w:hint="eastAsia" w:ascii="微软雅黑" w:hAnsi="微软雅黑" w:eastAsia="微软雅黑"/>
          <w:noProof/>
          <w:sz w:val="24"/>
        </w:rPr>
        <w:t xml:space="preserve">[26] Competitive Benchmarking Through Teardown Analysis - TechInsights https://www.techinsights.com/blog/competitive-benchmarking-through-teardown-analysis</w:t>
      </w:r>
    </w:p>
    <w:p>
      <w:pPr>
        <w:spacing w:line="288" w:lineRule="auto"/>
        <w:ind w:firstLine="480" w:firstLineChars="200"/>
        <w:jc w:val="both"/>
      </w:pPr>
      <w:r>
        <w:rPr>
          <w:rFonts w:hint="eastAsia" w:ascii="微软雅黑" w:hAnsi="微软雅黑" w:eastAsia="微软雅黑"/>
          <w:noProof/>
          <w:sz w:val="24"/>
        </w:rPr>
        <w:t xml:space="preserve">[27] AI model performance comparison for June 2026 - Facebook https://www.facebook.com/groups/1283855437217819/posts/1353834940219868/</w:t>
      </w:r>
    </w:p>
    <w:p>
      <w:pPr>
        <w:spacing w:line="288" w:lineRule="auto"/>
        <w:ind w:firstLine="480" w:firstLineChars="200"/>
        <w:jc w:val="both"/>
      </w:pPr>
      <w:r>
        <w:rPr>
          <w:rFonts w:hint="eastAsia" w:ascii="微软雅黑" w:hAnsi="微软雅黑" w:eastAsia="微软雅黑"/>
          <w:noProof/>
          <w:sz w:val="24"/>
        </w:rPr>
        <w:t xml:space="preserve">[28] 32 Best Competitive Intelligence Software Tools (2026) - Improvado https://improvado.io/blog/32-best-competitive-intelligence-companies</w:t>
      </w:r>
    </w:p>
    <w:p>
      <w:pPr>
        <w:spacing w:line="288" w:lineRule="auto"/>
        <w:ind w:firstLine="480" w:firstLineChars="200"/>
        <w:jc w:val="both"/>
      </w:pPr>
      <w:r>
        <w:rPr>
          <w:rFonts w:hint="eastAsia" w:ascii="微软雅黑" w:hAnsi="微软雅黑" w:eastAsia="微软雅黑"/>
          <w:noProof/>
          <w:sz w:val="24"/>
        </w:rPr>
        <w:t xml:space="preserve">[29] Competitive Intelligence Tools: 15 Compared (2026) - Autobound https://www.autobound.ai/blog/top-15-competitive-intelligence-tools-2026</w:t>
      </w:r>
    </w:p>
    <w:p>
      <w:pPr>
        <w:spacing w:line="288" w:lineRule="auto"/>
        <w:ind w:firstLine="480" w:firstLineChars="200"/>
        <w:jc w:val="both"/>
      </w:pPr>
      <w:r>
        <w:rPr>
          <w:rFonts w:hint="eastAsia" w:ascii="微软雅黑" w:hAnsi="微软雅黑" w:eastAsia="微软雅黑"/>
          <w:noProof/>
          <w:sz w:val="24"/>
        </w:rPr>
        <w:t xml:space="preserve">[30] [PDF] 2026 Quarterly State of the Market Report for PJM https://www.monitoringanalytics.com/reports/PJM_State_of_the_Market/2026/2026q1-som-pjm.pdf</w:t>
      </w:r>
    </w:p>
    <w:p>
      <w:pPr>
        <w:spacing w:line="288" w:lineRule="auto"/>
        <w:ind w:firstLine="480" w:firstLineChars="200"/>
        <w:jc w:val="both"/>
      </w:pPr>
      <w:r>
        <w:rPr>
          <w:rFonts w:hint="eastAsia" w:ascii="微软雅黑" w:hAnsi="微软雅黑" w:eastAsia="微软雅黑"/>
          <w:noProof/>
          <w:sz w:val="24"/>
        </w:rPr>
        <w:t xml:space="preserve">[31] Mining Indaba 2026 https://miningindaba.com/home</w:t>
      </w:r>
    </w:p>
    <w:p>
      <w:pPr>
        <w:spacing w:line="288" w:lineRule="auto"/>
        <w:ind w:firstLine="480" w:firstLineChars="200"/>
        <w:jc w:val="both"/>
      </w:pPr>
      <w:r>
        <w:rPr>
          <w:rFonts w:hint="eastAsia" w:ascii="微软雅黑" w:hAnsi="微软雅黑" w:eastAsia="微软雅黑"/>
          <w:noProof/>
          <w:sz w:val="24"/>
        </w:rPr>
        <w:t xml:space="preserve">[32] SA's mining sector: Strategies in a rapidly shifting regulatory and ... https://www.africanmining.co.za/2026/06/02/sas-mining-sector-strategies-in-a-rapidly-shifting-regulatory-and-market-landscape/</w:t>
      </w:r>
    </w:p>
    <w:p>
      <w:pPr>
        <w:spacing w:line="288" w:lineRule="auto"/>
        <w:ind w:firstLine="480" w:firstLineChars="200"/>
        <w:jc w:val="both"/>
      </w:pPr>
      <w:r>
        <w:rPr>
          <w:rFonts w:hint="eastAsia" w:ascii="微软雅黑" w:hAnsi="微软雅黑" w:eastAsia="微软雅黑"/>
          <w:noProof/>
          <w:sz w:val="24"/>
        </w:rPr>
        <w:t xml:space="preserve">[33] 2026 Junior Indaba: 'South Africa cannot build tomorrow's mines ... https://m.miningweekly.com/article/2026-junior-indaba-south-africa-cannot-build-tomorrows-mines-with-yesterdays-systems-2026-06-11</w:t>
      </w:r>
    </w:p>
    <w:p>
      <w:pPr>
        <w:spacing w:line="288" w:lineRule="auto"/>
        <w:ind w:firstLine="480" w:firstLineChars="200"/>
        <w:jc w:val="both"/>
      </w:pPr>
      <w:r>
        <w:rPr>
          <w:rFonts w:hint="eastAsia" w:ascii="微软雅黑" w:hAnsi="微软雅黑" w:eastAsia="微软雅黑"/>
          <w:noProof/>
          <w:sz w:val="24"/>
        </w:rPr>
        <w:t xml:space="preserve">[34] South Africa Mining Production YoY - Trading Economics https://tradingeconomics.com/south-africa/mining-production</w:t>
      </w:r>
    </w:p>
    <w:p>
      <w:pPr>
        <w:spacing w:line="288" w:lineRule="auto"/>
        <w:ind w:firstLine="480" w:firstLineChars="200"/>
        <w:jc w:val="both"/>
      </w:pPr>
      <w:r>
        <w:rPr>
          <w:rFonts w:hint="eastAsia" w:ascii="微软雅黑" w:hAnsi="微软雅黑" w:eastAsia="微软雅黑"/>
          <w:noProof/>
          <w:sz w:val="24"/>
        </w:rPr>
        <w:t xml:space="preserve">[35] EU starts first investment roadshow in South Africa targeting minerals https://www.mining.com/web/eu-starts-first-investment-roadshow-in-south-africa-targeting-minerals/</w:t>
      </w:r>
    </w:p>
    <w:p>
      <w:pPr>
        <w:spacing w:line="288" w:lineRule="auto"/>
        <w:ind w:firstLine="480" w:firstLineChars="200"/>
        <w:jc w:val="both"/>
      </w:pPr>
      <w:r>
        <w:rPr>
          <w:rFonts w:hint="eastAsia" w:ascii="微软雅黑" w:hAnsi="微软雅黑" w:eastAsia="微软雅黑"/>
          <w:noProof/>
          <w:sz w:val="24"/>
        </w:rPr>
        <w:t xml:space="preserve">[36] Global Back-Office Tolling Systems Market Size Forecast To Cross ... https://amtrak.einnews.com/pr_news/921507405/global-back-office-tolling-systems-market-size-forecast-to-cross-9-42-billion-by-2030</w:t>
      </w:r>
    </w:p>
    <w:p>
      <w:pPr>
        <w:spacing w:line="288" w:lineRule="auto"/>
        <w:ind w:firstLine="480" w:firstLineChars="200"/>
        <w:jc w:val="both"/>
      </w:pPr>
      <w:r>
        <w:rPr>
          <w:rFonts w:hint="eastAsia" w:ascii="微软雅黑" w:hAnsi="微软雅黑" w:eastAsia="微软雅黑"/>
          <w:noProof/>
          <w:sz w:val="24"/>
        </w:rPr>
        <w:t xml:space="preserve">[38] Electronic Toll Collection Market Trends &amp; Forecast 2026-2036 https://www.futuremarketinsights.com/reports/global-electronic-toll-collection-market</w:t>
      </w:r>
    </w:p>
    <w:p>
      <w:pPr>
        <w:spacing w:line="288" w:lineRule="auto"/>
        <w:ind w:firstLine="480" w:firstLineChars="200"/>
        <w:jc w:val="both"/>
      </w:pPr>
      <w:r>
        <w:rPr>
          <w:rFonts w:hint="eastAsia" w:ascii="微软雅黑" w:hAnsi="微软雅黑" w:eastAsia="微软雅黑"/>
          <w:noProof/>
          <w:sz w:val="24"/>
        </w:rPr>
        <w:t xml:space="preserve">[39] Transportation Industry Trends: June 22–26, 2026 https://transportationinsight.com/resources/transportation-industry-trends-june-22-26-2026/</w:t>
      </w:r>
    </w:p>
    <w:p>
      <w:pPr>
        <w:spacing w:line="288" w:lineRule="auto"/>
        <w:ind w:firstLine="480" w:firstLineChars="200"/>
        <w:jc w:val="both"/>
      </w:pPr>
      <w:r>
        <w:rPr>
          <w:rFonts w:hint="eastAsia" w:ascii="微软雅黑" w:hAnsi="微软雅黑" w:eastAsia="微软雅黑"/>
          <w:noProof/>
          <w:sz w:val="24"/>
        </w:rPr>
        <w:t xml:space="preserve">[40] Electronic Toll Collection Market Size to Hit USD 30.13 Bn by 2035 https://www.precedenceresearch.com/electronic-toll-collection-market</w:t>
      </w:r>
    </w:p>
    <w:p>
      <w:pPr>
        <w:spacing w:line="288" w:lineRule="auto"/>
        <w:ind w:firstLine="480" w:firstLineChars="200"/>
        <w:jc w:val="both"/>
      </w:pPr>
      <w:r>
        <w:rPr>
          <w:rFonts w:hint="eastAsia" w:ascii="微软雅黑" w:hAnsi="微软雅黑" w:eastAsia="微软雅黑"/>
          <w:noProof/>
          <w:sz w:val="24"/>
        </w:rPr>
        <w:t xml:space="preserve">[41] 8 Critical Mineral Projects to Watch in South Africa https://african-miningweek.com/news/8-critical-mineral-projects-watch-south-africa</w:t>
      </w:r>
    </w:p>
    <w:p>
      <w:pPr>
        <w:spacing w:line="288" w:lineRule="auto"/>
        <w:ind w:firstLine="480" w:firstLineChars="200"/>
        <w:jc w:val="both"/>
      </w:pPr>
      <w:r>
        <w:rPr>
          <w:rFonts w:hint="eastAsia" w:ascii="微软雅黑" w:hAnsi="微软雅黑" w:eastAsia="微软雅黑"/>
          <w:noProof/>
          <w:sz w:val="24"/>
        </w:rPr>
        <w:t xml:space="preserve">[43] Powering Critical Minerals in Southern Africa - YouTube https://www.youtube.com/watch?v=ynGxV_ieXRM</w:t>
      </w:r>
    </w:p>
    <w:p>
      <w:pPr>
        <w:spacing w:line="288" w:lineRule="auto"/>
        <w:ind w:firstLine="480" w:firstLineChars="200"/>
        <w:jc w:val="both"/>
      </w:pPr>
      <w:r>
        <w:rPr>
          <w:rFonts w:hint="eastAsia" w:ascii="微软雅黑" w:hAnsi="微软雅黑" w:eastAsia="微软雅黑"/>
          <w:noProof/>
          <w:sz w:val="24"/>
        </w:rPr>
        <w:t xml:space="preserve">[44] Ten African mining projects set to reach key milestones in 2026 https://www.miningreview.com/news/ten-african-mining-projects-set-to-reach-key-milestones-in-2026/</w:t>
      </w:r>
    </w:p>
    <w:p>
      <w:pPr>
        <w:spacing w:line="288" w:lineRule="auto"/>
        <w:ind w:firstLine="480" w:firstLineChars="200"/>
        <w:jc w:val="both"/>
      </w:pPr>
      <w:r>
        <w:rPr>
          <w:rFonts w:hint="eastAsia" w:ascii="微软雅黑" w:hAnsi="微软雅黑" w:eastAsia="微软雅黑"/>
          <w:noProof/>
          <w:sz w:val="24"/>
        </w:rPr>
        <w:t xml:space="preserve">[45] Press Play ▶️ | South Africa hosts the Investing in African Mining ... https://www.facebook.com/GovernmentZA/posts/press-play-%EF%B8%8F-south-africa-hosts-the-investing-in-african-mining-indaba-2026-held/1365700902262373/</w:t>
      </w:r>
    </w:p>
    <w:p>
      <w:pPr>
        <w:spacing w:line="288" w:lineRule="auto"/>
        <w:ind w:firstLine="480" w:firstLineChars="200"/>
        <w:jc w:val="both"/>
      </w:pPr>
      <w:r>
        <w:rPr>
          <w:rFonts w:hint="eastAsia" w:ascii="微软雅黑" w:hAnsi="微软雅黑" w:eastAsia="微软雅黑"/>
          <w:noProof/>
          <w:sz w:val="24"/>
        </w:rPr>
        <w:t xml:space="preserve">[46] Transportation Industry Trends: June 8–12, 2026 https://transportationinsight.com/resources/transportation-industry-trends-june-8-12-2026/</w:t>
      </w:r>
    </w:p>
    <w:p>
      <w:pPr>
        <w:spacing w:line="288" w:lineRule="auto"/>
        <w:ind w:firstLine="480" w:firstLineChars="200"/>
        <w:jc w:val="both"/>
      </w:pPr>
      <w:r>
        <w:rPr>
          <w:rFonts w:hint="eastAsia" w:ascii="微软雅黑" w:hAnsi="微软雅黑" w:eastAsia="微软雅黑"/>
          <w:noProof/>
          <w:sz w:val="24"/>
        </w:rPr>
        <w:t xml:space="preserve">[47] Freight Market Update: June 2026 - C.H. Robinson https://www.chrobinson.com/en-us/resources/insights-and-advisories/north-america-freight-insights/jun-2026-freight-market-update/</w:t>
      </w:r>
    </w:p>
    <w:p>
      <w:pPr>
        <w:spacing w:line="288" w:lineRule="auto"/>
        <w:ind w:firstLine="480" w:firstLineChars="200"/>
        <w:jc w:val="both"/>
      </w:pPr>
      <w:r>
        <w:rPr>
          <w:rFonts w:hint="eastAsia" w:ascii="微软雅黑" w:hAnsi="微软雅黑" w:eastAsia="微软雅黑"/>
          <w:noProof/>
          <w:sz w:val="24"/>
        </w:rPr>
        <w:t xml:space="preserve">[48] [PDF] 2026 Annual Tolling Report https://wstc.wa.gov/wp-content/uploads/2026/01/2026-0109-AnnualTollingReport.pdf</w:t>
      </w:r>
    </w:p>
    <w:p>
      <w:pPr>
        <w:spacing w:line="288" w:lineRule="auto"/>
        <w:ind w:firstLine="480" w:firstLineChars="200"/>
        <w:jc w:val="both"/>
      </w:pPr>
      <w:r>
        <w:rPr>
          <w:rFonts w:hint="eastAsia" w:ascii="微软雅黑" w:hAnsi="微软雅黑" w:eastAsia="微软雅黑"/>
          <w:noProof/>
          <w:sz w:val="24"/>
        </w:rPr>
        <w:t xml:space="preserve">[50] Q2 2026 Truckload Market Forecast: Rate &amp; Capacity Trends - RXO https://rxo.com/resources/research/us-truckload-market-guide/</w:t>
      </w:r>
    </w:p>
    <w:p>
      <w:pPr>
        <w:spacing w:line="288" w:lineRule="auto"/>
        <w:ind w:firstLine="480" w:firstLineChars="200"/>
        <w:jc w:val="both"/>
      </w:pPr>
      <w:r>
        <w:rPr>
          <w:rFonts w:hint="eastAsia" w:ascii="微软雅黑" w:hAnsi="微软雅黑" w:eastAsia="微软雅黑"/>
          <w:noProof/>
          <w:sz w:val="24"/>
        </w:rPr>
        <w:t xml:space="preserve">[51] Short-Term Energy Outlook Report - EIA https://www.eia.gov/outlooks/steo/report/elec_coal_renew.php</w:t>
      </w:r>
    </w:p>
    <w:p>
      <w:pPr>
        <w:spacing w:line="288" w:lineRule="auto"/>
        <w:ind w:firstLine="480" w:firstLineChars="200"/>
        <w:jc w:val="both"/>
      </w:pPr>
      <w:r>
        <w:rPr>
          <w:rFonts w:hint="eastAsia" w:ascii="微软雅黑" w:hAnsi="微软雅黑" w:eastAsia="微软雅黑"/>
          <w:noProof/>
          <w:sz w:val="24"/>
        </w:rPr>
        <w:t xml:space="preserve">[52] US coal production remains broadly stable in 2026 - The Coal Hub https://thecoalhub.com/us-coal-production-remains-broadly-stable-in-2026.html</w:t>
      </w:r>
    </w:p>
    <w:p>
      <w:pPr>
        <w:spacing w:line="288" w:lineRule="auto"/>
        <w:ind w:firstLine="480" w:firstLineChars="200"/>
        <w:jc w:val="both"/>
      </w:pPr>
      <w:r>
        <w:rPr>
          <w:rFonts w:hint="eastAsia" w:ascii="微软雅黑" w:hAnsi="微软雅黑" w:eastAsia="微软雅黑"/>
          <w:noProof/>
          <w:sz w:val="24"/>
        </w:rPr>
        <w:t xml:space="preserve">[53] Coal Price Forecast 2026 - 2030: Coal Market Outlook for 5,10 &amp; 20 ... https://j2t.com/solutions/blogview/coal-price-prediction/</w:t>
      </w:r>
    </w:p>
    <w:p>
      <w:pPr>
        <w:spacing w:line="288" w:lineRule="auto"/>
        <w:ind w:firstLine="480" w:firstLineChars="200"/>
        <w:jc w:val="both"/>
      </w:pPr>
      <w:r>
        <w:rPr>
          <w:rFonts w:hint="eastAsia" w:ascii="微软雅黑" w:hAnsi="微软雅黑" w:eastAsia="微软雅黑"/>
          <w:noProof/>
          <w:sz w:val="24"/>
        </w:rPr>
        <w:t xml:space="preserve">[54] Coal Market Size, Share, Trends | Growth Forecast [2026-2034] https://www.fortunebusinessinsights.com/coal-market-109452</w:t>
      </w:r>
    </w:p>
    <w:p>
      <w:pPr>
        <w:spacing w:line="288" w:lineRule="auto"/>
        <w:ind w:firstLine="480" w:firstLineChars="200"/>
        <w:jc w:val="both"/>
      </w:pPr>
      <w:r>
        <w:rPr>
          <w:rFonts w:hint="eastAsia" w:ascii="微软雅黑" w:hAnsi="微软雅黑" w:eastAsia="微软雅黑"/>
          <w:noProof/>
          <w:sz w:val="24"/>
        </w:rPr>
        <w:t xml:space="preserve">[55] Global coal demand to remain on a plateau in 2025 and 2026 - IEA https://www.iea.org/news/global-coal-demand-to-remain-on-a-plateau-in-2025-and-2026</w:t>
      </w:r>
    </w:p>
    <w:p>
      <w:pPr>
        <w:spacing w:line="288" w:lineRule="auto"/>
        <w:ind w:firstLine="480" w:firstLineChars="200"/>
        <w:jc w:val="both"/>
      </w:pPr>
      <w:r>
        <w:rPr>
          <w:rFonts w:hint="eastAsia" w:ascii="微软雅黑" w:hAnsi="微软雅黑" w:eastAsia="微软雅黑"/>
          <w:noProof/>
          <w:sz w:val="24"/>
        </w:rPr>
        <w:t xml:space="preserve">[56] U.S. on track to close half of coal capacity by 2026 | IEEFA https://ieefa.org/resources/us-track-close-half-coal-capacity-2026</w:t>
      </w:r>
    </w:p>
    <w:p>
      <w:pPr>
        <w:spacing w:line="288" w:lineRule="auto"/>
        <w:ind w:firstLine="480" w:firstLineChars="200"/>
        <w:jc w:val="both"/>
      </w:pPr>
      <w:r>
        <w:rPr>
          <w:rFonts w:hint="eastAsia" w:ascii="微软雅黑" w:hAnsi="微软雅黑" w:eastAsia="微软雅黑"/>
          <w:noProof/>
          <w:sz w:val="24"/>
        </w:rPr>
        <w:t xml:space="preserve">[57] Global coal prices rise as energy market volatility and supply ... https://thecoalhub.com/report-presentation/global-coal-prices-rise-as-energy-market-volatility-and-supply-concerns-support-coal-futures</w:t>
      </w:r>
    </w:p>
    <w:p>
      <w:pPr>
        <w:spacing w:line="288" w:lineRule="auto"/>
        <w:ind w:firstLine="480" w:firstLineChars="200"/>
        <w:jc w:val="both"/>
      </w:pPr>
      <w:r>
        <w:rPr>
          <w:rFonts w:hint="eastAsia" w:ascii="微软雅黑" w:hAnsi="微软雅黑" w:eastAsia="微软雅黑"/>
          <w:noProof/>
          <w:sz w:val="24"/>
        </w:rPr>
        <w:t xml:space="preserve">[58] U.S. coal industry news for the week ending June 2026 - Facebook https://www.facebook.com/AmericanCoal/posts/coal-currents-weekly-intelligence-for-the-us-coal-industryweek-ending-june-21-20/1303387321970149/</w:t>
      </w:r>
    </w:p>
    <w:p>
      <w:pPr>
        <w:spacing w:line="288" w:lineRule="auto"/>
        <w:ind w:firstLine="480" w:firstLineChars="200"/>
        <w:jc w:val="both"/>
      </w:pPr>
      <w:r>
        <w:rPr>
          <w:rFonts w:hint="eastAsia" w:ascii="微软雅黑" w:hAnsi="微软雅黑" w:eastAsia="微软雅黑"/>
          <w:noProof/>
          <w:sz w:val="24"/>
        </w:rPr>
        <w:t xml:space="preserve">[59] Explainer: China's latest coal mine closures, in context | Reuters https://www.reuters.com/world/asia-pacific/chinas-latest-coal-mine-closures-context-2026-05-26/</w:t>
      </w:r>
    </w:p>
    <w:p>
      <w:pPr>
        <w:spacing w:line="288" w:lineRule="auto"/>
        <w:ind w:firstLine="480" w:firstLineChars="200"/>
        <w:jc w:val="both"/>
      </w:pPr>
      <w:r>
        <w:rPr>
          <w:rFonts w:hint="eastAsia" w:ascii="微软雅黑" w:hAnsi="微软雅黑" w:eastAsia="微软雅黑"/>
          <w:noProof/>
          <w:sz w:val="24"/>
        </w:rPr>
        <w:t xml:space="preserve">[60] [PDF] Coal 2023 - Analysis and forecast to 2026 https://iea.blob.core.windows.net/assets/a72a7ffa-c5f2-4ed8-a2bf-eb035931d95c/Coal_2023.pdf</w:t>
      </w:r>
    </w:p>
    <w:p>
      <w:pPr>
        <w:spacing w:line="288" w:lineRule="auto"/>
        <w:ind w:firstLine="480" w:firstLineChars="200"/>
        <w:jc w:val="both"/>
      </w:pPr>
      <w:r>
        <w:rPr>
          <w:rFonts w:hint="eastAsia" w:ascii="微软雅黑" w:hAnsi="微软雅黑" w:eastAsia="微软雅黑"/>
          <w:noProof/>
          <w:sz w:val="24"/>
        </w:rPr>
        <w:t xml:space="preserve">[61] South Africa's rail reforms aim to boost mineral trade - Railway PRO https://www.railwaypro.com/wp/south-africas-rail-reforms-aim-to-boost-mineral-trade/</w:t>
      </w:r>
    </w:p>
    <w:p>
      <w:pPr>
        <w:spacing w:line="288" w:lineRule="auto"/>
        <w:ind w:firstLine="480" w:firstLineChars="200"/>
        <w:jc w:val="both"/>
      </w:pPr>
      <w:r>
        <w:rPr>
          <w:rFonts w:hint="eastAsia" w:ascii="微软雅黑" w:hAnsi="微软雅黑" w:eastAsia="微软雅黑"/>
          <w:noProof/>
          <w:sz w:val="24"/>
        </w:rPr>
        <w:t xml:space="preserve">[62] South Africa has approved 11 private companies to begin operating ... https://www.instagram.com/p/DYUbdPXCmiu/</w:t>
      </w:r>
    </w:p>
    <w:p>
      <w:pPr>
        <w:spacing w:line="288" w:lineRule="auto"/>
        <w:ind w:firstLine="480" w:firstLineChars="200"/>
        <w:jc w:val="both"/>
      </w:pPr>
      <w:r>
        <w:rPr>
          <w:rFonts w:hint="eastAsia" w:ascii="微软雅黑" w:hAnsi="微软雅黑" w:eastAsia="微软雅黑"/>
          <w:noProof/>
          <w:sz w:val="24"/>
        </w:rPr>
        <w:t xml:space="preserve">[63] In case you missed it, listen to PRASA Group CEO on Radio 702 this ... https://www.instagram.com/reel/DWlRNR1An25/</w:t>
      </w:r>
    </w:p>
    <w:p>
      <w:pPr>
        <w:spacing w:line="288" w:lineRule="auto"/>
        <w:ind w:firstLine="480" w:firstLineChars="200"/>
        <w:jc w:val="both"/>
      </w:pPr>
      <w:r>
        <w:rPr>
          <w:rFonts w:hint="eastAsia" w:ascii="微软雅黑" w:hAnsi="微软雅黑" w:eastAsia="微软雅黑"/>
          <w:noProof/>
          <w:sz w:val="24"/>
        </w:rPr>
        <w:t xml:space="preserve">[64] Transport Minister updates on PRASA progress in Cape Town https://www.youtube.com/watch?v=VWnuWjGW6Ao</w:t>
      </w:r>
    </w:p>
    <w:p>
      <w:pPr>
        <w:spacing w:line="288" w:lineRule="auto"/>
        <w:ind w:firstLine="480" w:firstLineChars="200"/>
        <w:jc w:val="both"/>
      </w:pPr>
      <w:r>
        <w:rPr>
          <w:rFonts w:hint="eastAsia" w:ascii="微软雅黑" w:hAnsi="微软雅黑" w:eastAsia="微软雅黑"/>
          <w:noProof/>
          <w:sz w:val="24"/>
        </w:rPr>
        <w:t xml:space="preserve">[65] South Africa opens rail to private firms to boost coal exports https://energiesmedia.com/south-africa-opens-rail-to-private-firms/</w:t>
      </w:r>
    </w:p>
    <w:p>
      <w:pPr>
        <w:spacing w:line="288" w:lineRule="auto"/>
        <w:ind w:firstLine="480" w:firstLineChars="200"/>
        <w:jc w:val="both"/>
      </w:pPr>
      <w:r>
        <w:rPr>
          <w:rFonts w:hint="eastAsia" w:ascii="微软雅黑" w:hAnsi="微软雅黑" w:eastAsia="微软雅黑"/>
          <w:noProof/>
          <w:sz w:val="24"/>
        </w:rPr>
        <w:t xml:space="preserve">[66] This long weekend, Transnet Freight Rail calls on all road users to ... https://www.instagram.com/reel/DIioN89trwA/</w:t>
      </w:r>
    </w:p>
    <w:p>
      <w:pPr>
        <w:spacing w:line="288" w:lineRule="auto"/>
        <w:ind w:firstLine="480" w:firstLineChars="200"/>
        <w:jc w:val="both"/>
      </w:pPr>
      <w:r>
        <w:rPr>
          <w:rFonts w:hint="eastAsia" w:ascii="微软雅黑" w:hAnsi="微软雅黑" w:eastAsia="微软雅黑"/>
          <w:noProof/>
          <w:sz w:val="24"/>
        </w:rPr>
        <w:t xml:space="preserve">[67] BREAKING NEWS: 04 June 2026 On budget and on time, Transnet ... https://www.instagram.com/p/DZKBakolxeZ/</w:t>
      </w:r>
    </w:p>
    <w:p>
      <w:pPr>
        <w:spacing w:line="288" w:lineRule="auto"/>
        <w:ind w:firstLine="480" w:firstLineChars="200"/>
        <w:jc w:val="both"/>
      </w:pPr>
      <w:r>
        <w:rPr>
          <w:rFonts w:hint="eastAsia" w:ascii="微软雅黑" w:hAnsi="微软雅黑" w:eastAsia="微软雅黑"/>
          <w:noProof/>
          <w:sz w:val="24"/>
        </w:rPr>
        <w:t xml:space="preserve">[68] 16 June 2026 Reset @50: The Future Calls #YouthDay2026 ... https://x.com/ReliableTFR/status/2066798797150097831</w:t>
      </w:r>
    </w:p>
    <w:p>
      <w:pPr>
        <w:spacing w:line="288" w:lineRule="auto"/>
        <w:ind w:firstLine="480" w:firstLineChars="200"/>
        <w:jc w:val="both"/>
      </w:pPr>
      <w:r>
        <w:rPr>
          <w:rFonts w:hint="eastAsia" w:ascii="微软雅黑" w:hAnsi="微软雅黑" w:eastAsia="微软雅黑"/>
          <w:noProof/>
          <w:sz w:val="24"/>
        </w:rPr>
        <w:t xml:space="preserve">[69] June 2026 Monthly Rail Recap - Trains https://www.trains.com/pro/freight/class-i/june-2026-monthly-rail-recap/</w:t>
      </w:r>
    </w:p>
    <w:p>
      <w:pPr>
        <w:spacing w:line="288" w:lineRule="auto"/>
        <w:ind w:firstLine="480" w:firstLineChars="200"/>
        <w:jc w:val="both"/>
      </w:pPr>
      <w:r>
        <w:rPr>
          <w:rFonts w:hint="eastAsia" w:ascii="微软雅黑" w:hAnsi="微软雅黑" w:eastAsia="微软雅黑"/>
          <w:noProof/>
          <w:sz w:val="24"/>
        </w:rPr>
        <w:t xml:space="preserve">[70] Railway Age Next-Gen Freight Rail 2026 https://www.railwayage.com/ngfr26/</w:t>
      </w:r>
    </w:p>
    <w:p>
      <w:pPr>
        <w:spacing w:line="288" w:lineRule="auto"/>
        <w:ind w:firstLine="480" w:firstLineChars="200"/>
        <w:jc w:val="both"/>
      </w:pPr>
      <w:r>
        <w:rPr>
          <w:rFonts w:hint="eastAsia" w:ascii="微软雅黑" w:hAnsi="微软雅黑" w:eastAsia="微软雅黑"/>
          <w:noProof/>
          <w:sz w:val="24"/>
        </w:rPr>
        <w:t xml:space="preserve">[72] Rail Logistics Market Size to Hit USD 716.04 Billion by 2035 https://www.precedenceresearch.com/rail-logistics-market</w:t>
      </w:r>
    </w:p>
    <w:p>
      <w:pPr>
        <w:spacing w:line="288" w:lineRule="auto"/>
        <w:ind w:firstLine="480" w:firstLineChars="200"/>
        <w:jc w:val="both"/>
      </w:pPr>
      <w:r>
        <w:rPr>
          <w:rFonts w:hint="eastAsia" w:ascii="微软雅黑" w:hAnsi="微软雅黑" w:eastAsia="微软雅黑"/>
          <w:noProof/>
          <w:sz w:val="24"/>
        </w:rPr>
        <w:t xml:space="preserve">[73] 2026 rail industry outlook and trends - Facebook https://www.facebook.com/hdrinc/posts/the-rail-industry-is-off-to-a-strong-start-in-2026in-a-new-railway-track-structu/1390757203085247/</w:t>
      </w:r>
    </w:p>
    <w:p>
      <w:pPr>
        <w:spacing w:line="288" w:lineRule="auto"/>
        <w:ind w:firstLine="480" w:firstLineChars="200"/>
        <w:jc w:val="both"/>
      </w:pPr>
      <w:r>
        <w:rPr>
          <w:rFonts w:hint="eastAsia" w:ascii="微软雅黑" w:hAnsi="微软雅黑" w:eastAsia="微软雅黑"/>
          <w:noProof/>
          <w:sz w:val="24"/>
        </w:rPr>
        <w:t xml:space="preserve">[74] Rail Logistics Industry Analysis Report 2026 - Amtrak News Today https://amtrak.einnews.com/pr_news/889559560/rail-logistics-industry-analysis-report-2026-major-trends-influencing-factors-and-forecast-overview</w:t>
      </w:r>
    </w:p>
    <w:p>
      <w:pPr>
        <w:spacing w:line="288" w:lineRule="auto"/>
        <w:ind w:firstLine="480" w:firstLineChars="200"/>
        <w:jc w:val="both"/>
      </w:pPr>
      <w:r>
        <w:rPr>
          <w:rFonts w:hint="eastAsia" w:ascii="微软雅黑" w:hAnsi="微软雅黑" w:eastAsia="微软雅黑"/>
          <w:noProof/>
          <w:sz w:val="24"/>
        </w:rPr>
        <w:t xml:space="preserve">[75] Rail Logistics Market Size, Share &amp; Analysis, 2034 https://www.fortunebusinessinsights.com/rail-logistics-market-114428</w:t>
      </w:r>
    </w:p>
    <w:p>
      <w:pPr>
        <w:spacing w:line="288" w:lineRule="auto"/>
        <w:ind w:firstLine="480" w:firstLineChars="200"/>
        <w:jc w:val="both"/>
      </w:pPr>
      <w:r>
        <w:rPr>
          <w:rFonts w:hint="eastAsia" w:ascii="微软雅黑" w:hAnsi="微软雅黑" w:eastAsia="微软雅黑"/>
          <w:noProof/>
          <w:sz w:val="24"/>
        </w:rPr>
        <w:t xml:space="preserve">[76] South African coal miners turn to trucks as rail service deteriorates https://www.mining.com/web/south-african-coal-miners-turn-to-trucks-as-rail-service-deteriorates/</w:t>
      </w:r>
    </w:p>
    <w:p>
      <w:pPr>
        <w:spacing w:line="288" w:lineRule="auto"/>
        <w:ind w:firstLine="480" w:firstLineChars="200"/>
        <w:jc w:val="both"/>
      </w:pPr>
      <w:r>
        <w:rPr>
          <w:rFonts w:hint="eastAsia" w:ascii="微软雅黑" w:hAnsi="微软雅黑" w:eastAsia="微软雅黑"/>
          <w:noProof/>
          <w:sz w:val="24"/>
        </w:rPr>
        <w:t xml:space="preserve">[77] South Africa's shift away from coal is exposing deep economic ... https://www.instagram.com/reel/DR2Pq5LAazM/?hl=en</w:t>
      </w:r>
    </w:p>
    <w:p>
      <w:pPr>
        <w:spacing w:line="288" w:lineRule="auto"/>
        <w:ind w:firstLine="480" w:firstLineChars="200"/>
        <w:jc w:val="both"/>
      </w:pPr>
      <w:r>
        <w:rPr>
          <w:rFonts w:hint="eastAsia" w:ascii="微软雅黑" w:hAnsi="微软雅黑" w:eastAsia="微软雅黑"/>
          <w:noProof/>
          <w:sz w:val="24"/>
        </w:rPr>
        <w:t xml:space="preserve">[78] Eskom cancels six coal transport contracts - YouTube https://www.youtube.com/watch?v=Rgj0dotgBRs</w:t>
      </w:r>
    </w:p>
    <w:p>
      <w:pPr>
        <w:spacing w:line="288" w:lineRule="auto"/>
        <w:ind w:firstLine="480" w:firstLineChars="200"/>
        <w:jc w:val="both"/>
      </w:pPr>
      <w:r>
        <w:rPr>
          <w:rFonts w:hint="eastAsia" w:ascii="微软雅黑" w:hAnsi="微软雅黑" w:eastAsia="微软雅黑"/>
          <w:noProof/>
          <w:sz w:val="24"/>
        </w:rPr>
        <w:t xml:space="preserve">[79] Coal &amp; Energy Transition Day 2026 | Global Africa Network https://www.globalafricanetwork.com/sectors/secondary-industries/power-water-utilities/coal-energy-transition-day/</w:t>
      </w:r>
    </w:p>
    <w:p>
      <w:pPr>
        <w:spacing w:line="288" w:lineRule="auto"/>
        <w:ind w:firstLine="480" w:firstLineChars="200"/>
        <w:jc w:val="both"/>
      </w:pPr>
      <w:r>
        <w:rPr>
          <w:rFonts w:hint="eastAsia" w:ascii="微软雅黑" w:hAnsi="微软雅黑" w:eastAsia="微软雅黑"/>
          <w:noProof/>
          <w:sz w:val="24"/>
        </w:rPr>
        <w:t xml:space="preserve">[80] South Africa's move away from coal marred by legacy of abandoned ... https://news.mongabay.com/2026/06/south-africas-move-away-from-coal-marred-by-legacy-of-abandoned-mines-report/</w:t>
      </w:r>
    </w:p>
    <w:p>
      <w:pPr>
        <w:spacing w:line="288" w:lineRule="auto"/>
        <w:ind w:firstLine="480" w:firstLineChars="200"/>
        <w:jc w:val="both"/>
      </w:pPr>
      <w:r>
        <w:rPr>
          <w:rFonts w:hint="eastAsia" w:ascii="微软雅黑" w:hAnsi="微软雅黑" w:eastAsia="微软雅黑"/>
          <w:noProof/>
          <w:sz w:val="24"/>
        </w:rPr>
        <w:t xml:space="preserve">[81] Rail Equipment Finance 2026: Let's Get Back to 'Business Being ... https://www.railwayage.com/financeleasing/rail-equipment-finance-2026-lets-get-back-to-business-being-business/</w:t>
      </w:r>
    </w:p>
    <w:p>
      <w:pPr>
        <w:spacing w:line="288" w:lineRule="auto"/>
        <w:ind w:firstLine="480" w:firstLineChars="200"/>
        <w:jc w:val="both"/>
      </w:pPr>
      <w:r>
        <w:rPr>
          <w:rFonts w:hint="eastAsia" w:ascii="微软雅黑" w:hAnsi="微软雅黑" w:eastAsia="微软雅黑"/>
          <w:noProof/>
          <w:sz w:val="24"/>
        </w:rPr>
        <w:t xml:space="preserve">[82] Outlook 2026: Uncertainty surrounding tariffs, workforce availability ... https://www.progressiverailroading.com/mow/news/Outlook-2026-Uncertainty-surrounding-tariffs-workforce-availability-and-federal-funding-could-lead-to-a-tighter-contracting-environment--75938</w:t>
      </w:r>
    </w:p>
    <w:p>
      <w:pPr>
        <w:spacing w:line="288" w:lineRule="auto"/>
        <w:ind w:firstLine="480" w:firstLineChars="200"/>
        <w:jc w:val="both"/>
      </w:pPr>
      <w:r>
        <w:rPr>
          <w:rFonts w:hint="eastAsia" w:ascii="微软雅黑" w:hAnsi="微软雅黑" w:eastAsia="微软雅黑"/>
          <w:noProof/>
          <w:sz w:val="24"/>
        </w:rPr>
        <w:t xml:space="preserve">[83] Rail Supply Industry Releases Updated Economic Impact Report ... https://www.rsiweb.org/rail-supply-industry-releases-updated-economic-impact-report-highlighting-906000-jobs-throughout-u-s-economy/</w:t>
      </w:r>
    </w:p>
    <w:p>
      <w:pPr>
        <w:spacing w:line="288" w:lineRule="auto"/>
        <w:ind w:firstLine="480" w:firstLineChars="200"/>
        <w:jc w:val="both"/>
      </w:pPr>
      <w:r>
        <w:rPr>
          <w:rFonts w:hint="eastAsia" w:ascii="微软雅黑" w:hAnsi="微软雅黑" w:eastAsia="微软雅黑"/>
          <w:noProof/>
          <w:sz w:val="24"/>
        </w:rPr>
        <w:t xml:space="preserve">[84] Amtrak Ridership Soars to Records, Infrastructure Under Spotlight ... https://migcsa.org/expert-time/Amtrak-Ridership-Soars-to-Records-Infrastructure-Under-Spotlight-for-2026-World-Cup-21-5877</w:t>
      </w:r>
    </w:p>
    <w:p>
      <w:pPr>
        <w:spacing w:line="288" w:lineRule="auto"/>
        <w:ind w:firstLine="480" w:firstLineChars="200"/>
        <w:jc w:val="both"/>
      </w:pPr>
      <w:r>
        <w:rPr>
          <w:rFonts w:hint="eastAsia" w:ascii="微软雅黑" w:hAnsi="微软雅黑" w:eastAsia="微软雅黑"/>
          <w:noProof/>
          <w:sz w:val="24"/>
        </w:rPr>
        <w:t xml:space="preserve">[85] What happened in the rail industry this week? June 5, 2026 https://www.facebook.com/TrainsMagazine/posts/what-happened-in-the-rail-industry-this-week-june-5-2026/1472193711618906/</w:t>
      </w:r>
    </w:p>
    <w:p>
      <w:pPr>
        <w:spacing w:line="288" w:lineRule="auto"/>
        <w:ind w:firstLine="480" w:firstLineChars="200"/>
        <w:jc w:val="both"/>
      </w:pPr>
      <w:r>
        <w:rPr>
          <w:rFonts w:hint="eastAsia" w:ascii="微软雅黑" w:hAnsi="微软雅黑" w:eastAsia="微软雅黑"/>
          <w:noProof/>
          <w:sz w:val="24"/>
        </w:rPr>
        <w:t xml:space="preserve">[86] Coal Network Update for Friday, June 5, 2026 - BNSF Railway http://www.bnsf.com/news-media/customer-notifications/notification.page?notId=coal-network-update-for-friday-june-5-2026</w:t>
      </w:r>
    </w:p>
    <w:p>
      <w:pPr>
        <w:spacing w:line="288" w:lineRule="auto"/>
        <w:ind w:firstLine="480" w:firstLineChars="200"/>
        <w:jc w:val="both"/>
      </w:pPr>
      <w:r>
        <w:rPr>
          <w:rFonts w:hint="eastAsia" w:ascii="微软雅黑" w:hAnsi="微软雅黑" w:eastAsia="微软雅黑"/>
          <w:noProof/>
          <w:sz w:val="24"/>
        </w:rPr>
        <w:t xml:space="preserve">[87] What is the future of coal shipments from smet site? - Facebook https://www.facebook.com/groups/280781616123369/posts/1878978489636999/</w:t>
      </w:r>
    </w:p>
    <w:p>
      <w:pPr>
        <w:spacing w:line="288" w:lineRule="auto"/>
        <w:ind w:firstLine="480" w:firstLineChars="200"/>
        <w:jc w:val="both"/>
      </w:pPr>
      <w:r>
        <w:rPr>
          <w:rFonts w:hint="eastAsia" w:ascii="微软雅黑" w:hAnsi="微软雅黑" w:eastAsia="微软雅黑"/>
          <w:noProof/>
          <w:sz w:val="24"/>
        </w:rPr>
        <w:t xml:space="preserve">[88] Daytime full road closures scheduled for Coal Bank Pass August 25 ... https://www.durangoco.gov/CivicAlerts.asp?AID=4290</w:t>
      </w:r>
    </w:p>
    <w:p>
      <w:pPr>
        <w:spacing w:line="288" w:lineRule="auto"/>
        <w:ind w:firstLine="480" w:firstLineChars="200"/>
        <w:jc w:val="both"/>
      </w:pPr>
      <w:r>
        <w:rPr>
          <w:rFonts w:hint="eastAsia" w:ascii="微软雅黑" w:hAnsi="微软雅黑" w:eastAsia="微软雅黑"/>
          <w:noProof/>
          <w:sz w:val="24"/>
        </w:rPr>
        <w:t xml:space="preserve">[89] Transporting Coal by Rail | Norfolk Southern https://www.norfolksouthern.com/en/ship-by-rail/industry/coal</w:t>
      </w:r>
    </w:p>
    <w:p>
      <w:pPr>
        <w:spacing w:line="288" w:lineRule="auto"/>
        <w:ind w:firstLine="480" w:firstLineChars="200"/>
        <w:jc w:val="both"/>
      </w:pPr>
      <w:r>
        <w:rPr>
          <w:rFonts w:hint="eastAsia" w:ascii="微软雅黑" w:hAnsi="微软雅黑" w:eastAsia="微软雅黑"/>
          <w:noProof/>
          <w:sz w:val="24"/>
        </w:rPr>
        <w:t xml:space="preserve">[90] The cost of transporting coal to the U.S. electric power sector ... - EIA https://www.eia.gov/todayinenergy/detail.php?id=67346</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Operator+A</c:v>
                </c:pt>
                <c:pt idx="1">
                  <c:v>Operator+B</c:v>
                </c:pt>
                <c:pt idx="2">
                  <c:v>Operator+C</c:v>
                </c:pt>
                <c:pt idx="3">
                  <c:v>Others</c:v>
                </c:pt>
              </c:strCache>
            </c:strRef>
          </c:cat>
          <c:val>
            <c:numRef>
              <c:f>Sheet1!$B$2:$B$5</c:f>
              <c:numCache>
                <c:ptCount val="4"/>
                <c:pt idx="0">
                  <c:v>35</c:v>
                </c:pt>
                <c:pt idx="1">
                  <c:v>25</c:v>
                </c:pt>
                <c:pt idx="2">
                  <c:v>20</c:v>
                </c:pt>
                <c:pt idx="3">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Toll+Processing+Demand+Index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100</c:v>
                </c:pt>
                <c:pt idx="1">
                  <c:v>125</c:v>
                </c:pt>
                <c:pt idx="2">
                  <c:v>155</c:v>
                </c:pt>
                <c:pt idx="3">
                  <c:v>190</c:v>
                </c:pt>
                <c:pt idx="4">
                  <c:v>240</c:v>
                </c:pt>
              </c:numCache>
            </c:numRef>
          </c:val>
          <c:smooth val="false"/>
        </c:ser>
        <c:smooth val="false"/>
        <c:axId val="9492143"/>
        <c:axId val="5261974"/>
      </c:lineChart>
      <c:catAx>
        <c:axId val="949214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261974"/>
        <c:crosses val="autoZero"/>
      </c:catAx>
      <c:valAx>
        <c:axId val="526197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49214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Closures+&amp;+Shutdowns+(Days)</c:v>
                </c:pt>
              </c:strCache>
            </c:strRef>
          </c:tx>
          <c:spPr>
            <a:ln>
              <a:solidFill>
                <a:srgbClr val="FF7733"/>
              </a:solidFill>
            </a:ln>
          </c:spPr>
          <c:marker>
            <c:symbol val="circle"/>
            <c:size val="4"/>
            <c:spPr>
              <a:noFill/>
              <a:ln>
                <a:solidFill>
                  <a:srgbClr val="FF7733"/>
                </a:solidFill>
              </a:ln>
            </c:spPr>
          </c:marker>
          <c:cat>
            <c:strRef>
              <c:f>Sheet1!$A$2:$A$4</c:f>
              <c:strCache>
                <c:ptCount val="3"/>
                <c:pt idx="0">
                  <c:v>2023</c:v>
                </c:pt>
                <c:pt idx="1">
                  <c:v>2024</c:v>
                </c:pt>
                <c:pt idx="2">
                  <c:v>2025</c:v>
                </c:pt>
              </c:strCache>
            </c:strRef>
          </c:cat>
          <c:val>
            <c:numRef>
              <c:f>Sheet1!$B$2:$B$4</c:f>
              <c:numCache>
                <c:ptCount val="3"/>
                <c:pt idx="0">
                  <c:v>45</c:v>
                </c:pt>
                <c:pt idx="1">
                  <c:v>60</c:v>
                </c:pt>
                <c:pt idx="2">
                  <c:v>30</c:v>
                </c:pt>
              </c:numCache>
            </c:numRef>
          </c:val>
          <c:smooth val="false"/>
        </c:ser>
        <c:ser>
          <c:idx val="1"/>
          <c:order val="1"/>
          <c:tx>
            <c:strRef>
              <c:f>Sheet1!$C$1</c:f>
              <c:strCache>
                <c:ptCount val="1"/>
                <c:pt idx="0">
                  <c:v>Toll+Processing+Demand+Index</c:v>
                </c:pt>
              </c:strCache>
            </c:strRef>
          </c:tx>
          <c:spPr>
            <a:ln>
              <a:solidFill>
                <a:srgbClr val="F8D256"/>
              </a:solidFill>
            </a:ln>
          </c:spPr>
          <c:marker>
            <c:symbol val="circle"/>
            <c:size val="4"/>
            <c:spPr>
              <a:noFill/>
              <a:ln>
                <a:solidFill>
                  <a:srgbClr val="F8D256"/>
                </a:solidFill>
              </a:ln>
            </c:spPr>
          </c:marker>
          <c:cat>
            <c:strRef>
              <c:f>Sheet1!$A$2:$A$4</c:f>
              <c:strCache>
                <c:ptCount val="3"/>
                <c:pt idx="0">
                  <c:v>2023</c:v>
                </c:pt>
                <c:pt idx="1">
                  <c:v>2024</c:v>
                </c:pt>
                <c:pt idx="2">
                  <c:v>2025</c:v>
                </c:pt>
              </c:strCache>
            </c:strRef>
          </c:cat>
          <c:val>
            <c:numRef>
              <c:f>Sheet1!$C$2:$C$4</c:f>
              <c:numCache>
                <c:ptCount val="3"/>
                <c:pt idx="0">
                  <c:v>110</c:v>
                </c:pt>
                <c:pt idx="1">
                  <c:v>135</c:v>
                </c:pt>
                <c:pt idx="2">
                  <c:v>95</c:v>
                </c:pt>
              </c:numCache>
            </c:numRef>
          </c:val>
          <c:smooth val="false"/>
        </c:ser>
        <c:smooth val="false"/>
        <c:axId val="3379229"/>
        <c:axId val="4185031"/>
      </c:lineChart>
      <c:catAx>
        <c:axId val="3379229"/>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185031"/>
        <c:crosses val="autoZero"/>
      </c:catAx>
      <c:valAx>
        <c:axId val="418503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379229"/>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Rail+Capacity+(Million+Tons)</c:v>
                </c:pt>
              </c:strCache>
            </c:strRef>
          </c:tx>
          <c:spPr>
            <a:ln>
              <a:solidFill>
                <a:srgbClr val="FF7733"/>
              </a:solidFill>
            </a:ln>
          </c:spPr>
          <c:marker>
            <c:symbol val="circle"/>
            <c:size val="4"/>
            <c:spPr>
              <a:noFill/>
              <a:ln>
                <a:solidFill>
                  <a:srgbClr val="FF7733"/>
                </a:solidFill>
              </a:ln>
            </c:spPr>
          </c:marker>
          <c:cat>
            <c:strRef>
              <c:f>Sheet1!$A$2:$A$6</c:f>
              <c:strCache>
                <c:ptCount val="5"/>
                <c:pt idx="0">
                  <c:v>2021</c:v>
                </c:pt>
                <c:pt idx="1">
                  <c:v>2022</c:v>
                </c:pt>
                <c:pt idx="2">
                  <c:v>2023</c:v>
                </c:pt>
                <c:pt idx="3">
                  <c:v>2024</c:v>
                </c:pt>
                <c:pt idx="4">
                  <c:v>2025</c:v>
                </c:pt>
              </c:strCache>
            </c:strRef>
          </c:cat>
          <c:val>
            <c:numRef>
              <c:f>Sheet1!$B$2:$B$6</c:f>
              <c:numCache>
                <c:ptCount val="5"/>
                <c:pt idx="0">
                  <c:v>75</c:v>
                </c:pt>
                <c:pt idx="1">
                  <c:v>70</c:v>
                </c:pt>
                <c:pt idx="2">
                  <c:v>65</c:v>
                </c:pt>
                <c:pt idx="3">
                  <c:v>68</c:v>
                </c:pt>
                <c:pt idx="4">
                  <c:v>72</c:v>
                </c:pt>
              </c:numCache>
            </c:numRef>
          </c:val>
          <c:smooth val="false"/>
        </c:ser>
        <c:ser>
          <c:idx val="1"/>
          <c:order val="1"/>
          <c:tx>
            <c:strRef>
              <c:f>Sheet1!$C$1</c:f>
              <c:strCache>
                <c:ptCount val="1"/>
                <c:pt idx="0">
                  <c:v>Disruption+Events</c:v>
                </c:pt>
              </c:strCache>
            </c:strRef>
          </c:tx>
          <c:spPr>
            <a:ln>
              <a:solidFill>
                <a:srgbClr val="F8D256"/>
              </a:solidFill>
            </a:ln>
          </c:spPr>
          <c:marker>
            <c:symbol val="circle"/>
            <c:size val="4"/>
            <c:spPr>
              <a:noFill/>
              <a:ln>
                <a:solidFill>
                  <a:srgbClr val="F8D256"/>
                </a:solidFill>
              </a:ln>
            </c:spPr>
          </c:marker>
          <c:cat>
            <c:strRef>
              <c:f>Sheet1!$A$2:$A$6</c:f>
              <c:strCache>
                <c:ptCount val="5"/>
                <c:pt idx="0">
                  <c:v>2021</c:v>
                </c:pt>
                <c:pt idx="1">
                  <c:v>2022</c:v>
                </c:pt>
                <c:pt idx="2">
                  <c:v>2023</c:v>
                </c:pt>
                <c:pt idx="3">
                  <c:v>2024</c:v>
                </c:pt>
                <c:pt idx="4">
                  <c:v>2025</c:v>
                </c:pt>
              </c:strCache>
            </c:strRef>
          </c:cat>
          <c:val>
            <c:numRef>
              <c:f>Sheet1!$C$2:$C$6</c:f>
              <c:numCache>
                <c:ptCount val="5"/>
                <c:pt idx="0">
                  <c:v>12</c:v>
                </c:pt>
                <c:pt idx="1">
                  <c:v>18</c:v>
                </c:pt>
                <c:pt idx="2">
                  <c:v>25</c:v>
                </c:pt>
                <c:pt idx="3">
                  <c:v>15</c:v>
                </c:pt>
                <c:pt idx="4">
                  <c:v>10</c:v>
                </c:pt>
              </c:numCache>
            </c:numRef>
          </c:val>
          <c:smooth val="false"/>
        </c:ser>
        <c:smooth val="false"/>
        <c:axId val="1820146"/>
        <c:axId val="4938654"/>
      </c:lineChart>
      <c:catAx>
        <c:axId val="182014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938654"/>
        <c:crosses val="autoZero"/>
      </c:catAx>
      <c:valAx>
        <c:axId val="493865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82014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