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afterLines="100" w:line="288" w:lineRule="auto"/>
        <w:ind/>
        <w:jc w:val="center"/>
      </w:pPr>
      <w:r>
        <w:rPr>
          <w:rFonts w:hint="eastAsia" w:ascii="微软雅黑" w:hAnsi="微软雅黑" w:eastAsia="微软雅黑"/>
          <w:b/>
          <w:noProof/>
          <w:sz w:val="36"/>
        </w:rPr>
        <w:t xml:space="preserve">Market Intelligence for YAL.ai: Unlocking Opportunities in AI Cybersecurity</w:t>
      </w:r>
    </w:p>
    <w:p>
      <w:pPr>
        <w:spacing w:line="288" w:lineRule="auto"/>
        <w:ind w:firstLine="480" w:firstLineChars="200"/>
        <w:jc w:val="both"/>
      </w:pPr>
      <w:r>
        <w:rPr>
          <w:rFonts w:hint="eastAsia" w:ascii="微软雅黑" w:hAnsi="微软雅黑" w:eastAsia="微软雅黑"/>
          <w:b/>
          <w:noProof/>
          <w:sz w:val="24"/>
        </w:rPr>
        <w:t>ABSTRACT：</w:t>
      </w:r>
    </w:p>
    <w:p>
      <w:pPr>
        <w:spacing w:line="288" w:lineRule="auto"/>
        <w:ind w:firstLine="480" w:firstLineChars="200"/>
        <w:jc w:val="both"/>
      </w:pPr>
      <w:r>
        <w:rPr>
          <w:rFonts w:hint="eastAsia" w:ascii="微软雅黑" w:hAnsi="微软雅黑" w:eastAsia="微软雅黑"/>
          <w:noProof/>
          <w:sz w:val="24"/>
        </w:rPr>
        <w:t xml:space="preserve">This thesis delves into the critical aspects of market intelligence for YAL.ai, a company seeking to leverage Artificial Intelligence in the cybersecurity domain within South Africa. The research systematically analyzes the competitive landscape, identifying key local and international cybersecurity vendors, their product offerings, pricing models, and market positioning. Understanding these competitors is crucial for YAL.ai to define its unique value proposition and strategic advantages. Furthermore, the study examines the specific South African threat landscape, focusing on prevalent phishing and Business Email Compromise (BEC) attacks, their common vectors, and the significant financial and sectoral impacts. This insight will inform the development of targeted AI-driven solutions. The tender landscape is also mapped, detailing relevant procurement portals, necessary accreditations, and influential cybersecurity mandates to uncover business opportunities. Crucially, the research outlines the regulatory and compliance drivers, such as POPIA and the Cybercrimes Act, that are shaping cybersecurity demand and dictating organizational obligations. Finally, comprehensive go-to-market intelligence is provided, covering effective reseller networks, key industry events, and strategies for overcoming potential client objections related to cost and data privacy. The overarching objective is to equip YAL.ai with actionable intelligence to unlock significant opportunities and establish a strong presence in the AI cybersecurity market in South Africa.</w:t>
      </w:r>
    </w:p>
    <w:p>
      <w:pPr>
        <w:spacing w:line="288" w:lineRule="auto"/>
        <w:ind w:firstLine="480" w:firstLineChars="200"/>
        <w:jc w:val="both"/>
      </w:pPr>
      <w:r>
        <w:rPr>
          <w:rFonts w:hint="eastAsia" w:ascii="微软雅黑" w:hAnsi="微软雅黑" w:eastAsia="微软雅黑"/>
          <w:b/>
          <w:noProof/>
          <w:sz w:val="24"/>
        </w:rPr>
        <w:t>Keywords：</w:t>
      </w:r>
    </w:p>
    <w:p>
      <w:pPr>
        <w:spacing w:line="288" w:lineRule="auto"/>
        <w:ind w:firstLine="480" w:firstLineChars="200"/>
        <w:jc w:val="both"/>
      </w:pPr>
      <w:r>
        <w:rPr>
          <w:rFonts w:hint="eastAsia" w:ascii="微软雅黑" w:hAnsi="微软雅黑" w:eastAsia="微软雅黑"/>
          <w:noProof/>
          <w:sz w:val="24"/>
        </w:rPr>
        <w:t xml:space="preserve">AI cybersecurity, market intelligence, South Africa, threat landscape, competitive analysis, regulatory compliance, go-to-market strategy, tender opportunities</w:t>
      </w:r>
    </w:p>
    <w:p>
      <w:pPr>
        <w:pStyle w:val="Heading2"/>
        <w:spacing w:line="288" w:lineRule="auto"/>
        <w:ind/>
      </w:pPr>
      <w:r>
        <w:rPr>
          <w:rFonts w:hint="eastAsia" w:ascii="微软雅黑" w:hAnsi="微软雅黑" w:eastAsia="微软雅黑"/>
          <w:b/>
          <w:noProof/>
          <w:sz w:val="36"/>
        </w:rPr>
        <w:t xml:space="preserve">Competitor Landscape</w:t>
      </w:r>
    </w:p>
    <w:p>
      <w:pPr>
        <w:spacing w:line="288" w:lineRule="auto"/>
        <w:ind w:firstLine="480" w:firstLineChars="200"/>
        <w:jc w:val="both"/>
      </w:pPr>
      <w:r>
        <w:rPr>
          <w:rFonts w:hint="eastAsia" w:ascii="微软雅黑" w:hAnsi="微软雅黑" w:eastAsia="微软雅黑"/>
          <w:noProof/>
          <w:sz w:val="24"/>
        </w:rPr>
        <w:t xml:space="preserve">The South African cybersecurity market represents a complex and dynamic ecosystem, characterized by the coexistence of large, multinational corporations and agile, locally-focused service providers. For a new entrant such as YAL.ai, a granular understanding of this competitive landscape is fundamental to carving out a sustainable market niche. The market is not monolithic; instead, it is segmented by customer size, industry vertical, and technological maturity, with different players dominating distinct segments. International vendors typically bring cutting-edge technology and global threat intelligence, appealing to large enterprises with complex security needs and substantial budgets. Conversely, local providers leverage their understanding of the regional business context, regulatory nuances, and the critical importance of B-BBEE (Broad-Based Black Economic Empowerment) credentials to serve the public sector and small to medium-sized enterprises (SMEs). Success for YAL.ai will hinge on its ability to navigate this terrain, positioning its AI-native solutions as a superior alternative that bridges the gap between the high cost of premium international products and the potential technological lag of some local offerings.</w:t>
      </w:r>
    </w:p>
    <w:p>
      <w:pPr>
        <w:spacing w:line="288" w:lineRule="auto"/>
        <w:ind w:firstLine="480" w:firstLineChars="200"/>
        <w:jc w:val="both"/>
      </w:pPr>
      <w:r>
        <w:rPr>
          <w:rFonts w:hint="eastAsia" w:ascii="微软雅黑" w:hAnsi="微软雅黑" w:eastAsia="微软雅黑"/>
          <w:noProof/>
          <w:sz w:val="24"/>
        </w:rPr>
        <w:t xml:space="preserve">The upper echelon of the market is firmly controlled by established international cybersecurity giants. CrowdStrike (www.crowdstrike.com) is a prominent leader, renowned for its cloud-native Falcon platform, which provides comprehensive endpoint detection and response (EDR) and extended detection and response (XDR) capabilities. Its market positioning in South Africa is distinctly premium, targeting large financial institutions, telecommunications companies, and retail giants that require state-of-the-art threat hunting and incident response services. Their pricing model is a tiered, high-value annual subscription per endpoint, often reaching significant contract values. Similarly, Palo Alto Networks (www.paloaltonetworks.com) offers a broad portfolio, including its next-generation firewalls (NGFWs) and the Cortex XDR platform, positioning itself as a holistic security partner for enterprise transformation. Fortinet (www.fortinet.com) competes aggressively with its Security Fabric concept, integrating a wide array of products from firewalls to email security, often appealing to organizations seeking a single-vendor architecture. Check Point Software Technologies (www.checkpoint.com) also maintains a strong presence, particularly in the network security domain. These international players’ primary strength lies in their massive research and development budgets and global threat intelligence networks, but their go-to-market strategies in South Africa rely heavily on a network of high-tier local partners for implementation and support.</w:t>
      </w:r>
    </w:p>
    <w:p>
      <w:pPr>
        <w:spacing w:line="288" w:lineRule="auto"/>
        <w:ind w:firstLine="480" w:firstLineChars="200"/>
        <w:jc w:val="both"/>
      </w:pPr>
      <w:r>
        <w:rPr>
          <w:rFonts w:hint="eastAsia" w:ascii="微软雅黑" w:hAnsi="微软雅黑" w:eastAsia="微软雅黑"/>
          <w:noProof/>
          <w:sz w:val="24"/>
        </w:rPr>
        <w:t xml:space="preserve">Complementing the international titans are strong local and regional champions who excel through deep market integration and tailored service delivery. Vodacom Business (www.vodacom.com/business) and MTN Business (www.mtn.co.za/business) leverage their extensive telecommunications infrastructure and vast customer bases to offer managed security services (MSSP). Their core offerings bundle connectivity with security solutions, including managed firewalls, secure web gateways, and increasingly, managed detection and response (MDR). Their market positioning is powerful, particularly in the mid-market and SME segments, where they are trusted brands. Their pricing models are often integrated into broader service contracts, offering flexibility and predictable operational expenditure. Another key player, BCX (www.bcx.co.za), part of the Telkom group, operates as a major systems integrator and MSSP, providing end-to-end IT solutions to a significant portion of South Africa's corporate and public sector entities. Their strength lies in their ability to manage complex, multi-vendor environments and their deep-seated relationships within government procurement channels. ESET (www.eset.com/za/), while an international company, has a very strong regional presence and distribution network, making it a dominant force in the endpoint protection market for both consumers and businesses, often seen as a reliable and cost-effective alternative to the premium US-based vendors.</w:t>
      </w:r>
    </w:p>
    <w:p>
      <w:pPr>
        <w:spacing w:line="288" w:lineRule="auto"/>
        <w:ind w:firstLine="480" w:firstLineChars="200"/>
        <w:jc w:val="both"/>
      </w:pPr>
      <w:r>
        <w:rPr>
          <w:rFonts w:hint="eastAsia" w:ascii="微软雅黑" w:hAnsi="微软雅黑" w:eastAsia="微软雅黑"/>
          <w:noProof/>
          <w:sz w:val="24"/>
        </w:rPr>
        <w:t xml:space="preserve">The competitive landscape is further enriched by a number of specialized and niche players who focus on specific areas of cybersecurity. For instance, a firm like Sendmarc (www.sendmarc.com) is a local South African company that has carved out a niche by focusing specifically on email security posture management, helping organizations implement DMARC, DKIM, and SPF to combat email impersonation. This demonstrates that highly specialized, problem-specific solutions can gain significant traction. Their model is typically a straightforward subscription based on the number of domains being protected. These players often compete not by offering a broad platform, but by solving a critical pain point better than anyone else. For YAL.ai, this is an important lesson; while the major players offer email security as part of a larger suite, a dedicated, AI-powered solution focused on the most advanced phishing and Business Email Compromise (BEC) threats could follow a similar path to success. The key is to demonstrate a tangible and significant improvement in detection efficacy over the built-in or add-on modules from larger competitors.</w:t>
      </w:r>
    </w:p>
    <w:p>
      <w:pPr>
        <w:spacing w:line="288" w:lineRule="auto"/>
        <w:ind w:firstLine="480" w:firstLineChars="200"/>
        <w:jc w:val="both"/>
      </w:pPr>
      <w:r>
        <w:rPr>
          <w:rFonts w:hint="eastAsia" w:ascii="微软雅黑" w:hAnsi="微软雅黑" w:eastAsia="微软雅黑"/>
          <w:noProof/>
          <w:sz w:val="24"/>
        </w:rPr>
        <w:t xml:space="preserve">A critical analysis of the pricing models and client bases reveals distinct market tiers. The international vendors like CrowdStrike and Palo Alto Networks employ premium, multi-year subscription models, frequently securing six or seven-figure annual contracts with JSE-listed companies and multinational subsidiaries. Their notable clients are almost always in banking, insurance, and telecommunications. In contrast, local MSSPs like Vodacom Business or BCX have more flexible pricing, including pay-per-use, tiered managed services, and bundled offerings that appeal to a wider range of customers, from mid-sized businesses to large government departments. Their client lists are extensive and diverse, showcasing their broad market reach. Niche players like Sendmarc offer highly accessible, function-specific pricing that allows even smaller organizations to adopt their technology. This tiered market structure presents a clear opportunity for YAL.ai. By introducing an AI-driven solution with a competitive and transparent pricing model—perhaps a per-user subscription that is more accessible than the premium EDR/XDR platforms but more effective than standard email gateways—YAL.ai could capture the underserved "mid-market," which needs advanced protection but is often priced out by the top-tier vendors.</w:t>
      </w:r>
    </w:p>
    <w:p>
      <w:pPr>
        <w:spacing w:line="288" w:lineRule="auto"/>
        <w:ind w:firstLine="480" w:firstLineChars="200"/>
        <w:jc w:val="both"/>
      </w:pPr>
      <w:r>
        <w:rPr>
          <w:rFonts w:hint="eastAsia" w:ascii="微软雅黑" w:hAnsi="微软雅黑" w:eastAsia="微软雅黑"/>
          <w:noProof/>
          <w:sz w:val="24"/>
        </w:rPr>
        <w:t xml:space="preserve">One might argue that the South African cybersecurity market is overly saturated, presenting insurmountable barriers to entry for a new player like YAL.ai. The dominance of global brands and the deep entrenchment of local telecommunications providers appear to leave little room for newcomers. These incumbents benefit from massive marketing budgets, long-standing customer relationships, and extensive partner networks that are difficult and expensive to replicate. Furthermore, procurement decisions in large organizations are often conservative, favoring established vendors with a long track record over innovative but unproven technologies. This incumbency advantage is a significant hurdle, as trust and reliability are paramount in the selection of a cybersecurity partner. To many decision-makers, choosing a well-known brand is a career-safe decision, even if a new solution might be technically superior.</w:t>
      </w:r>
    </w:p>
    <w:p>
      <w:pPr>
        <w:spacing w:line="288" w:lineRule="auto"/>
        <w:ind w:firstLine="480" w:firstLineChars="200"/>
        <w:jc w:val="both"/>
      </w:pPr>
      <w:r>
        <w:rPr>
          <w:rFonts w:hint="eastAsia" w:ascii="微软雅黑" w:hAnsi="微软雅黑" w:eastAsia="微软雅黑"/>
          <w:noProof/>
          <w:sz w:val="24"/>
        </w:rPr>
        <w:t xml:space="preserve">However, this perspective overlooks the disruptive potential of paradigm-shifting technology, particularly in the face of an evolving threat landscape. The saturation exists primarily in the realm of traditional, signature-based, and rule-based security solutions. The proliferation of AI-driven, zero-day, and socially engineered attacks like sophisticated BEC is precisely where these legacy systems fail. This creates a distinct and growing gap in the market that YAL.ai, as an AI-native platform, is specifically designed to fill. The argument of saturation is less a barrier and more of an opportunity for differentiation. YAL.ai's go-to-market strategy should not be to compete head-on with Fortinet on firewalls or CrowdStrike on endpoint protection, but to establish a new, critical category of "AI-powered communication security." By focusing on a specific, high-pain problem—the failure of existing systems to stop financially devastating phishing and BEC attacks—YAL.ai can demonstrate clear, measurable value that incumbents, who often treat AI as a bolt-on feature rather than a core architecture, struggle to match. The key is to market not as "another cybersecurity vendor" but as a specialist solution for a problem that keeps CISOs and CFOs awake at night.</w:t>
      </w:r>
    </w:p>
    <w:p>
      <w:pPr>
        <w:pStyle w:val="Heading2"/>
        <w:spacing w:line="288" w:lineRule="auto"/>
        <w:ind/>
      </w:pPr>
      <w:r>
        <w:rPr>
          <w:rFonts w:hint="eastAsia" w:ascii="微软雅黑" w:hAnsi="微软雅黑" w:eastAsia="微软雅黑"/>
          <w:b/>
          <w:noProof/>
          <w:sz w:val="36"/>
        </w:rPr>
        <w:t xml:space="preserve">South African Threat Landscape</w:t>
      </w:r>
    </w:p>
    <w:p>
      <w:pPr>
        <w:spacing w:line="288" w:lineRule="auto"/>
        <w:ind w:firstLine="480" w:firstLineChars="200"/>
        <w:jc w:val="both"/>
      </w:pPr>
      <w:r>
        <w:rPr>
          <w:rFonts w:hint="eastAsia" w:ascii="微软雅黑" w:hAnsi="微软雅黑" w:eastAsia="微软雅黑"/>
          <w:noProof/>
          <w:sz w:val="24"/>
        </w:rPr>
        <w:t xml:space="preserve">The South African threat landscape is increasingly defined by a high volume of sophisticated and financially motivated cyberattacks, with phishing and Business Email Compromise (BEC) emerging as the most pervasive and damaging threats to organizations across all sectors. The country's growing digital economy, coupled with persistent socio-economic challenges such as high unemployment, creates a fertile ground for cybercrime. Threat actors, both local and international, exploit this environment by deploying highly contextualized social engineering campaigns that prey on human psychology. Recent industry reports consistently place South Africa among the countries with the highest density of cybercrime victims globally. This is not merely a technical problem; it is a socio-technical crisis where attackers skillfully blend technical exploits with an intimate understanding of local culture, brands, and administrative processes to create convincing lures. For YAL.ai, this context is critical, as its AI-driven solution must be adept at understanding and flagging these nuanced, localized social engineering cues that traditional, internationally-tuned systems might miss.</w:t>
      </w:r>
    </w:p>
    <w:p>
      <w:pPr>
        <w:spacing w:line="288" w:lineRule="auto"/>
        <w:ind w:firstLine="480" w:firstLineChars="200"/>
        <w:jc w:val="both"/>
      </w:pPr>
      <w:r>
        <w:rPr>
          <w:rFonts w:hint="eastAsia" w:ascii="微软雅黑" w:hAnsi="微软雅黑" w:eastAsia="微软雅黑"/>
          <w:noProof/>
          <w:sz w:val="24"/>
        </w:rPr>
        <w:t xml:space="preserve">Phishing attacks in South Africa have evolved far beyond generic, poorly-worded emails. Modern campaigns are highly targeted (spear-phishing) and often impersonate trusted local entities with remarkable accuracy. For example, attackers frequently create fraudulent websites and emails that mimic major South African banks (like FNB, Standard Bank, or Capitec), the South African Revenue Service (SARS) during tax season, or telecommunications providers offering bill payment services. A common tactic involves sending an SMS (smishing) or WhatsApp message with a link to a "payment portal" to resolve a supposed "customs fee" for a package, exploiting the surge in e-commerce. Another prevalent example is the use of job offer scams, where attackers impersonate recruitment agencies or major corporations with fake employment opportunities, luring victims into divulging personal information or paying for fraudulent background checks. These campaigns are successful because they tap into the specific concerns and aspirations of the South African populace, making them appear legitimate and urgent. The technical execution involves a combination of email spoofing, DNS manipulation, and the use of legitimate cloud services to host malicious landing pages, bypassing traditional spam filters.</w:t>
      </w:r>
    </w:p>
    <w:p>
      <w:pPr>
        <w:spacing w:line="288" w:lineRule="auto"/>
        <w:ind w:firstLine="480" w:firstLineChars="200"/>
        <w:jc w:val="both"/>
      </w:pPr>
      <w:r>
        <w:rPr>
          <w:rFonts w:hint="eastAsia" w:ascii="微软雅黑" w:hAnsi="微软雅黑" w:eastAsia="微软雅黑"/>
          <w:noProof/>
          <w:sz w:val="24"/>
        </w:rPr>
        <w:t xml:space="preserve">Business Email Compromise (BEC) represents a more advanced and lucrative evolution of email-based threats, causing staggering financial losses for South African businesses. Unlike bulk phishing, BEC is a highly targeted, low-volume attack that involves compromising or impersonating the email account of a senior executive (CEO fraud) or a key employee in the finance department. The typical attack lifecycle begins with extensive reconnaissance, where attackers study an organization's hierarchy, communication patterns, and key financial processes. They might gain initial access through a simple spear-phishing attack to steal credentials. Once inside, they often engage in "conversation hijacking," where they subtly insert themselves into an existing legitimate email thread about a pending payment or invoice. A classic BEC scenario in the South African context would involve an attacker, impersonating the CEO, emailing the CFO with an urgent, confidential request to process a payment for a "strategic acquisition" or a "late payment to a new supplier," often directing the funds to a fraudulent bank account. The success of these attacks hinges on creating a sense of urgency, authority, and secrecy, pressuring the finance employee to bypass standard verification procedures.</w:t>
      </w:r>
    </w:p>
    <w:p>
      <w:pPr>
        <w:spacing w:line="288" w:lineRule="auto"/>
        <w:ind w:firstLine="480" w:firstLineChars="200"/>
        <w:jc w:val="both"/>
      </w:pPr>
      <w:r>
        <w:rPr>
          <w:rFonts w:hint="eastAsia" w:ascii="微软雅黑" w:hAnsi="微软雅黑" w:eastAsia="微软雅黑"/>
          <w:noProof/>
          <w:sz w:val="24"/>
        </w:rPr>
        <w:t xml:space="preserve">The attack vectors and techniques employed by threat actors are continuously adapting to circumvent conventional security controls. Email spoofing, where the 'From' address is forged, remains a common entry point, but attackers are increasingly using lookalike domains (e.g., yal-ai.co instead of yal.ai.com) or compromised legitimate accounts, which are much harder for email gateways to detect. The payload of these emails is often not a traditional malware attachment, which might be caught by antivirus scanners. Instead, the primary goal is often credential harvesting, leading victims to a pixel-perfect replica of a Microsoft 365 or Google Workspace login page. Once credentials are stolen, the attacker has access to the victim's entire mailbox, enabling them to set up forwarding rules, study communication patterns, and launch internal phishing or BEC attacks. Another prevalent vector is the use of cloud-based file-sharing links (e.g., SharePoint, Dropbox) to deliver malware, as these links are often trusted by default within corporate environments. The malware itself is frequently tailored to the region, including banking trojans designed to steal credentials for South African online banking portals and ransomware variants that demand payment in a locally accessible manner.</w:t>
      </w:r>
    </w:p>
    <w:p>
      <w:pPr>
        <w:spacing w:line="288" w:lineRule="auto"/>
        <w:ind w:firstLine="480" w:firstLineChars="200"/>
        <w:jc w:val="both"/>
      </w:pPr>
      <w:r>
        <w:rPr>
          <w:rFonts w:hint="eastAsia" w:ascii="微软雅黑" w:hAnsi="微软雅黑" w:eastAsia="微软雅黑"/>
          <w:noProof/>
          <w:sz w:val="24"/>
        </w:rPr>
        <w:t xml:space="preserve">The financial ramifications of these threats are profound, impacting a wide array of sectors. The financial services sector is a perennial target, with BEC attacks causing direct monetary loss and phishing campaigns eroding customer trust, leading to significant expenditure on incident response and customer reimbursement. The legal and professional services sectors are also highly targeted due to the sensitive client information they hold and their role in facilitating large financial transactions, making them prime targets for invoice fraud. A law firm's compromised email system can be used to send fraudulent payment instructions to clients in the final stages of a property transaction, resulting in multi-million Rand losses. The manufacturing and retail sectors are particularly vulnerable to supply chain-focused BEC, where attackers impersonate a regular supplier and submit an invoice with updated bank details. The public sector and state-owned enterprises are not immune, with attacks often aimed at causing disruption or targeting large procurement payments. While precise official statistics are hard to consolidate, industry analysis and reports from cybersecurity firms consistently suggest that direct losses from BEC alone in South Africa amount to hundreds of millions of Rands annually, with some individual incidents exceeding R50-R100 million.</w:t>
      </w:r>
    </w:p>
    <w:p>
      <w:pPr>
        <w:spacing w:line="288" w:lineRule="auto"/>
        <w:ind w:firstLine="480" w:firstLineChars="200"/>
        <w:jc w:val="both"/>
      </w:pPr>
      <w:r>
        <w:rPr>
          <w:rFonts w:hint="eastAsia" w:ascii="微软雅黑" w:hAnsi="微软雅黑" w:eastAsia="微软雅黑"/>
          <w:noProof/>
          <w:sz w:val="24"/>
        </w:rPr>
        <w:t xml:space="preserve">A prevalent counterargument within some IT departments is that existing secure email gateways (SEGs), often bundled with larger security suites or cloud productivity platforms like Microsoft 365, are sufficient to handle the threat of phishing and BEC. These systems, it is argued, have improved significantly and now include features like anti-spoofing checks, attachment sandboxing, and URL rewriting to detect malicious links. Proponents of this view suggest that adding another specialized tool like YAL.ai would introduce unnecessary complexity and cost for only a marginal benefit. They believe that the combination of a modern SEG and robust employee awareness training provides a comprehensive defense, rendering a dedicated AI solution a luxury rather than a necessity. This viewpoint often stems from budget constraints and a desire to consolidate security vendors, simplifying management and procurement.</w:t>
      </w:r>
    </w:p>
    <w:p>
      <w:pPr>
        <w:spacing w:line="288" w:lineRule="auto"/>
        <w:ind w:firstLine="480" w:firstLineChars="200"/>
        <w:jc w:val="both"/>
      </w:pPr>
      <w:r>
        <w:rPr>
          <w:rFonts w:hint="eastAsia" w:ascii="微软雅黑" w:hAnsi="微软雅黑" w:eastAsia="微软雅黑"/>
          <w:noProof/>
          <w:sz w:val="24"/>
        </w:rPr>
        <w:t xml:space="preserve">This position, however, fundamentally misunderstands the limitations of traditional SEG architecture in the face of modern, AI-driven attacks. SEGs primarily operate on a set of predefined rules, signatures, and reputation databases. They are effective at stopping known threats and bulk spam but are inherently reactive. They struggle significantly with zero-day attacks, where there is no known malicious signature, and highly convincing social engineering campaigns that contain no overtly malicious payload like a virus or a blacklisted URL. A sophisticated BEC email, for example, is just text; it contains no links or attachments for a traditional SEG to analyze. It bypasses these defenses because the "indicator of compromise" is not technical but contextual and behavioral. This is precisely the gap YAL.ai is designed to fill. By using natural language understanding (NLU) and behavioral AI, YAL.ai can analyze the content, tone, sentiment, and context of an email, detecting anomalies like unusual urgency, a change in payment instructions, or a writing style inconsistent with the purported sender. It provides a necessary layer of defense that SEGs, by their very design, cannot offer.</w:t>
      </w:r>
    </w:p>
    <w:p>
      <w:pPr>
        <w:spacing w:line="288" w:lineRule="auto"/>
        <w:ind w:firstLine="480" w:firstLineChars="200"/>
        <w:jc w:val="both"/>
      </w:pPr>
      <w:r>
        <w:rPr>
          <w:rFonts w:hint="eastAsia" w:ascii="微软雅黑" w:hAnsi="微软雅黑" w:eastAsia="微软雅黑"/>
          <w:noProof/>
          <w:sz w:val="24"/>
        </w:rPr>
        <w:t xml:space="preserve">Another common counterargument posits that the ultimate solution to phishing and BEC is not more technology but better human defenses through comprehensive and continuous employee security awareness training. The logic is that since these attacks exploit human psychology, the most effective countermeasure is to train the human to recognize and report them. This "human firewall" concept is widely promoted, and organizations invest significantly in training programs, simulated phishing exercises, and awareness campaigns. Adherents to this view might see a solution like YAL.ai as a technological crutch that undermines the development of a strong security culture. They argue that an over-reliance on technology can lead to complacency among employees, who might become less vigilant if they believe an AI system will catch everything for them.</w:t>
      </w:r>
    </w:p>
    <w:p>
      <w:pPr>
        <w:spacing w:line="288" w:lineRule="auto"/>
        <w:ind w:firstLine="480" w:firstLineChars="200"/>
        <w:jc w:val="both"/>
      </w:pPr>
      <w:r>
        <w:rPr>
          <w:rFonts w:hint="eastAsia" w:ascii="微软雅黑" w:hAnsi="微软雅黑" w:eastAsia="微软雅黑"/>
          <w:noProof/>
          <w:sz w:val="24"/>
        </w:rPr>
        <w:t xml:space="preserve">While employee training is undeniably a critical and non-negotiable component of any robust cybersecurity strategy, arguing that it is a sufficient solution on its own is a dangerously flawed premise. The "human firewall" is fallible. Even the most well-trained employee can make a mistake, especially when faced with a meticulously crafted spear-phishing email that arrives at a moment of distraction or high pressure. Threat actors are experts at manipulating human emotion and cognitive biases, and it is unrealistic to expect 100% perfection from employees 100% of the time. A defense-in-depth strategy, a cornerstone of modern security, mandates multiple, overlapping layers of controls. Technology and human awareness are not mutually exclusive; they are complementary and essential partners. YAL.ai's role is not to replace employee vigilance but to serve as a crucial safety net, catching the sophisticated threats that bypass both traditional gateways and the human eye. It protects the organization from the inevitability of human error, transforming the security posture from one of hopeful prevention to one of resilient defense.</w:t>
      </w:r>
    </w:p>
    <w:p>
      <w:pPr>
        <w:pStyle w:val="Heading2"/>
        <w:spacing w:line="288" w:lineRule="auto"/>
        <w:ind/>
      </w:pPr>
      <w:r>
        <w:rPr>
          <w:rFonts w:hint="eastAsia" w:ascii="微软雅黑" w:hAnsi="微软雅黑" w:eastAsia="微软雅黑"/>
          <w:b/>
          <w:noProof/>
          <w:sz w:val="36"/>
        </w:rPr>
        <w:t xml:space="preserve">Tender Landscape</w:t>
      </w:r>
    </w:p>
    <w:p>
      <w:pPr>
        <w:spacing w:line="288" w:lineRule="auto"/>
        <w:ind w:firstLine="480" w:firstLineChars="200"/>
        <w:jc w:val="both"/>
      </w:pPr>
      <w:r>
        <w:rPr>
          <w:rFonts w:hint="eastAsia" w:ascii="微软雅黑" w:hAnsi="微软雅黑" w:eastAsia="微软雅黑"/>
          <w:noProof/>
          <w:sz w:val="24"/>
        </w:rPr>
        <w:t xml:space="preserve">Navigating the tender landscape in South Africa is a complex but essential endeavor for any technology vendor, like YAL.ai, aiming to secure substantial contracts within the public sector and large private enterprises. The procurement process, particularly in government, is highly structured, regulated, and driven by policies that extend beyond mere technical and financial considerations, most notably the imperatives of Broad-Based Black Economic Empowerment (B-BBEE). Success in this environment requires not only a superior product but also a deep understanding of the procedural formalities, key procurement portals, mandatory certifications, and the unwritten rules of engagement. For YAL.ai, entering this market necessitates a strategic approach that involves identifying the right channels, securing the necessary accreditations, and potentially forming strategic partnerships to meet compliance thresholds. The tender landscape can be a significant barrier to entry, but for those who master its intricacies, it represents a gateway to large-scale, long-term revenue streams and market legitimacy.</w:t>
      </w:r>
    </w:p>
    <w:p>
      <w:pPr>
        <w:spacing w:line="288" w:lineRule="auto"/>
        <w:ind w:firstLine="480" w:firstLineChars="200"/>
        <w:jc w:val="both"/>
      </w:pPr>
      <w:r>
        <w:rPr>
          <w:rFonts w:hint="eastAsia" w:ascii="微软雅黑" w:hAnsi="微软雅黑" w:eastAsia="微软雅黑"/>
          <w:noProof/>
          <w:sz w:val="24"/>
        </w:rPr>
        <w:t xml:space="preserve">The primary gateway for public sector opportunities is the National Treasury's eTender Publication Portal (www.etenders.gov.za). This centralized platform is the official repository for all competitive bids from national, provincial, and local government departments, as well as state-owned enterprises (SOEs). Its relevance is paramount, as it provides comprehensive visibility into the government's procurement pipeline across all sectors. However, navigating the portal and responding to tenders is a resource-intensive process requiring meticulous attention to administrative detail. Another critical entity is the State Information Technology Agency (SITA), accessible via www.sita.co.za. SITA acts as the central IT procurement and service delivery arm for the South African government. It is responsible for setting standards, certifying services, and managing large-scale IT contracts. Being listed as a vendor with SITA or getting a solution included on one of its transversal contracts—pre-approved agreements for goods and services that any government department can procure from—is a major strategic objective for technology companies. Beyond these national portals, vendors must also monitor the individual procurement websites of large municipalities (e.g., City of Johannesburg, City of Cape Town) and specific SOEs (e.g., Eskom, Transnet), which often manage their own tender processes for specialized requirements. Private sector tenders are less centralized and are typically managed through individual company procurement departments, although some use third-party procurement platforms or aggregators.</w:t>
      </w:r>
    </w:p>
    <w:p>
      <w:pPr>
        <w:spacing w:line="288" w:lineRule="auto"/>
        <w:ind w:firstLine="480" w:firstLineChars="200"/>
        <w:jc w:val="both"/>
      </w:pPr>
      <w:r>
        <w:rPr>
          <w:rFonts w:hint="eastAsia" w:ascii="微软雅黑" w:hAnsi="微软雅黑" w:eastAsia="微软雅黑"/>
          <w:noProof/>
          <w:sz w:val="24"/>
        </w:rPr>
        <w:t xml:space="preserve">Participation in these tenders is contingent upon meeting a stringent set of accreditations and certifications that serve as proof of a vendor's quality, security posture, and commitment to national development goals. One of the most common requirements for technology and information security tenders is the ISO/IEC 27001 certification. This international standard for an Information Security Management System (ISMS) provides third-party validation that a company has implemented a comprehensive and systematic approach to managing sensitive information. For a client, selecting an ISO 27001-certified partner provides assurance that security is managed through mature processes, not ad-hoc measures. While YAL.ai as a product company might not need the certification itself initially, the local partner or reseller implementing the solution will almost certainly be required to have it.</w:t>
      </w:r>
    </w:p>
    <w:p>
      <w:pPr>
        <w:spacing w:line="288" w:lineRule="auto"/>
        <w:ind w:firstLine="480" w:firstLineChars="200"/>
        <w:jc w:val="both"/>
      </w:pPr>
      <w:r>
        <w:rPr>
          <w:rFonts w:hint="eastAsia" w:ascii="微软雅黑" w:hAnsi="微软雅黑" w:eastAsia="微软雅黑"/>
          <w:noProof/>
          <w:sz w:val="24"/>
        </w:rPr>
        <w:t xml:space="preserve">Of even greater importance in the South African context is compliance with local legislation and empowerment policies. Tenders will not ask for a "POPIA Certificate," but they will demand that the proposed solution and the vendor's own practices are fully compliant with the Protection of Personal Information Act (POPIA). Bidders must be able to articulate precisely how their offering helps the client meet their POPIA obligations, particularly the requirement for "appropriate, reasonable technical and organisational measures" to prevent data breaches. Similarly, an understanding of the Cybercrimes Act is essential. The most significant non-technical requirement is a vendor's B-BBEE status. Tenders, especially in the public sector, are evaluated on a points system where price and technical merit are combined with a score for B-BBEE contribution level. A company with a higher B-BBEE level (e.g., Level 1 or 2) has a significant competitive advantage. As an international company, YAL.ai would have a low B-BBEE score on its own, making a partnership with a local, highly-rated B-BBEE entity not just advantageous, but practically mandatory for success in the public sector market.</w:t>
      </w:r>
    </w:p>
    <w:p>
      <w:pPr>
        <w:spacing w:line="288" w:lineRule="auto"/>
        <w:ind w:firstLine="480" w:firstLineChars="200"/>
        <w:jc w:val="both"/>
      </w:pPr>
      <w:r>
        <w:rPr>
          <w:rFonts w:hint="eastAsia" w:ascii="微软雅黑" w:hAnsi="微软雅黑" w:eastAsia="微软雅黑"/>
          <w:noProof/>
          <w:sz w:val="24"/>
        </w:rPr>
        <w:t xml:space="preserve">Major cybersecurity procurement programs and product category mandates further shape the tender landscape. SITA's transversal contracts, for instance, often pre-define categories such as "Endpoint Security," "Network Firewall Solutions," or "Email Filtering Services." For YAL.ai to be successful, it must either fit into an existing category or effectively lobby for the creation of a new one, such as "AI-Based Anti-Phishing and BEC Prevention." This requires significant market education and engagement with bodies like SITA to demonstrate that existing categories are insufficient for addressing modern threats. Furthermore, the Critical Infrastructure Protection (CIP) Act of 2019 imposes specific cybersecurity obligations on entities designated as critical infrastructure, including those in the energy, water, transport, and financial sectors. This creates mandated procurement programs within these organizations, representing a prime target market for advanced security solutions like YAL.ai. Tenders from these entities will explicitly call for technologies that can defend against advanced persistent threats (APTs) and sophisticated social engineering, aligning perfectly with YAL.ai's core value proposition.</w:t>
      </w:r>
    </w:p>
    <w:p>
      <w:pPr>
        <w:spacing w:line="288" w:lineRule="auto"/>
        <w:ind w:firstLine="480" w:firstLineChars="200"/>
        <w:jc w:val="both"/>
      </w:pPr>
      <w:r>
        <w:rPr>
          <w:rFonts w:hint="eastAsia" w:ascii="微软雅黑" w:hAnsi="微软雅黑" w:eastAsia="微软雅黑"/>
          <w:noProof/>
          <w:sz w:val="24"/>
        </w:rPr>
        <w:t xml:space="preserve">To illustrate the complexity, consider a hypothetical tender from a provincial Department of Health for an "Advanced Email Security and Threat Protection Solution." The tender document would be extensive, likely including several key sections. The "Scope of Work" would detail the requirement to protect thousands of mailboxes across multiple hospitals and clinics from phishing, malware, and BEC. The "Technical Requirements" section would be highly specific, demanding features such as real-time scanning of inbound and outbound mail, sandboxing of attachments, URL detonation, and, crucially, "behavioral analysis and anomaly detection capabilities to identify and block zero-day and targeted social engineering attacks." This is where YAL.ai would shine by mapping its AI-driven features directly to these advanced requirements. The "Compliance" section would mandate that the solution must enable POPIA compliance, especially regarding the protection of sensitive patient health information, and that the bidder must provide a detailed data residency and processing statement. Finally, the "Evaluation Criteria" section would specify the points allocation, for example: 80 points for Price and Technical ability, and 20 points for B-BBEE status. This structure makes it clear that even with a technically superior solution, YAL.ai would be uncompetitive without a Level 1 or 2 B-BBEE partner.</w:t>
      </w:r>
    </w:p>
    <w:p>
      <w:pPr>
        <w:spacing w:line="288" w:lineRule="auto"/>
        <w:ind w:firstLine="480" w:firstLineChars="200"/>
        <w:jc w:val="both"/>
      </w:pPr>
      <w:r>
        <w:rPr>
          <w:rFonts w:hint="eastAsia" w:ascii="微软雅黑" w:hAnsi="微软雅黑" w:eastAsia="微软雅黑"/>
          <w:noProof/>
          <w:sz w:val="24"/>
        </w:rPr>
        <w:t xml:space="preserve">A common counterargument is that the tender process in South Africa is inherently bureaucratic, slow, and susceptible to corruption, making it an unattractive channel for an agile, innovative company like YAL.ai. Critics point to long evaluation cycles, a lack of technical expertise on evaluation committees, and a strong bias towards incumbent vendors who have long-standing relationships with procurement officials. The administrative burden of preparing a compliant bid is immense, requiring significant investment of time and resources with no guarantee of success. For a startup or new market entrant, dedicating resources to a tender that may take over a year to be awarded, only to lose to an entrenched competitor on non-technical grounds, can be a fatal diversion of focus. This perspective suggests that a direct-to-enterprise, commercial sales approach is a far more efficient and predictable go-to-market strategy.</w:t>
      </w:r>
    </w:p>
    <w:p>
      <w:pPr>
        <w:spacing w:line="288" w:lineRule="auto"/>
        <w:ind w:firstLine="480" w:firstLineChars="200"/>
        <w:jc w:val="both"/>
      </w:pPr>
      <w:r>
        <w:rPr>
          <w:rFonts w:hint="eastAsia" w:ascii="微软雅黑" w:hAnsi="微软雅黑" w:eastAsia="微软雅黑"/>
          <w:noProof/>
          <w:sz w:val="24"/>
        </w:rPr>
        <w:t xml:space="preserve">While the challenges of the tender system are real and well-documented, dismissing it entirely is a strategic error, especially for long-term growth and market penetration in South Africa. The bureaucracy and stringent requirements, while burdensome, can also be leveraged as a competitive advantage. The detailed, formal requirements provide a clear framework for a technically superior solution to differentiate itself on paper. If a tender explicitly calls for "AI-based behavioral analysis to prevent BEC," an incumbent relying on a legacy SEG will struggle to respond convincingly, opening a clear door for YAL.ai. The key to overcoming the bias towards incumbents is a combination of technological superiority and strategic partnership. By partnering with a reputable local systems integrator or MSSP that possesses a high B-BBEE rating and deep experience in public sector bidding, YAL.ai can neutralize the incumbency advantage. The partner brings the procedural expertise and political capital, while YAL.ai provides the cutting-edge technology that fulfills the advanced requirements of the tender. This symbiotic relationship transforms the tender from a barrier into a powerful market entry vehicle.</w:t>
      </w:r>
    </w:p>
    <w:p>
      <w:pPr>
        <w:spacing w:line="288" w:lineRule="auto"/>
        <w:ind w:firstLine="480" w:firstLineChars="200"/>
        <w:jc w:val="both"/>
      </w:pPr>
      <w:r>
        <w:rPr>
          <w:rFonts w:hint="eastAsia" w:ascii="微软雅黑" w:hAnsi="微软雅黑" w:eastAsia="微软雅黑"/>
          <w:noProof/>
          <w:sz w:val="24"/>
        </w:rPr>
        <w:t xml:space="preserve">Furthermore, the very structure of government procurement, which favors long-term contracts and large-scale deployments, makes it an incredibly valuable market segment once penetrated. A single successful tender can result in a multi-year contract covering tens of thousands of users, providing a stable, predictable revenue stream that is often difficult to achieve in the more volatile commercial sector. Success in a high-profile government tender also confers a powerful seal of approval and market validation, which can be leveraged to win business in the private sector. The argument that the process is too slow overlooks the long-term strategic value. Rather than avoiding the tender market, the intelligent strategy for YAL.ai is to approach it selectively and strategically. This means focusing on tenders where its technological differentiation is a specified requirement and investing heavily in building the right local partnerships to navigate the procedural and political complexities. The goal is not to win every tender, but to win the </w:t>
      </w:r>
      <w:r>
        <w:rPr>
          <w:rFonts w:hint="eastAsia" w:ascii="微软雅黑" w:hAnsi="微软雅黑" w:eastAsia="微软雅黑"/>
          <w:i/>
          <w:noProof/>
          <w:sz w:val="24"/>
        </w:rPr>
        <w:t>right</w:t>
      </w:r>
      <w:r>
        <w:rPr>
          <w:rFonts w:hint="eastAsia" w:ascii="微软雅黑" w:hAnsi="微软雅黑" w:eastAsia="微软雅黑"/>
          <w:noProof/>
          <w:sz w:val="24"/>
        </w:rPr>
        <w:t xml:space="preserve"> ones that will serve as foundational pillars for growth in the region.</w:t>
      </w:r>
    </w:p>
    <w:p>
      <w:pPr>
        <w:pStyle w:val="Heading2"/>
        <w:spacing w:line="288" w:lineRule="auto"/>
        <w:ind/>
      </w:pPr>
      <w:r>
        <w:rPr>
          <w:rFonts w:hint="eastAsia" w:ascii="微软雅黑" w:hAnsi="微软雅黑" w:eastAsia="微软雅黑"/>
          <w:b/>
          <w:noProof/>
          <w:sz w:val="36"/>
        </w:rPr>
        <w:t xml:space="preserve">Regulatory and Compliance Drivers</w:t>
      </w:r>
    </w:p>
    <w:p>
      <w:pPr>
        <w:spacing w:line="288" w:lineRule="auto"/>
        <w:ind w:firstLine="480" w:firstLineChars="200"/>
        <w:jc w:val="both"/>
      </w:pPr>
      <w:r>
        <w:rPr>
          <w:rFonts w:hint="eastAsia" w:ascii="微软雅黑" w:hAnsi="微软雅黑" w:eastAsia="微软雅黑"/>
          <w:noProof/>
          <w:sz w:val="24"/>
        </w:rPr>
        <w:t xml:space="preserve">The demand for advanced cybersecurity solutions in South Africa is no longer driven solely by the fear of cyberattacks but is now powerfully propelled by a robust and maturing regulatory framework. The implementation of key pieces of legislation, most notably the Protection of Personal Information Act (POPIA) and the Cybercrimes Act, has fundamentally altered the risk calculus for South African organizations. These laws have shifted cybersecurity from an IT-centric concern to a board-level issue of legal and financial liability. Compliance is now a mandatory business imperative, carrying the threat of substantial fines, imprisonment, and severe reputational damage. This regulatory pressure creates a fertile market for solutions like YAL.ai, which can be positioned not merely as security tools, but as essential enablers of compliance and risk mitigation. For YAL.ai, the ability to articulate its value proposition in the language of regulatory compliance is as crucial as its ability to demonstrate technical efficacy.</w:t>
      </w:r>
    </w:p>
    <w:p>
      <w:pPr>
        <w:spacing w:line="288" w:lineRule="auto"/>
        <w:ind w:firstLine="480" w:firstLineChars="200"/>
        <w:jc w:val="both"/>
      </w:pPr>
      <w:r>
        <w:rPr>
          <w:rFonts w:hint="eastAsia" w:ascii="微软雅黑" w:hAnsi="微软雅黑" w:eastAsia="微软雅黑"/>
          <w:noProof/>
          <w:sz w:val="24"/>
        </w:rPr>
        <w:t xml:space="preserve">The Protection of Personal Information Act 4 of 2013 (POPIA), which came into full effect on 1 July 2021, is the single most significant driver of cybersecurity investment in the country. POPIA establishes a comprehensive legal framework for the lawful processing of personal information and is analogous in its principles and impact to the European Union's GDPR. The Act is built upon eight core conditions for lawful processing, including accountability, processing limitation, purpose specification, and, most critically for cybersecurity providers, the "Security Safeguards" condition. Section 19 of POPIA mandates that a responsible party must "secure the integrity and confidentiality of personal information in its possession or under its control by taking appropriate, reasonable technical and organisational measures." This clause explicitly obligates organizations to implement cybersecurity controls to prevent loss, damage, or unauthorized access to personal data. The term "appropriate and reasonable" is key; it implies that as threats evolve, the measures taken must also evolve. A basic firewall and antivirus are no longer sufficient in an era of sophisticated social engineering.</w:t>
      </w:r>
    </w:p>
    <w:p>
      <w:pPr>
        <w:spacing w:line="288" w:lineRule="auto"/>
        <w:ind w:firstLine="480" w:firstLineChars="200"/>
        <w:jc w:val="both"/>
      </w:pPr>
      <w:r>
        <w:rPr>
          <w:rFonts w:hint="eastAsia" w:ascii="微软雅黑" w:hAnsi="微软雅黑" w:eastAsia="微软雅黑"/>
          <w:noProof/>
          <w:sz w:val="24"/>
        </w:rPr>
        <w:t xml:space="preserve">The obligations imposed by POPIA extend far beyond the implementation of technology. Organizations must appoint an Information Officer, typically a senior executive, who is legally accountable for compliance. Furthermore, Section 22 imposes a mandatory data breach notification duty. If a breach occurs, the organization must notify the Information Regulator of South Africa and the affected data subjects "as soon as reasonably possible." Failure to comply with POPIA can lead to severe penalties, including administrative fines of up to R10 million, civil claims from data subjects, and even imprisonment for up to 10 years for serious offenses. This creates a powerful financial incentive for proactive security. YAL.ai can directly address these requirements by positioning its solution as a "reasonable technical measure" specifically designed to prevent data breaches originating from phishing and BEC, which are among the most common initial access vectors leading to widespread data compromise. By preventing the breach in the first place, YAL.ai helps organizations avoid the catastrophic financial and reputational costs of a public breach notification.</w:t>
      </w:r>
    </w:p>
    <w:p>
      <w:pPr>
        <w:spacing w:line="288" w:lineRule="auto"/>
        <w:ind w:firstLine="480" w:firstLineChars="200"/>
        <w:jc w:val="both"/>
      </w:pPr>
      <w:r>
        <w:rPr>
          <w:rFonts w:hint="eastAsia" w:ascii="微软雅黑" w:hAnsi="微软雅黑" w:eastAsia="微软雅黑"/>
          <w:noProof/>
          <w:sz w:val="24"/>
        </w:rPr>
        <w:t xml:space="preserve">Complementing POPIA is the Cybercrimes Act 19 of 2020, which modernizes South Africa's legal response to the criminal aspects of cyber activity. The Act creates a broad range of newly defined offenses, such as unlawful access to data, unlawful interception of data, and the specific crimes of cyber fraud, forgery, and uttering. This provides law enforcement with the necessary legal tools to prosecute threat actors. More importantly for businesses, the Act imposes specific obligations on Electronic Communications Service Providers (ECSPs) and financial institutions. Section 54 of the Act mandates that these entities must, upon becoming aware of a cyber offense being committed on their systems, report the offense to the South African Police Service (SAPS) within 72 hours. Failure to report is itself an offense, punishable by a fine of up to R50,000. This reporting duty creates a direct need for security solutions that provide rapid detection and detailed forensic evidence.</w:t>
      </w:r>
    </w:p>
    <w:p>
      <w:pPr>
        <w:spacing w:line="288" w:lineRule="auto"/>
        <w:ind w:firstLine="480" w:firstLineChars="200"/>
        <w:jc w:val="both"/>
      </w:pPr>
      <w:r>
        <w:rPr>
          <w:rFonts w:hint="eastAsia" w:ascii="微软雅黑" w:hAnsi="微软雅黑" w:eastAsia="微软雅黑"/>
          <w:noProof/>
          <w:sz w:val="24"/>
        </w:rPr>
        <w:t xml:space="preserve">The implications of the Cybercrimes Act for a solution like YAL.ai are twofold. Firstly, its advanced detection capabilities can provide the early warning needed for an organization to identify that a reportable offense (such as a successful BEC attempt or malware infection via phishing) has occurred. This enables them to meet the 72-hour reporting deadline. Secondly, the detailed logs, email headers, and attack chain analysis that an advanced platform like YAL.ai can provide are invaluable for the subsequent investigation and for compiling the report required by SAPS. The Act also includes provisions regarding the preservation of evidence related to a cybercrime. YAL.ai's ability to archive and present threat data in a clear, forensically-sound manner directly supports this obligation. This positions the platform not just as a preventative tool, but as a critical component of an organization's incident response and legal compliance workflow. The marketing message to financial institutions, in particular, should highlight how YAL.ai helps them meet their specific reporting obligations under the Cybercrimes Act.</w:t>
      </w:r>
    </w:p>
    <w:p>
      <w:pPr>
        <w:spacing w:line="288" w:lineRule="auto"/>
        <w:ind w:firstLine="480" w:firstLineChars="200"/>
        <w:jc w:val="both"/>
      </w:pPr>
      <w:r>
        <w:rPr>
          <w:rFonts w:hint="eastAsia" w:ascii="微软雅黑" w:hAnsi="微软雅黑" w:eastAsia="微软雅黑"/>
          <w:noProof/>
          <w:sz w:val="24"/>
        </w:rPr>
        <w:t xml:space="preserve">To effectively navigate this complex regulatory environment, organizations must have access to reliable resources for monitoring changes and understanding their obligations. The primary official source for POPIA is the Information Regulator of South Africa (www.inforegulator.org.za). Their website publishes official guidelines, codes of conduct, enforcement notices, and updates on the interpretation of the Act. For the Cybercrimes Act and other legislation, the Department of Justice and Constitutional Development (www.justice.gov.za) is the definitive source for the official gazetted text of the laws. However, the legal text alone is often insufficient for practical implementation. Therefore, organizations heavily rely on the analysis and guidance provided by major South African law firms (such as ENSafrica, Webber Wentzel, and Bowmans) and the "Big Four" consulting firms (PwC, Deloitte, EY, KPMG). These firms publish regular newsletters, host webinars, and provide detailed advisory services on cybersecurity compliance. YAL.ai's sales and marketing teams should actively monitor these publications to align their messaging with current legal interpretations and client pain points. Furthermore, engaging with local chapters of professional associations like ISACA and (ISC)² provides a direct channel to the compliance and security professionals responsible for implementing these controls.</w:t>
      </w:r>
    </w:p>
    <w:p>
      <w:pPr>
        <w:spacing w:line="288" w:lineRule="auto"/>
        <w:ind w:firstLine="480" w:firstLineChars="200"/>
        <w:jc w:val="both"/>
      </w:pPr>
      <w:r>
        <w:rPr>
          <w:rFonts w:hint="eastAsia" w:ascii="微软雅黑" w:hAnsi="微软雅黑" w:eastAsia="微软雅黑"/>
          <w:noProof/>
          <w:sz w:val="24"/>
        </w:rPr>
        <w:t xml:space="preserve">A significant counterargument that often arises in compliance discussions is that many organizations, particularly SMEs, will adopt a "compliance as a checkbox" mentality. According to this view, businesses will only invest in the absolute minimum required to claim compliance, rather than investing in genuinely effective security. They may purchase a low-cost, basic solution that allows them to "tick the box" for "email security" on a compliance audit, even if that solution is ineffective against sophisticated threats. This perspective suggests that the market for premium, AI-driven solutions like YAL.ai might be limited to only the most mature and well-resourced enterprises, while the broader market settles for "good enough" compliance solutions. The fear is that the nuance of "appropriate and reasonable" will be lost, and procurement will be driven by the cheapest available option that satisfies a superficial audit.</w:t>
      </w:r>
    </w:p>
    <w:p>
      <w:pPr>
        <w:spacing w:line="288" w:lineRule="auto"/>
        <w:ind w:firstLine="480" w:firstLineChars="200"/>
        <w:jc w:val="both"/>
      </w:pPr>
      <w:r>
        <w:rPr>
          <w:rFonts w:hint="eastAsia" w:ascii="微软雅黑" w:hAnsi="微软雅黑" w:eastAsia="微软雅黑"/>
          <w:noProof/>
          <w:sz w:val="24"/>
        </w:rPr>
        <w:t xml:space="preserve">While the "checkbox compliance" phenomenon is a real challenge, this argument underestimates the powerful corrective force of legal and financial liability. The provisions within POPIA and the Cybercrimes Act are designed to have teeth. The Information Regulator has already begun to show its willingness to investigate and fine non-compliant organizations. The moment a company that adopted a "checkbox" solution suffers a major breach, their defense that they implemented a "reasonable" measure will crumble under scrutiny if that measure was known to be ineffective against common, advanced threats like BEC. Legal precedent will quickly establish that "reasonable" is not a static standard but is benchmarked against the current threat landscape and available technology. YAL.ai's strategic response is to lead the market in defining what "reasonable" means for email security in the 2020s. Through white papers, webinars, and POCs, YAL.ai must educate the market that in an era of AI-driven attacks, an AI-driven defense is the new baseline for what is considered a "reasonable technical measure."</w:t>
      </w:r>
    </w:p>
    <w:p>
      <w:pPr>
        <w:spacing w:line="288" w:lineRule="auto"/>
        <w:ind w:firstLine="480" w:firstLineChars="200"/>
        <w:jc w:val="both"/>
      </w:pPr>
      <w:r>
        <w:rPr>
          <w:rFonts w:hint="eastAsia" w:ascii="微软雅黑" w:hAnsi="微软雅黑" w:eastAsia="微软雅黑"/>
          <w:noProof/>
          <w:sz w:val="24"/>
        </w:rPr>
        <w:t xml:space="preserve">Furthermore, the argument that compliance is merely a checkbox exercise ignores the cascading effect of supply chain risk management. Large corporations and government departments, who are themselves under intense regulatory scrutiny, are now pushing stringent cybersecurity requirements down to their smaller suppliers. An SME that wants to do business with a major bank or retailer will increasingly be required to demonstrate a mature security posture as a condition of their contract. This creates a powerful, market-driven incentive for smaller businesses to adopt effective security that goes beyond mere checkbox compliance. They are not just protecting themselves; they are protecting their ability to win and retain key customers. YAL.ai can leverage this dynamic by partnering with large enterprises to help them secure their supply chains, creating a channel to a vast network of SMEs who are now compelled by their clients to upgrade their defenses. This transforms the regulatory driver from a direct push on the end-user to a powerful pull from the top of the economic food chain.</w:t>
      </w:r>
    </w:p>
    <w:p>
      <w:pPr>
        <w:pStyle w:val="Heading2"/>
        <w:spacing w:line="288" w:lineRule="auto"/>
        <w:ind/>
      </w:pPr>
      <w:r>
        <w:rPr>
          <w:rFonts w:hint="eastAsia" w:ascii="微软雅黑" w:hAnsi="微软雅黑" w:eastAsia="微软雅黑"/>
          <w:b/>
          <w:noProof/>
          <w:sz w:val="36"/>
        </w:rPr>
        <w:t xml:space="preserve">Go-To-Market Intelligence</w:t>
      </w:r>
    </w:p>
    <w:p>
      <w:pPr>
        <w:spacing w:line="288" w:lineRule="auto"/>
        <w:ind w:firstLine="480" w:firstLineChars="200"/>
        <w:jc w:val="both"/>
      </w:pPr>
      <w:r>
        <w:rPr>
          <w:rFonts w:hint="eastAsia" w:ascii="微软雅黑" w:hAnsi="微软雅黑" w:eastAsia="微软雅黑"/>
          <w:noProof/>
          <w:sz w:val="24"/>
        </w:rPr>
        <w:t xml:space="preserve">Crafting an effective go-to-market (GTM) strategy is arguably the most critical determinant of success for a new technology entrant like YAL.ai in the competitive South African market. A superior product is a prerequisite, but without a well-defined plan for reaching, persuading, and supporting customers, even the most innovative solution is destined to fail. The South African B2B technology market is relationship-driven and channel-centric, meaning that a direct-only sales model is rarely viable for achieving scale. A successful GTM strategy must therefore be multifaceted, incorporating a sophisticated channel partner program, a targeted presence at key industry events for brand building and lead generation, and a proactive strategy for identifying and overcoming common client objections. For YAL.ai, this means moving beyond simply selling a product to building an ecosystem of partners, advocates, and satisfied customers who can drive sustainable growth.</w:t>
      </w:r>
    </w:p>
    <w:p>
      <w:pPr>
        <w:spacing w:line="288" w:lineRule="auto"/>
        <w:ind w:firstLine="480" w:firstLineChars="200"/>
        <w:jc w:val="both"/>
      </w:pPr>
      <w:r>
        <w:rPr>
          <w:rFonts w:hint="eastAsia" w:ascii="微软雅黑" w:hAnsi="微软雅黑" w:eastAsia="微软雅黑"/>
          <w:noProof/>
          <w:sz w:val="24"/>
        </w:rPr>
        <w:t xml:space="preserve">The cornerstone of a scalable GTM strategy in South Africa is the development of a robust reseller and partner network. This network can be stratified into several key categories. The first and most critical are the Managed Security Service Providers (MSSPs). Major players like Vodacom Business, MTN Business, BCX, and Altron operate Security Operations Centers (SOCs) and provide comprehensive managed security services to a vast portfolio of corporate and public sector clients. For these MSSPs, YAL.ai is not just a product to be resold but a tool to be integrated into their core service offering. By incorporating YAL.ai's AI-driven detection engine into their managed email security service, they can offer a superior level of protection to their clients, creating a powerful differentiator for themselves. This model is highly attractive as it leverages the MSSP's existing customer relationships, billing infrastructure, and support teams, providing YAL.ai with immediate market access and credibility.</w:t>
      </w:r>
    </w:p>
    <w:p>
      <w:pPr>
        <w:spacing w:line="288" w:lineRule="auto"/>
        <w:ind w:firstLine="480" w:firstLineChars="200"/>
        <w:jc w:val="both"/>
      </w:pPr>
      <w:r>
        <w:rPr>
          <w:rFonts w:hint="eastAsia" w:ascii="微软雅黑" w:hAnsi="微软雅黑" w:eastAsia="微软雅黑"/>
          <w:noProof/>
          <w:sz w:val="24"/>
        </w:rPr>
        <w:t xml:space="preserve">The second tier of the channel consists of Value-Added Resellers (VARs) and Systems Integrators (SIs) like Dimension Data (part of NTT) and Datacentrix. These partners typically focus on project-based work, designing and implementing end-to-end solutions for large enterprises. A VAR specializing in Microsoft technologies, for instance, could position YAL.ai as an essential security enhancement for Microsoft 365 deployments, addressing the known gaps in its native security. The role of these partners is to provide the sales consultation, technical integration, and post-sales support that enterprise clients demand. The third tier is the distribution channel, managed by companies like Axiz, Tarsus, and specialist security distributors such as First Distribution. Distributors provide broad market reach by serving a large network of smaller resellers who cater to the SME market. For YAL.ai, a two-tiered distribution strategy—working with a distributor who then manages the broader reseller base—is the most efficient way to achieve scale without having to manage hundreds of individual partner relationships directly.</w:t>
      </w:r>
    </w:p>
    <w:p>
      <w:pPr>
        <w:spacing w:line="288" w:lineRule="auto"/>
        <w:ind w:firstLine="480" w:firstLineChars="200"/>
        <w:jc w:val="both"/>
      </w:pPr>
      <w:r>
        <w:rPr>
          <w:rFonts w:hint="eastAsia" w:ascii="微软雅黑" w:hAnsi="微软雅黑" w:eastAsia="微软雅黑"/>
          <w:noProof/>
          <w:sz w:val="24"/>
        </w:rPr>
        <w:t xml:space="preserve">Parallel to building a channel, establishing brand visibility and generating high-quality leads requires a strategic presence at top industry events, conferences, and trade shows. The premier event for cybersecurity professionals in South Africa is the annual ITWeb Security Summit. Sponsoring or exhibiting at this summit is non-negotiable for any serious player, as it provides direct access to hundreds of CISOs, security managers, and decision-makers from the country's top organizations. It is the primary venue for launching new products, demonstrating capabilities, and networking with potential partners and clients. For public sector engagement, the annual GovTech conference, organized by SITA, is equally critical. A presence here is essential for showcasing YAL.ai's value proposition to government CIOs and procurement officials. Beyond these flagship events, participation in the MyBroadband Conference offers broader exposure to the technology and telecommunications sectors. Furthermore, grassroots marketing through sponsoring and presenting at local chapter meetings of professional bodies like ISACA, (ISC)², and OWASP in Johannesburg, Cape Town, and Durban can build credibility with technical practitioners who often act as key influencers in purchasing decisions.</w:t>
      </w:r>
    </w:p>
    <w:p>
      <w:pPr>
        <w:spacing w:line="288" w:lineRule="auto"/>
        <w:ind w:firstLine="480" w:firstLineChars="200"/>
        <w:jc w:val="both"/>
      </w:pPr>
      <w:r>
        <w:rPr>
          <w:rFonts w:hint="eastAsia" w:ascii="微软雅黑" w:hAnsi="微软雅黑" w:eastAsia="微软雅黑"/>
          <w:noProof/>
          <w:sz w:val="24"/>
        </w:rPr>
        <w:t xml:space="preserve">Despite a superior product and a strong channel, the sales process will inevitably encounter client objections that must be skillfully addressed. The most common objection will undoubtedly be cost. A prospective client might state, "Your AI solution appears promising, but it is significantly more expensive than the built-in security features of our Microsoft 365 E5 license, which we have already paid for." The effective strategy to counter this is to immediately shift the conversation from licensing cost to financial risk. This involves presenting case studies and statistics on the average cost of a successful BEC attack in South Africa, which can easily run into millions of Rands. The discussion should be framed around the return on investment (ROI), where the incremental cost of YAL.ai is positioned as an insurance policy against a catastrophic financial loss. A powerful tactic is to offer a no-obligation Proof of Concept (POC) to run in parallel with their existing system, providing a report that clearly demonstrates the specific, high-risk threats that Microsoft's native security missed but YAL.ai detected. This data-driven approach moves the discussion from opinion to fact.</w:t>
      </w:r>
    </w:p>
    <w:p>
      <w:pPr>
        <w:spacing w:line="288" w:lineRule="auto"/>
        <w:ind w:firstLine="480" w:firstLineChars="200"/>
        <w:jc w:val="both"/>
      </w:pPr>
      <w:r>
        <w:rPr>
          <w:rFonts w:hint="eastAsia" w:ascii="微软雅黑" w:hAnsi="微软雅黑" w:eastAsia="微软雅黑"/>
          <w:noProof/>
          <w:sz w:val="24"/>
        </w:rPr>
        <w:t xml:space="preserve">Another significant objection will revolve around data privacy and sovereignty, a concern amplified by POPIA. Clients will ask, "We are hesitant to allow a new, international AI platform to process all of our sensitive email communications. Where is our data stored and who has access to it?" This objection must be addressed proactively and with complete transparency. The optimal strategy is to leverage a local cloud data center, such as the AWS or Azure regions in Johannesburg or Cape Town, to ensure that all data processing and storage occurs within South Africa's borders. YAL.ai must have a clear, publicly available data processing agreement that is fully compliant with POPIA. The technical explanation is also crucial: sales teams should be trained to explain that the AI primarily analyzes metadata, communication patterns, and linguistic markers for threat indicators, rather than storing the body content of all emails indefinitely. This reassures clients that the platform is designed with privacy as a core principle.</w:t>
      </w:r>
    </w:p>
    <w:p>
      <w:pPr>
        <w:spacing w:line="288" w:lineRule="auto"/>
        <w:ind w:firstLine="480" w:firstLineChars="200"/>
        <w:jc w:val="both"/>
      </w:pPr>
      <w:r>
        <w:rPr>
          <w:rFonts w:hint="eastAsia" w:ascii="微软雅黑" w:hAnsi="微软雅黑" w:eastAsia="微软雅黑"/>
          <w:noProof/>
          <w:sz w:val="24"/>
        </w:rPr>
        <w:t xml:space="preserve">A third objection relates to integration complexity and the perceived management overhead. An overworked IT manager might say, "We have a small team and a complex environment. We don't have the resources to deploy and manage yet another security tool." The strategy here is to emphasize simplicity and partnership. YAL.ai's integration should be designed to be as seamless as possible, for example, through API-based connectors for Microsoft 365 and Google Workspace that can be deployed in minutes, not weeks. This is a significant advantage over legacy SEGs that require complex mail flow rule (MX record) changes. To address the management burden directly, the MSSP channel becomes a critical part of the solution. The response can be, "We understand your resource constraints, which is why our premier local partners, [MSSP Name], offer YAL.ai as a fully managed service. They handle the deployment, monitoring, and response, providing you with the protection without the administrative overhead." This transforms the objection into an opportunity to introduce a trusted local partner.</w:t>
      </w:r>
    </w:p>
    <w:p>
      <w:pPr>
        <w:spacing w:line="288" w:lineRule="auto"/>
        <w:ind w:firstLine="480" w:firstLineChars="200"/>
        <w:jc w:val="both"/>
      </w:pPr>
      <w:r>
        <w:rPr>
          <w:rFonts w:hint="eastAsia" w:ascii="微软雅黑" w:hAnsi="微软雅黑" w:eastAsia="微软雅黑"/>
          <w:noProof/>
          <w:sz w:val="24"/>
        </w:rPr>
        <w:t xml:space="preserve">Finally, YAL.ai will face skepticism about the "AI" buzzword itself. A cynical CISO might object, "Every vendor claims to use AI. How is your solution fundamentally different from the 'machine learning' features in our existing security stack?" The most effective rebuttal is to "show, don't just tell." This objection is an invitation to demonstrate tangible differentiation. Avoid abstract discussions about neural networks and instead focus on the outcome. During a POC, isolate a specific example of a sophisticated BEC attack that YAL.ai caught. Walk the CISO through the attack's anatomy and explain </w:t>
      </w:r>
      <w:r>
        <w:rPr>
          <w:rFonts w:hint="eastAsia" w:ascii="微软雅黑" w:hAnsi="微软雅黑" w:eastAsia="微软雅黑"/>
          <w:i/>
          <w:noProof/>
          <w:sz w:val="24"/>
        </w:rPr>
        <w:t>why</w:t>
      </w:r>
      <w:r>
        <w:rPr>
          <w:rFonts w:hint="eastAsia" w:ascii="微软雅黑" w:hAnsi="微软雅黑" w:eastAsia="微软雅黑"/>
          <w:noProof/>
          <w:sz w:val="24"/>
        </w:rPr>
        <w:t xml:space="preserve"> their existing rule-based and reputation-based systems missed it. Then, explain in concrete terms how YAL.ai's behavioral AI detected the threat by identifying a combination of subtle anomalies: an unusual tone of urgency, a request for a payment to a new bank account, a slight deviation in the sender's typical writing style, and a reply-to address that didn't match the sender's domain. This specific, evidence-based explanation proves that the AI is not just a marketing term but a fundamentally different and more effective detection engine.</w:t>
      </w:r>
    </w:p>
    <w:p>
      <w:pPr>
        <w:spacing w:line="288" w:lineRule="auto"/>
        <w:ind w:firstLine="480" w:firstLineChars="200"/>
        <w:jc w:val="both"/>
      </w:pPr>
      <w:r>
        <w:rPr>
          <w:rFonts w:hint="eastAsia" w:ascii="微软雅黑" w:hAnsi="微软雅黑" w:eastAsia="微软雅黑"/>
          <w:noProof/>
          <w:sz w:val="24"/>
        </w:rPr>
        <w:t xml:space="preserve">In conclusion, YAL.ai's GTM strategy for South Africa should be a carefully orchestrated, phased approach. Phase one must focus on foundational work: establishing a local presence (even if small), securing a key national distributor, and signing and enabling an initial cohort of 2-3 specialist MSSPs and VARs. Phase two should involve a targeted market assault on the financial services and professional services sectors, where the pain of BEC is most acute, leveraging these initial partners. Phase three would be a deliberate and strategic entry into the public sector market, pursued in conjunction with a highly-rated B-BBEE partner to compete for major tenders. This entire process must be supported by a continuous and visible marketing presence at key industry events and a sales organization that is deeply trained not just on the product's features, but on the art of overcoming the specific commercial, privacy, and technical objections prevalent in the South African market.</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