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"Strategic Signal Routing Rules for Veralogix Group," provides a comprehensive analysis of strategic signal identification, impact assessment, and response planning across critical industries to guide Veralogix Group in optimizing decision-making and capitalizing on emerging opportunities. It is structured into two core thematic areas: signal impact analysis and opportunity identification, and the development of a strategic response framework tailored for Veralogix companies. </w:t>
      </w:r>
    </w:p>
    <w:p>
      <w:pPr>
        <w:spacing w:line="288" w:lineRule="auto"/>
        <w:ind w:firstLine="480" w:firstLineChars="200"/>
        <w:jc w:val="both"/>
      </w:pPr>
      <w:r>
        <w:rPr>
          <w:rFonts w:hint="eastAsia" w:ascii="微软雅黑" w:hAnsi="微软雅黑" w:eastAsia="微软雅黑"/>
          <w:noProof/>
          <w:sz w:val="24"/>
        </w:rPr>
        <w:t xml:space="preserve">The first section emphasizes the importance of analyzing sector-specific signals to uncover growth opportunities and mitigate risks. Within the mining sector, the report highlights the significance of evaluating market trends and resource demand fluctuations, particularly in regions such as Asia-Pacific, to proactively identify expansion opportunities. It also delves into the energy sector, exploring disruptions driven by supply chain challenges and geopolitical factors, and uncovers strategic investment and partnership opportunities to navigate these complexities. The analysis is supported by thematic tables, including a Mining Expansion Signals Analysis Table and an Energy Sector Disruption Impact Table, which provide structured insights into sector-specific trends and their implications. An additional segment on mining operations focuses on the impact of maintenance shutdowns, although details for this chapter remain undeveloped.</w:t>
      </w:r>
    </w:p>
    <w:p>
      <w:pPr>
        <w:spacing w:line="288" w:lineRule="auto"/>
        <w:ind w:firstLine="480" w:firstLineChars="200"/>
        <w:jc w:val="both"/>
      </w:pPr>
      <w:r>
        <w:rPr>
          <w:rFonts w:hint="eastAsia" w:ascii="微软雅黑" w:hAnsi="微软雅黑" w:eastAsia="微软雅黑"/>
          <w:noProof/>
          <w:sz w:val="24"/>
        </w:rPr>
        <w:t xml:space="preserve">The second section introduces a strategic response framework designed to equip Veralogix companies with adaptive tools to address critical signals effectively and maintain a competitive edge. Immediate actions for mitigating risks and responding to high-priority signals are outlined, emphasizing the need for swift and decisive strategies. Weekly planning strategies are also detailed, offering systematic approaches to leverage emerging industry opportunities through adaptive frameworks. In addition, the report underscores the importance of monthly adjustments to align long-term strategic goals with evolving market dynamics. This includes protocols for organizational agility and decision-making, supported by visual aids such as the Adaptive Decision-Making Models by Year Table and the Emerging Industry Opportunities Planning Figure. Collectively, these frameworks reinforce the need for continuous evaluation and recalibration to sustain growth and resilience.</w:t>
      </w:r>
    </w:p>
    <w:p>
      <w:pPr>
        <w:spacing w:line="288" w:lineRule="auto"/>
        <w:ind w:firstLine="480" w:firstLineChars="200"/>
        <w:jc w:val="both"/>
      </w:pPr>
      <w:r>
        <w:rPr>
          <w:rFonts w:hint="eastAsia" w:ascii="微软雅黑" w:hAnsi="微软雅黑" w:eastAsia="微软雅黑"/>
          <w:noProof/>
          <w:sz w:val="24"/>
        </w:rPr>
        <w:t xml:space="preserve">By integrating signal analysis with actionable response strategies, the report presents a cohesive roadmap for Veralogix Group to navigate complex industry landscapes. It emphasizes the interplay between proactive signal identification and agile decision-making as essential pillars for capturing opportunities and mitigating risks in dynamic global markets. This approach ensures that Veralogix Group remains well-positioned to adapt to shifting economic, geopolitical, and sector-specific trends while maintaining alignment with its long-term strategic objectives.</w:t>
      </w:r>
    </w:p>
    <w:p>
      <w:pPr>
        <w:pStyle w:val="Heading1"/>
        <w:spacing w:line="288" w:lineRule="auto"/>
        <w:ind/>
      </w:pPr>
      <w:r>
        <w:rPr>
          <w:rFonts w:hint="eastAsia" w:ascii="微软雅黑" w:hAnsi="微软雅黑" w:eastAsia="微软雅黑"/>
          <w:b/>
          <w:noProof/>
          <w:sz w:val="40"/>
        </w:rPr>
        <w:t xml:space="preserve">Signal Impact Analysis and Opportunity Identification</w:t>
      </w:r>
    </w:p>
    <w:p>
      <w:pPr>
        <w:pStyle w:val="Heading2"/>
        <w:spacing w:line="288" w:lineRule="auto"/>
        <w:ind/>
      </w:pPr>
      <w:r>
        <w:rPr>
          <w:rFonts w:hint="eastAsia" w:ascii="微软雅黑" w:hAnsi="微软雅黑" w:eastAsia="微软雅黑"/>
          <w:b/>
          <w:noProof/>
          <w:sz w:val="36"/>
        </w:rPr>
        <w:t xml:space="preserve">Mining Expansion and Sector Development Signals</w:t>
      </w:r>
    </w:p>
    <w:p>
      <w:pPr>
        <w:spacing w:line="288" w:lineRule="auto"/>
        <w:ind w:firstLine="480" w:firstLineChars="200"/>
        <w:jc w:val="both"/>
      </w:pPr>
      <w:r>
        <w:rPr>
          <w:rFonts w:hint="eastAsia" w:ascii="微软雅黑" w:hAnsi="微软雅黑" w:eastAsia="微软雅黑"/>
          <w:noProof/>
          <w:sz w:val="24"/>
        </w:rPr>
        <w:t xml:space="preserve">The strategic evaluation of the mining sector requires a comprehensive framework for signal impact analysis and opportunity identification, particularly as the industry navigates complex global dynamics. For Veralogix Group, the effective routing of these signals is paramount to capitalizing on emerging sector developments. The analytical framework for mining expansion signals and impact analysis is structured around three primary pillars: market trends, resource demand, and economic indicators. Within market trends, the key focus area is recent expansion trends, which directly inform the strategic action of proactive identification of growth areas. Similarly, resource demand focuses heavily on the Asia-Pacific region, necessitating the continuous monitoring of fluctuations for opportunity identification. Finally, economic indicators center on sector development, which drives the economic impact analysis of mining expansion. By synthesizing these elements, Veralogix Group can systematically route critical market intelligence to the appropriate strategic decision-making centers.</w:t>
      </w:r>
    </w:p>
    <w:p>
      <w:pPr>
        <w:spacing w:line="288" w:lineRule="auto"/>
        <w:ind w:firstLine="480" w:firstLineChars="200"/>
        <w:jc w:val="both"/>
      </w:pPr>
      <w:r>
        <w:rPr>
          <w:rFonts w:hint="eastAsia" w:ascii="微软雅黑" w:hAnsi="微软雅黑" w:eastAsia="微软雅黑"/>
          <w:noProof/>
          <w:sz w:val="24"/>
        </w:rPr>
        <w:t xml:space="preserve">Recent mining expansion trends have been significantly influenced by a convergence of technological advancements, sophisticated financial strategies, environmental imperatives, and shifting political regulations. A primary driver of contemporary industry growth has been the pronounced surge in technological financing and mergers and acquisitions, which have collectively enabled rapid innovation and operational scaling across the global sector</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The widespread adoption of automation, artificial intelligence, and operational edge control has fundamentally altered extraction methodologies, contributing to unprecedented improvements in operational efficiency, workplace safety, and overall productivity, thereby facilitating broader mining expansion</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To effectively capture opportunities within this domain, Veralogix Group must route signals pertaining to technological integration and capital consolidation to its growth identification units. </w:t>
      </w:r>
    </w:p>
    <w:p>
      <w:pPr>
        <w:spacing w:line="288" w:lineRule="auto"/>
        <w:ind w:firstLine="480" w:firstLineChars="200"/>
        <w:jc w:val="both"/>
      </w:pPr>
      <w:r>
        <w:rPr>
          <w:rFonts w:hint="eastAsia" w:ascii="微软雅黑" w:hAnsi="微软雅黑" w:eastAsia="微软雅黑"/>
          <w:noProof/>
          <w:sz w:val="24"/>
        </w:rPr>
        <w:t xml:space="preserve">Furthermore, sustainability has emerged as a critical theme dictating the trajectory of sector development, as mining conglomerates increasingly direct investments toward material recycling and scrap metal initiatives</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These investments are strategically designed to reduce systemic reliance on virgin resource extraction and align corporate operations with progressive circular economy models</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Concurrently, geopolitical factors are playing an increasingly active role in shaping expansion strategies. Export controls on key commodities, notably copper, underscore the urgent need for resource diversification and the establishment of robust international collaborations to mitigate supply chain vulnerabilities</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Strategic shifts in production technologies, coupled with the deep integration of Environmental, Social, and Governance factors, have become central drivers in determining the viability of expansion projects, reflecting a heightened corporate awareness of environmental and social impacts</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The mining industry is also adapting to a highly policy-driven business environment, where shifting regulations and direct government interventions continuously influence the operational direction and scope of mining enterprises</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On a commodity-specific level, market signals indicate substantial growth trajectories that Veralogix Group must monitor for economic impact analysis. For instance, gold production is projected to expand significantly, with an estimated seven percent year-over-year increase in output, expected to reach 72.8 million ounces in 2026</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Despite these robust growth projections, pervasive inflation and complex supply chain dynamics remain critical factors reshaping the global mining landscape, possessing the potential to heavily impact cost structures and shift investment priorities across the sector</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These findings collectively portray an industry characterized by proactive adaptation to evolving technological, financial, environmental, and geopolitical landscapes, with sustainable practices and strategic investments serving as the foundation for ongoing expansions.</w:t>
      </w:r>
    </w:p>
    <w:p>
      <w:pPr>
        <w:spacing w:line="288" w:lineRule="auto"/>
        <w:ind w:firstLine="480" w:firstLineChars="200"/>
        <w:jc w:val="both"/>
      </w:pPr>
      <w:r>
        <w:rPr>
          <w:rFonts w:hint="eastAsia" w:ascii="微软雅黑" w:hAnsi="微软雅黑" w:eastAsia="微软雅黑"/>
          <w:noProof/>
          <w:sz w:val="24"/>
        </w:rPr>
        <w:t xml:space="preserve">Transitioning to the second pillar of the signal analysis framework, resource demand fluctuations present a distinct set of strategic opportunities and challenges, particularly within the Asia-Pacific region. As a crucial global center for production and consumption, the Asia-Pacific region continues to experience significant resource demand driven by rapid industrial growth, ongoing urbanization, and sustained population expansion. Recent expert analyses emphasize the critical importance of transitioning to sustainable practices, such as the adoption of a circular economy model, to effectively address escalating demand, mitigate severe environmental pressures, and enhance long-term industrial competitiveness. The urgency of implementing such structural transformations was prominently highlighted at the World Economic Forum's Decarbonization event, held in Seoul at the end of June 2026, where regional leaders focused on tackling resource constraints that could adversely affect future economic performance. For Veralogix Group, signals originating from such high-level policy forums must be routed to strategic planning divisions to anticipate regulatory shifts and market realignments.</w:t>
      </w:r>
    </w:p>
    <w:p>
      <w:pPr>
        <w:spacing w:line="288" w:lineRule="auto"/>
        <w:ind w:firstLine="480" w:firstLineChars="200"/>
        <w:jc w:val="both"/>
      </w:pPr>
      <w:r>
        <w:rPr>
          <w:rFonts w:hint="eastAsia" w:ascii="微软雅黑" w:hAnsi="微软雅黑" w:eastAsia="微软雅黑"/>
          <w:noProof/>
          <w:sz w:val="24"/>
        </w:rPr>
        <w:t xml:space="preserve">The interplay between economic development, social welfare, and sustainable resource management is further elucidated in the 2026 Economic and Social Survey published by ESCAP. This comprehensive survey highlights that resource demand is inextricably tied to population growth, industrialization, and escalating climate change challenges. It stresses that acute resource constraints, particularly concerning access to energy, water, and food, require the deployment of innovative solutions to successfully balance competing regional priorities and ensure inclusive growth. Consequently, Veralogix Group's opportunity identification mechanisms must prioritize investments in technologies and methodologies that alleviate these specific resource bottlenecks.</w:t>
      </w:r>
    </w:p>
    <w:p>
      <w:pPr>
        <w:spacing w:line="288" w:lineRule="auto"/>
        <w:ind w:firstLine="480" w:firstLineChars="200"/>
        <w:jc w:val="both"/>
      </w:pPr>
      <w:r>
        <w:rPr>
          <w:rFonts w:hint="eastAsia" w:ascii="微软雅黑" w:hAnsi="微软雅黑" w:eastAsia="微软雅黑"/>
          <w:noProof/>
          <w:sz w:val="24"/>
        </w:rPr>
        <w:t xml:space="preserve">Economic indicators provide the final layer of context for sector development signals. The Conference Board's Economic Forecast for June 2026 offers a vital macroeconomic perspective on the factors influencing resource demand. The forecast notes the profound effects of monetary policy tightening across key Asia-Pacific economies, a strategy primarily aimed at combating inflation, which may consequently moderate the immediate demand for resources as broader economic activity slows. Conversely, the persistence of high inflation could also serve as a signal of unyielding underlying demand for the resources strictly necessary to sustain essential production and consumption cycles. While older economic models that predicted stable growth and structural resilience for the region in 2026 have proven less informative in capturing the nuanced resource challenges currently observed, the latest macroeconomic data provides a reliable basis for economic impact analysis</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Ultimately, the central theme across recent market intelligence is that resource demand in the Asia-Pacific region is intricately tied to its ambitious economic targets and industrial output capabilities. There is a rapidly growing recognition of the urgent need for sustainable practices to properly align this massive demand with the planet's environmental limits. While data variability exists due to diverse analytical perspectives, the prevailing strategic concern remains the delicate balancing act between facilitating continued regional growth and managing the finite nature of critical resources such as energy, water, and essential materials, all alongside mounting pressures from global climate change</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By systematically routing these multifaceted signals—spanning technological M&amp;A, ESG integration, commodity output projections, and Asia-Pacific macroeconomic policies—Veralogix Group can proactively identify high-yield growth areas and accurately assess the economic impact of global mining expansions.</w:t>
      </w:r>
    </w:p>
    <w:p>
      <w:pPr>
        <w:spacing w:line="360" w:lineRule="auto"/>
        <w:ind/>
      </w:pPr>
      <w:r>
        <w:rPr>
          <w:rFonts w:hint="eastAsia"/>
          <w:b/>
          <w:noProof/>
          <w:sz w:val="22"/>
        </w:rPr>
        <w:t xml:space="preserve">Mining Expansion Signals and Impact Analysis</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Signal Category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Focus Area</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Action / Impact</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Trends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Recent Expansion Trends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Proactive identification of growth areas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Resource Demand</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Asia-Pacific Region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Monitoring fluctuations for opportunity identification</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Economic Indicators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Sector Development</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Economic impact analysis of mining expansion</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Maintenance Shutdowns in Mining Operations</w:t>
      </w:r>
    </w:p>
    <w:p>
      <w:pPr>
        <w:spacing w:line="288" w:lineRule="auto"/>
        <w:ind w:firstLine="480" w:firstLineChars="200"/>
        <w:jc w:val="both"/>
      </w:pPr>
      <w:r>
        <w:rPr>
          <w:rFonts w:hint="eastAsia" w:ascii="微软雅黑" w:hAnsi="微软雅黑" w:eastAsia="微软雅黑"/>
          <w:noProof/>
          <w:sz w:val="24"/>
        </w:rPr>
        <w:t xml:space="preserve">The operational continuity of modern mining environments relies fundamentally on robust, uninterrupted data transmission and communication networks. Within this context, maintenance shutdowns represent highly critical phases where the physical and operational landscape of a mining site undergoes rapid and significant alteration. For Veralogix Group, the formulation of strategic signal routing rules during these periods requires a comprehensive understanding of how temporary infrastructural shifts impact signal integrity. The dynamic nature of a maintenance shutdown introduces a multitude of physical obstructions, electromagnetic interference sources, and network topology changes that can severely degrade standard communication pathways. Consequently, conducting a thorough signal impact analysis is paramount to ensuring that critical telemetry, automated equipment control protocols, and personnel safety communications remain uncompromised while routine operations are suspended for essential servicing.</w:t>
      </w:r>
    </w:p>
    <w:p>
      <w:pPr>
        <w:spacing w:line="288" w:lineRule="auto"/>
        <w:ind w:firstLine="480" w:firstLineChars="200"/>
        <w:jc w:val="both"/>
      </w:pPr>
      <w:r>
        <w:rPr>
          <w:rFonts w:hint="eastAsia" w:ascii="微软雅黑" w:hAnsi="微软雅黑" w:eastAsia="微软雅黑"/>
          <w:noProof/>
          <w:sz w:val="24"/>
        </w:rPr>
        <w:t xml:space="preserve">During a scheduled maintenance shutdown, the deployment of heavy diagnostic machinery, the erection of temporary metallic scaffolding, and the repositioning of massive extraction vehicles create a highly variable physical environment. These elements act as transient barriers that cause severe signal attenuation and multipath fading, particularly in confined underground shafts or deep open-pit sectors. Furthermore, the activation of high-voltage maintenance equipment, such as industrial welders and heavy-duty diagnostic rigs, introduces substantial electromagnetic interference into the surrounding environment. This interference can disrupt the primary frequency bands utilized for industrial Internet of Things networks and vehicular telemetry. Veralogix Group must account for these environmental variables by establishing routing rules that proactively identify and bypass these temporary zones of high interference. The signal impact analysis must therefore map the spatial and temporal dimensions of the shutdown, correlating the physical location of maintenance activities with the existing network infrastructure to predict areas of potential signal degradation.</w:t>
      </w:r>
    </w:p>
    <w:p>
      <w:pPr>
        <w:spacing w:line="288" w:lineRule="auto"/>
        <w:ind w:firstLine="480" w:firstLineChars="200"/>
        <w:jc w:val="both"/>
      </w:pPr>
      <w:r>
        <w:rPr>
          <w:rFonts w:hint="eastAsia" w:ascii="微软雅黑" w:hAnsi="微软雅黑" w:eastAsia="微软雅黑"/>
          <w:noProof/>
          <w:sz w:val="24"/>
        </w:rPr>
        <w:t xml:space="preserve">The identification of opportunities within this complex environment hinges on the implementation of adaptive and predictive network management strategies. One primary opportunity lies in the utilization of Software-Defined Networking principles to dynamically reconfigure signal routing topologies prior to and during the shutdown phase. By analyzing historical maintenance data and current project schedules, Veralogix Group can engineer routing algorithms that preemptively shift critical data flows away from scheduled maintenance zones. This proactive rerouting ensures that essential diagnostic data, which often requires high-bandwidth transmission for real-time analysis, experiences zero packet loss or latency. Additionally, the strategic deployment of temporary, mobile mesh networking nodes can bridge connectivity gaps created by the deactivation of permanent access points undergoing their own maintenance. These mobile nodes can self-configure, creating resilient, multi-hop pathways that dynamically adapt to the shifting physical landscape of the mining site.</w:t>
      </w:r>
    </w:p>
    <w:p>
      <w:pPr>
        <w:spacing w:line="288" w:lineRule="auto"/>
        <w:ind w:firstLine="480" w:firstLineChars="200"/>
        <w:jc w:val="both"/>
      </w:pPr>
      <w:r>
        <w:rPr>
          <w:rFonts w:hint="eastAsia" w:ascii="微软雅黑" w:hAnsi="微软雅黑" w:eastAsia="微软雅黑"/>
          <w:noProof/>
          <w:sz w:val="24"/>
        </w:rPr>
        <w:t xml:space="preserve">Moreover, the hierarchy of data transmission must be rigorously managed during maintenance operations. Veralogix Group’s strategic routing rules must incorporate advanced Quality of Service protocols that automatically prioritize safety-critical communications and environmental monitoring data over less urgent administrative traffic. In the event of a sudden network bottleneck caused by unforeseen maintenance complications, the routing architecture must possess the autonomous capability to throttle lower-priority signals, thereby preserving the bandwidth necessary for hazardous gas detection systems, structural integrity sensors, and emergency voice communications. This intelligent bandwidth reallocation is not merely an operational convenience but a fundamental safety requirement in high-risk mining environments. Identifying the optimal thresholds and triggers for these Quality of Service adjustments presents a significant opportunity to enhance overall site safety and regulatory compliance during vulnerable shutdown periods.</w:t>
      </w:r>
    </w:p>
    <w:p>
      <w:pPr>
        <w:spacing w:line="288" w:lineRule="auto"/>
        <w:ind w:firstLine="480" w:firstLineChars="200"/>
        <w:jc w:val="both"/>
      </w:pPr>
      <w:r>
        <w:rPr>
          <w:rFonts w:hint="eastAsia" w:ascii="微软雅黑" w:hAnsi="微软雅黑" w:eastAsia="微软雅黑"/>
          <w:noProof/>
          <w:sz w:val="24"/>
        </w:rPr>
        <w:t xml:space="preserve">Another critical dimension of signal impact analysis involves the integration of edge computing capabilities to mitigate routing dependencies on central data servers. During extensive maintenance shutdowns, backhaul connections to central control rooms may be intentionally severed or inadvertently compromised. By establishing routing rules that direct localized diagnostic data to edge computing devices situated near the maintenance activity, Veralogix Group can facilitate uninterrupted data processing and equipment testing. This localized routing strategy reduces the latency of automated feedback loops, allowing maintenance crews to calibrate and certify heavy machinery without relying on distant central servers. Once the primary backhaul connections are restored, the edge devices can asynchronously transmit the aggregated diagnostic logs to the central database. This decentralized approach to signal routing not only isolates maintenance activities from broader network vulnerabilities but also accelerates the overall pace of the shutdown, directly contributing to a faster resumption of profitable mining operations.</w:t>
      </w:r>
    </w:p>
    <w:p>
      <w:pPr>
        <w:spacing w:line="288" w:lineRule="auto"/>
        <w:ind w:firstLine="480" w:firstLineChars="200"/>
        <w:jc w:val="both"/>
      </w:pPr>
      <w:r>
        <w:rPr>
          <w:rFonts w:hint="eastAsia" w:ascii="微软雅黑" w:hAnsi="微软雅黑" w:eastAsia="微软雅黑"/>
          <w:noProof/>
          <w:sz w:val="24"/>
        </w:rPr>
        <w:t xml:space="preserve">The strategic alignment of signal routing rules with maintenance schedules also facilitates enhanced predictive maintenance capabilities. As diagnostic equipment generates massive volumes of high-resolution data during the shutdown, the network must be capable of routing this information to analytical engines without disrupting ongoing safety protocols. Veralogix Group can leverage this requirement to implement dedicated, high-capacity virtual local area networks that are temporarily instantiated specifically for the duration of the maintenance event. These dedicated pathways ensure that the influx of diagnostic data does not overwhelm the primary operational network. By capturing and routing this data efficiently, mining operators can apply advanced machine learning algorithms to detect micro-anomalies in equipment performance, thereby transitioning from reactive repair models to highly efficient predictive maintenance paradigms.</w:t>
      </w:r>
    </w:p>
    <w:p>
      <w:pPr>
        <w:spacing w:line="288" w:lineRule="auto"/>
        <w:ind w:firstLine="480" w:firstLineChars="200"/>
        <w:jc w:val="both"/>
      </w:pPr>
      <w:r>
        <w:rPr>
          <w:rFonts w:hint="eastAsia" w:ascii="微软雅黑" w:hAnsi="微软雅黑" w:eastAsia="微软雅黑"/>
          <w:noProof/>
          <w:sz w:val="24"/>
        </w:rPr>
        <w:t xml:space="preserve">Ultimately, the intersection of signal impact analysis and maintenance shutdowns presents a highly specialized domain where Veralogix Group can deliver substantial operational value. The strategic routing rules developed for these scenarios must be inherently resilient, highly adaptive, and deeply integrated with the logistical planning of the mining operation. By anticipating environmental interference, dynamically reallocating network resources, prioritizing safety-critical telemetry, and leveraging edge computing architectures, the communication infrastructure can be transformed from a static utility into a dynamic operational asset. This proactive approach to signal management minimizes the duration of costly operational pauses, maximizes the efficacy of the maintenance procedures, and ensures the absolute safety of all personnel navigating the complex, shifting environment of a mining shutdown. Through continuous refinement of these routing protocols, Veralogix Group can establish a new standard for digital resilience in the heavy extraction industry.</w:t>
      </w:r>
    </w:p>
    <w:p>
      <w:pPr>
        <w:pStyle w:val="Heading2"/>
        <w:spacing w:line="288" w:lineRule="auto"/>
        <w:ind/>
      </w:pPr>
      <w:r>
        <w:rPr>
          <w:rFonts w:hint="eastAsia" w:ascii="微软雅黑" w:hAnsi="微软雅黑" w:eastAsia="微软雅黑"/>
          <w:b/>
          <w:noProof/>
          <w:sz w:val="36"/>
        </w:rPr>
        <w:t xml:space="preserve">Energy Sector Disruptions and Opportunities</w:t>
      </w:r>
    </w:p>
    <w:p>
      <w:pPr>
        <w:spacing w:line="288" w:lineRule="auto"/>
        <w:ind w:firstLine="480" w:firstLineChars="200"/>
        <w:jc w:val="both"/>
      </w:pPr>
      <w:r>
        <w:rPr>
          <w:rFonts w:hint="eastAsia" w:ascii="微软雅黑" w:hAnsi="微软雅黑" w:eastAsia="微软雅黑"/>
          <w:noProof/>
          <w:sz w:val="24"/>
        </w:rPr>
        <w:t xml:space="preserve">The global energy sector in mid-2026 is characterized by profound transformations and significant disruptions, driven by a confluence of geopolitical tensions, economic volatility, and shifting policy frameworks. As energy systems face mounting pressures from rising demand and affordability challenges, the necessity for resilience and sustainability across markets has become increasingly apparent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The landscape is marked by a complex interplay of forces that complicate the global energy transition, rendering it highly fragmented and uneven across different regions . For the Veralogix Group, understanding these multifaceted disruptions is critical for refining strategic signal routing rules, ensuring that market intelligence is accurately interpreted to identify viable opportunities for strategic investments and robust partnerships amidst ongoing sectoral instability.</w:t>
      </w:r>
    </w:p>
    <w:p>
      <w:pPr>
        <w:spacing w:line="288" w:lineRule="auto"/>
        <w:ind w:firstLine="480" w:firstLineChars="200"/>
        <w:jc w:val="both"/>
      </w:pPr>
      <w:r>
        <w:rPr>
          <w:rFonts w:hint="eastAsia" w:ascii="微软雅黑" w:hAnsi="微软雅黑" w:eastAsia="微软雅黑"/>
          <w:noProof/>
          <w:sz w:val="24"/>
        </w:rPr>
        <w:t xml:space="preserve">Geopolitical instability remains a primary driver of market volatility and supply chain disruption within the global energy ecosystem. Historical data from the Impact Severity of Energy Sector Disruption Factors in 2025 illustrates this dominance, where geopolitical factors recorded the highest impact severity score of 88.0 out of 100, while cyber threats registered a minimum score of 55.0. This overarching trend of geopolitical dominance has persisted into 2026, profoundly shaping global energy markets and dictating the flow of commodities. The Middle East, representing a substantial portion of global oil and gas supply contributions, has been a particular region of concern, where regional instability has significantly heightened fears of price volatility and elevated energy security risks for importing nations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Furthermore, geopolitical disruptions in natural gas and liquefied natural gas markets earlier in the year tightened global supply availability, driving acute price volatility and underscoring the inherent fragility of international energy supply chains </w:t>
      </w:r>
      <w:r>
        <w:rPr>
          <w:rFonts w:hint="eastAsia" w:ascii="微软雅黑" w:hAnsi="微软雅黑" w:eastAsia="微软雅黑"/>
          <w:noProof/>
          <w:sz w:val="24"/>
          <w:vertAlign w:val="superscript"/>
        </w:rPr>
        <w:t>[12]</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stresses on supply chains and market dynamics have been further complicated by adjustments in energy policies and shifting supply-demand balances. Early in 2026, energy markets exhibited a notably downbeat sentiment, a reaction to geopolitical instability combined with a noticeable swelling in global oil and gas supplies . This oversupply dynamic, juxtaposed against regional logistical constraints, has created a highly complex pricing environment, influencing global energy prices and generating considerable uncertainty for key stakeholders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The Energy Information Administration has had to revise its projections for 2026, anticipating ongoing shifts in oil demand and supply flows as a direct result of these geopolitical tensions and structural policy adjustments </w:t>
      </w:r>
      <w:r>
        <w:rPr>
          <w:rFonts w:hint="eastAsia" w:ascii="微软雅黑" w:hAnsi="微软雅黑" w:eastAsia="微软雅黑"/>
          <w:noProof/>
          <w:sz w:val="24"/>
          <w:vertAlign w:val="superscript"/>
        </w:rPr>
        <w:t>[14][15]</w:t>
      </w:r>
      <w:r>
        <w:rPr>
          <w:rFonts w:hint="eastAsia" w:ascii="微软雅黑" w:hAnsi="微软雅黑" w:eastAsia="微软雅黑"/>
          <w:noProof/>
          <w:sz w:val="24"/>
        </w:rPr>
        <w:t xml:space="preserve">. Consequently, geopolitical conflicts across various regions have exacerbated volatility in energy markets and dampened investor sentiment, with energy price spikes contributing directly to disruptions in global supply chains and negatively impacting broader equity market performance </w:t>
      </w:r>
      <w:r>
        <w:rPr>
          <w:rFonts w:hint="eastAsia" w:ascii="微软雅黑" w:hAnsi="微软雅黑" w:eastAsia="微软雅黑"/>
          <w:noProof/>
          <w:sz w:val="24"/>
          <w:vertAlign w:val="superscript"/>
        </w:rPr>
        <w:t>[15]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Domestic policy shifts within major economies have also catalyzed significant regional disruptions, presenting both challenges and distinct signals for strategic routing. In the United States, disruptions stemming from energy policies under the former administration resulted in profound economic and sectoral impacts. According to recent climate reports, these policy realignments led to a 16 percent increase in utility bills and the substantial loss or delay of 143,775 clean energy jobs between the election and June 1, 2026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These setbacks were primarily driven by the abrupt cancellation of renewable energy projects and missed grant opportunities during this transformative period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Such policy-driven turbulence highlights the critical need for Veralogix Group to monitor regulatory signals closely, as sudden shifts in governmental support can rapidly alter the viability of clean energy investments and necessitate immediate strategic pivots to preserve capital and maximize returns.</w:t>
      </w:r>
    </w:p>
    <w:p>
      <w:pPr>
        <w:spacing w:line="288" w:lineRule="auto"/>
        <w:ind w:firstLine="480" w:firstLineChars="200"/>
        <w:jc w:val="both"/>
      </w:pPr>
      <w:r>
        <w:rPr>
          <w:rFonts w:hint="eastAsia" w:ascii="微软雅黑" w:hAnsi="微软雅黑" w:eastAsia="微软雅黑"/>
          <w:noProof/>
          <w:sz w:val="24"/>
        </w:rPr>
        <w:t xml:space="preserve">On a global scale, the World Economic Forum’s June 2026 Energy Transition Index provides critical insights into the broader impacts of these disruptions, indicating that the global energy transition is becoming increasingly disjointed . This fragmented progress across different nations has resulted in highly uneven adaptation to the energy transition, fostering regional disruptions that are driven by stark variations in regulatory landscapes, shifting investment patterns, and the continuous geopolitical influence on energy supply chains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The Index emphasizes the mounting complexity of these transitions, positioning this fragmentation as a critical factor that is actively reshaping the energy sector and inducing systemic instability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The ongoing Global Energy Forum in June 2026 aims to convene global stakeholders to address these exact transitions and disruptions, underscoring the urgent international priority of stabilizing the sector, even as specific policy agendas and cooperative frameworks remain under development </w:t>
      </w:r>
      <w:r>
        <w:rPr>
          <w:rFonts w:hint="eastAsia" w:ascii="微软雅黑" w:hAnsi="微软雅黑" w:eastAsia="微软雅黑"/>
          <w:noProof/>
          <w:sz w:val="24"/>
          <w:vertAlign w:val="superscript"/>
        </w:rPr>
        <w:t>[12]</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Despite the severity of these disruptions, the current sectoral flux presents substantial opportunities for strategic investments and partnerships, provided that Veralogix Group effectively calibrates its signal routing mechanisms. The analysis of geopolitical risks underscores their dual capacity to either hinder or accelerate investment in renewable energy infrastructure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Where traditional fossil fuel supply chains demonstrate vulnerability due to geopolitical bottlenecks, there is a pronounced strategic opportunity to route capital toward localized, resilient clean energy infrastructure. The tightening of natural gas and liquefied natural gas supplies, coupled with the necessity for improved market fundamentals, identifies infrastructure investments as a key factor capable of stabilizing broader market dynamics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Veralogix Group can leverage these market signals to forge strategic partnerships with infrastructure developers focused on enhancing grid resilience and expanding terminal capacities in geopolitically stable jurisdictions.</w:t>
      </w:r>
    </w:p>
    <w:p>
      <w:pPr>
        <w:spacing w:line="288" w:lineRule="auto"/>
        <w:ind w:firstLine="480" w:firstLineChars="200"/>
        <w:jc w:val="both"/>
      </w:pPr>
      <w:r>
        <w:rPr>
          <w:rFonts w:hint="eastAsia" w:ascii="微软雅黑" w:hAnsi="微软雅黑" w:eastAsia="微软雅黑"/>
          <w:noProof/>
          <w:sz w:val="24"/>
        </w:rPr>
        <w:t xml:space="preserve">Furthermore, the massive displacement of clean energy initiatives in certain regions, such as the delayed projects in the United States, creates a vacuum that private capital and strategic consortiums can efficiently fill. By identifying distressed or stalled clean energy assets through precise signal routing, Veralogix Group can acquire or partner with developers at favorable valuations, anticipating a market correction or future policy stabilization. The uneven pace of transition efforts globally requires a highly dynamic investment approach, where capital is dynamically routed to regions demonstrating robust regulatory support and clear transition frameworks. Synthesizing these insights, the disruptions in the energy sector—linked inextricably to policy shifts, economic challenges, and geopolitical tensions—will persist as global systems adapt to multifaceted pressures. For Veralogix Group, the strategic imperative is to continuously refine its signal impact analysis, ensuring that the organization remains agile enough to mitigate the risks associated with supply chain instability while aggressively pursuing the lucrative opportunities emerging from the global energy transition's complex and fragmented evolution.</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1"/>
        <w:spacing w:line="288" w:lineRule="auto"/>
        <w:ind/>
      </w:pPr>
      <w:r>
        <w:rPr>
          <w:rFonts w:hint="eastAsia" w:ascii="微软雅黑" w:hAnsi="微软雅黑" w:eastAsia="微软雅黑"/>
          <w:b/>
          <w:noProof/>
          <w:sz w:val="40"/>
        </w:rPr>
        <w:t xml:space="preserve">Strategic Response Framework for Veralogix Companies</w:t>
      </w:r>
    </w:p>
    <w:p>
      <w:pPr>
        <w:pStyle w:val="Heading2"/>
        <w:spacing w:line="288" w:lineRule="auto"/>
        <w:ind/>
      </w:pPr>
      <w:r>
        <w:rPr>
          <w:rFonts w:hint="eastAsia" w:ascii="微软雅黑" w:hAnsi="微软雅黑" w:eastAsia="微软雅黑"/>
          <w:b/>
          <w:noProof/>
          <w:sz w:val="36"/>
        </w:rPr>
        <w:t xml:space="preserve">Immediate Actions for Critical Signals</w:t>
      </w:r>
    </w:p>
    <w:p>
      <w:pPr>
        <w:spacing w:line="288" w:lineRule="auto"/>
        <w:ind w:firstLine="480" w:firstLineChars="200"/>
        <w:jc w:val="both"/>
      </w:pPr>
      <w:r>
        <w:rPr>
          <w:rFonts w:hint="eastAsia" w:ascii="微软雅黑" w:hAnsi="微软雅黑" w:eastAsia="微软雅黑"/>
          <w:noProof/>
          <w:sz w:val="24"/>
        </w:rPr>
        <w:t xml:space="preserve">The establishment of a robust strategic response framework is paramount for Veralogix companies to effectively navigate the complexities of the modern operational landscape. As organizations face an increasingly volatile environment characterized by rapid technological advancements and shifting regulatory demands, the ability to identify critical indicators and devise systematized responses is essential for mitigating risks and adapting to emerging challenges. This framework dictates the immediate actions necessary when critical signals are detected, ensuring that corporate responses are not impulsive but rather strategically calculated to balance operational, financial, and reputational consequences. Drawing parallels from global geopolitical strategies, effective frameworks for action prioritize calculated responses to perceived threats or critical signals, carefully weighing the multifaceted impacts of any immediate intervention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By institutionalizing these strategic routing rules, Veralogix companies can ensure that critical signals—whether they stem from cybersecurity threats, regulatory shifts, or operational anomalies—are routed to the appropriate decision-makers with minimal latency. </w:t>
      </w:r>
    </w:p>
    <w:p>
      <w:pPr>
        <w:spacing w:line="288" w:lineRule="auto"/>
        <w:ind w:firstLine="480" w:firstLineChars="200"/>
        <w:jc w:val="both"/>
      </w:pPr>
      <w:r>
        <w:rPr>
          <w:rFonts w:hint="eastAsia" w:ascii="微软雅黑" w:hAnsi="微软雅黑" w:eastAsia="微软雅黑"/>
          <w:noProof/>
          <w:sz w:val="24"/>
        </w:rPr>
        <w:t xml:space="preserve">A foundational element of immediate action within this framework involves the rapid detection and containment of digital and cyber-related threats. Understanding attacker tactics, techniques, and procedures is critical for identifying the signals of an impending or active cyberattack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By prioritizing early detection, Veralogix companies can deploy immediate containment protocols that isolate affected systems and prevent lateral movement within the corporate network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This cyber-centric approach is heavily augmented by the integration of artificial intelligence and automation into incident response workflows. The proactive monitoring of critical signals tied to artificial intelligence vulnerabilities or potential misuse is a growing priority, as emphasized by recent federal directives aimed at promoting advanced technological security and innovation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By establishing internal mechanisms that continuously track AI development risks, Veralogix can preemptively address vulnerabilities before they escalate into critical operational failures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Furthermore, technological solutions showcased at industry forums emphasize the necessity of continuous innovation in identifying and responding to critical threats, underscoring the need for cutting-edge technological integration in any modern response framework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Beyond cybersecurity, the strategic response framework mandates immediate actions driven by standardized data management and operational efficiency trends. In the current corporate environment, increased standardization and reduced latency in data handling are essential components for maintaining a competitive edge . Immediate strategies for Veralogix companies include assessing existing technological capabilities and incorporating artificial intelligence into daily workflows to optimize data processing . Effective data management serves as the bedrock for executing corporate actions accurately and swiftly, necessitating streamlined solutions that reduce systemic complexity and enhance strategic execution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Robust methodologies for processing corporate actions data ensure that real-time decision-making is supported by accurate, high-fidelity information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This is particularly critical when dealing with specific corporate events, such as takeover scenarios or structural market adjustments, where strategic decision-making relies heavily on the timely interpretation of complex data signals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Regulatory and policy shifts represent another category of critical signals requiring immediate and coordinated action. When government agencies or regulatory bodies issue requests for information or propose framework reassessments, these developments must be treated as critical signals indicating impending market or compliance changes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For instance, reassessments of essential health benefits or similar regulatory standards require stakeholders to anticipate changes and prepare response strategies that align with potential updates to overarching frameworks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Veralogix companies must utilize these early regulatory signals to mobilize internal compliance and legal teams, ensuring that adaptive strategies are formulated well in advance of final regulatory enforcement. This proactive stance prevents operational bottlenecks and shields the organization from compliance-related penalties, thereby preserving institutional integrity. </w:t>
      </w:r>
    </w:p>
    <w:p>
      <w:pPr>
        <w:spacing w:line="288" w:lineRule="auto"/>
        <w:ind w:firstLine="480" w:firstLineChars="200"/>
        <w:jc w:val="both"/>
      </w:pPr>
      <w:r>
        <w:rPr>
          <w:rFonts w:hint="eastAsia" w:ascii="微软雅黑" w:hAnsi="微软雅黑" w:eastAsia="微软雅黑"/>
          <w:noProof/>
          <w:sz w:val="24"/>
        </w:rPr>
        <w:t xml:space="preserve">Furthermore, immediate corporate action strategies are increasingly informed by data-driven insights related to environmental, social, and governance principles, alongside ambitious climate-related goals. The strategic focus for corporate climate action has shifted significantly from merely setting targets to actively delivering on them, requiring immediate action strategies centered around practical implementation and the tangible reduction of emissions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For Veralogix companies, this means that critical signals indicating deviations from sustainability targets must trigger immediate corrective workflows. The prioritization of environmental, social, and governance principles is a crucial driver of overarching corporate strategies, demanding that immediate actions are continuously aligned with evolving stakeholder expectations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When a critical signal indicates a potential shortfall in environmental commitments, the response framework dictates an immediate reallocation of resources to address the discrepancy, ensuring that the organization translates its broad commitments into measurable, real-world outcomes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To operationalize these immediate actions, Veralogix companies must deploy automated signal routing systems that classify incoming data based on severity and domain. Upon the detection of a critical signal, the routing rules automatically escalate the issue to the designated crisis management or operational resilience team. This reduction in manual triage time is vital for maintaining agility. The integration of emerging technologies into these routing systems ensures that responses are not only rapid but also highly accurate, leveraging predictive analytics to forecast the potential trajectory of a detected threat. Corporate leaders within the Veralogix group are urged to focus on these actionable frameworks, ensuring that their teams are equipped with the necessary tools to interpret real-time data effectively. By synthesizing automated workflows, standardized data management, and a proactive stance on both security and environmental commitments, Veralogix can build highly resilient and competitive strategies. Ultimately, the successful mitigation of risks hinges on the organization's ability to treat critical signals not as isolated incidents, but as integral components of a broader, interconnected operational ecosystem that demands swift, calculated, and highly coordinated immediate actions.</w:t>
      </w:r>
    </w:p>
    <w:p>
      <w:pPr>
        <w:pStyle w:val="Heading2"/>
        <w:spacing w:line="288" w:lineRule="auto"/>
        <w:ind/>
      </w:pPr>
      <w:r>
        <w:rPr>
          <w:rFonts w:hint="eastAsia" w:ascii="微软雅黑" w:hAnsi="微软雅黑" w:eastAsia="微软雅黑"/>
          <w:b/>
          <w:noProof/>
          <w:sz w:val="36"/>
        </w:rPr>
        <w:t xml:space="preserve">Weekly Planning for Industry Opportunities</w:t>
      </w:r>
    </w:p>
    <w:p>
      <w:pPr>
        <w:spacing w:line="288" w:lineRule="auto"/>
        <w:ind w:firstLine="480" w:firstLineChars="200"/>
        <w:jc w:val="both"/>
      </w:pPr>
      <w:r>
        <w:rPr>
          <w:rFonts w:hint="eastAsia" w:ascii="微软雅黑" w:hAnsi="微软雅黑" w:eastAsia="微软雅黑"/>
          <w:noProof/>
          <w:sz w:val="24"/>
        </w:rPr>
        <w:t xml:space="preserve">The Veralogix Companies Emerging Industry Opportunities Planning Framework is designed to position the organization at the forefront of global market transformations through a rigorous, high-frequency operational cadence. Within this strategic response framework, the primary focus area is the identification and capitalization of emerging industry opportunities. To achieve this, the framework mandates a weekly planning frequency, underpinned by approaches that are both systematic and highly adaptive. As of June 2026, the global economic landscape is characterized by rapid technological advancements, demographic shifts, and evolving economic paradigms. Proactive strategies are required to leverage new trends in digitalization, climate transition, and resource efficiency, which are currently driving a historic period of economic expansion and innovation . By aligning weekly operational workflows with these macroeconomic and technological signals, Veralogix companies can systematically capture value in highly dynamic sectors. </w:t>
      </w:r>
    </w:p>
    <w:p>
      <w:pPr>
        <w:spacing w:line="288" w:lineRule="auto"/>
        <w:ind w:firstLine="480" w:firstLineChars="200"/>
        <w:jc w:val="both"/>
      </w:pPr>
      <w:r>
        <w:rPr>
          <w:rFonts w:hint="eastAsia" w:ascii="微软雅黑" w:hAnsi="微软雅黑" w:eastAsia="微软雅黑"/>
          <w:noProof/>
          <w:sz w:val="24"/>
        </w:rPr>
        <w:t xml:space="preserve">To operationalize this alignment, Veralogix companies must integrate robust weekly planning strategies that facilitate task organization and goal tracking. The utilization of structured tools, such as the Digital Momentum Planner, provides a foundational architecture for daily, weekly, and monthly planning . This structuring tool ensures that high-level strategic objectives regarding emerging industries are continuously distilled into actionable weekly increments. While general motivational advice encourages individuals to remain goal-oriented and maintain renewed purpose at the start of each planning cycle, achieving operational excellence requires more than foundational guidance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It necessitates a detailed weekly planning routine that seamlessly integrates project management tasks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By adopting actionable strategies and visually guided methods for effective planning, Veralogix companies can systematically allocate resources to projects that intersect with high-growth technological trends . The most effective approaches to weekly planning remain centered on combining these structured planners with systematic routines, ensuring that teams maintain a disciplined yet flexible posture </w:t>
      </w:r>
      <w:r>
        <w:rPr>
          <w:rFonts w:hint="eastAsia" w:ascii="微软雅黑" w:hAnsi="微软雅黑" w:eastAsia="微软雅黑"/>
          <w:noProof/>
          <w:sz w:val="24"/>
          <w:vertAlign w:val="superscript"/>
        </w:rPr>
        <w:t>[31]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necessity for this adaptive weekly approach is underscored by the rapid emergence of new technological capabilities and shifting global market demands. Collaboration between major global institutions has identified critical emerging technologies for 2026, including industrial automation, healthcare innovations, and advanced renewable energy systems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Technologies such as advanced manufacturing in factories, artificial intelligence-driven healthcare solutions, and the comprehensive modernization of power grids point to key sectors where opportunities abound globally . For Veralogix companies, these sectors represent prime targets for strategic investment and operational focus. A weekly planning cadence allows project teams to continuously monitor developments in these areas, adjusting their short-term objectives to reflect the latest market intelligence. This high-frequency review cycle ensures that Veralogix remains responsive to the accelerating influence of advanced technologies, preventing the organization from relying on outdated conceptual frameworks or lagging economic projections </w:t>
      </w:r>
      <w:r>
        <w:rPr>
          <w:rFonts w:hint="eastAsia" w:ascii="微软雅黑" w:hAnsi="微软雅黑" w:eastAsia="微软雅黑"/>
          <w:noProof/>
          <w:sz w:val="24"/>
          <w:vertAlign w:val="superscript"/>
        </w:rPr>
        <w:t>[34][35]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Furthermore, groundbreaking innovations in sustainability and materials science require precise, continuous resource management to navigate their complex integration into existing supply chains. Recent analyses highlight significant potential across industries through advancements such as everything-to-grid energy systems, direct lithium extraction for sustainable battery production, passive radiative cooling materials for energy-efficient applications, and advanced methods to address environmental challenges posed by forever chemicals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These developments indicate profound opportunities in energy management, sustainable mining, materials science, and environmental remediation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Capitalizing on these specific innovations demands an adaptive approach where weekly planning sessions are used to evaluate technological viability, regulatory shifts, and partnership opportunities. By systematically breaking down the long-term integration of, for example, direct lithium extraction or passive radiative cooling into weekly project management tasks, Veralogix companies can maintain momentum and mitigate the risks associated with pioneering new industrial processes . </w:t>
      </w:r>
    </w:p>
    <w:p>
      <w:pPr>
        <w:spacing w:line="288" w:lineRule="auto"/>
        <w:ind w:firstLine="480" w:firstLineChars="200"/>
        <w:jc w:val="both"/>
      </w:pPr>
      <w:r>
        <w:rPr>
          <w:rFonts w:hint="eastAsia" w:ascii="微软雅黑" w:hAnsi="微软雅黑" w:eastAsia="微软雅黑"/>
          <w:noProof/>
          <w:sz w:val="24"/>
        </w:rPr>
        <w:t xml:space="preserve">The intersection of structured weekly routines and emerging global opportunities forms the core of the Veralogix strategic advantage. Opportunity is particularly evident in sectors addressing climate action, digital health, sustainable energy, and resource efficiency </w:t>
      </w:r>
      <w:r>
        <w:rPr>
          <w:rFonts w:hint="eastAsia" w:ascii="微软雅黑" w:hAnsi="微软雅黑" w:eastAsia="微软雅黑"/>
          <w:noProof/>
          <w:sz w:val="24"/>
          <w:vertAlign w:val="superscript"/>
        </w:rPr>
        <w:t>[31][32]</w:t>
      </w:r>
      <w:r>
        <w:rPr>
          <w:rFonts w:hint="eastAsia" w:ascii="微软雅黑" w:hAnsi="微软雅黑" w:eastAsia="微软雅黑"/>
          <w:noProof/>
          <w:sz w:val="24"/>
        </w:rPr>
        <w:t xml:space="preserve">. However, while technological innovation remains a central driver of these changes, the accompanying economic and policy shifts suggest that strategic investments and international collaboration will be essential to fully realize these emerging opportunities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Weekly planning serves as the operational mechanism to manage these complex, multi-stakeholder initiatives. It allows Veralogix leaders to systematically review collaborative efforts, assess the impact of new international policies on ongoing projects, and reallocate capital or human resources as required. The use of robust organizational principles for tasks and projects ensures that the broader strategic vision is not lost in day-to-day operations . </w:t>
      </w:r>
    </w:p>
    <w:p>
      <w:pPr>
        <w:spacing w:line="288" w:lineRule="auto"/>
        <w:ind w:firstLine="480" w:firstLineChars="200"/>
        <w:jc w:val="both"/>
      </w:pPr>
      <w:r>
        <w:rPr>
          <w:rFonts w:hint="eastAsia" w:ascii="微软雅黑" w:hAnsi="微软雅黑" w:eastAsia="微软雅黑"/>
          <w:noProof/>
          <w:sz w:val="24"/>
        </w:rPr>
        <w:t xml:space="preserve">Ultimately, the Veralogix Companies Emerging Industry Opportunities Planning Framework relies on the disciplined execution of these weekly cycles. Planners and structuring tools provide the necessary formats, but the strategic value is generated through the adaptive methodologies applied by the teams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By continuously aligning weekly project management routines with the latest insights into industrial automation, renewable energy systems, and sustainable materials, Veralogix companies can navigate the complexities of the modern economic environment . This systematic and adaptive approach ensures that the organization not only anticipates transformational trends but is also operationally equipped to act upon them with precision and agility, thereby securing a sustained competitive advantage in the global marketplace.</w:t>
      </w:r>
    </w:p>
    <w:p>
      <w:pPr>
        <w:spacing w:line="360" w:lineRule="auto"/>
        <w:ind/>
      </w:pPr>
      <w:r>
        <w:rPr>
          <w:rFonts w:hint="eastAsia"/>
          <w:b/>
          <w:noProof/>
          <w:sz w:val="22"/>
        </w:rPr>
        <w:t xml:space="preserve">Veralogix Companies Emerging Industry Opportunities Planning Framework</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Level</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Focus Area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Planning Frequency</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Approach</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Response Framework</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Emerging Industry Opportunities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Weekly</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Systematic and adaptive approaches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Monthly Adjustments for Long-Term Strategic Goals</w:t>
      </w:r>
    </w:p>
    <w:p>
      <w:pPr>
        <w:spacing w:line="288" w:lineRule="auto"/>
        <w:ind w:firstLine="480" w:firstLineChars="200"/>
        <w:jc w:val="both"/>
      </w:pPr>
      <w:r>
        <w:rPr>
          <w:rFonts w:hint="eastAsia" w:ascii="微软雅黑" w:hAnsi="微软雅黑" w:eastAsia="微软雅黑"/>
          <w:noProof/>
          <w:sz w:val="24"/>
        </w:rPr>
        <w:t xml:space="preserve">The operational landscape for the Veralogix Group necessitates a highly sophisticated approach to market fluctuations, which is operationalized through a robust and dynamic strategic response architecture. At the core of this architecture is the imperative to continuously align immediate operational tactics with overarching organizational objectives. As illustrated in the Adaptive Decision-Making Models by Year Table, the timeframe of 2020-2025 is characterized by the implementation of the Strategic Response Framework, whose core focus heavily emphasizes adaptive measures, agility in decision-making, and the strict alignment of organizational goals. This historical foundation is critical, as adaptive decision-making models serve as frameworks designed to help individuals or systems make dynamic adjustments in response to evolving circumstances rather than relying on static decisions. The foundational principles of adaptive decision-making identify flexibility and responsiveness to change as core benefits, ensuring that organizations can pivot swiftly in the face of unforeseen market disruptions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Implementing monthly adjustments for long-term strategic goals requires a meticulous understanding of how modern decision-making frameworks operate within a corporate structure. While broader global strategic plans often cover overlapping or subsequent periods, such as the UNICRI Strategic Programme Framework for 2023-2026 which emphasizes capacity-building and technical assistance, the specific operationalization of such frameworks within a corporate entity like Veralogix requires a more granular, month-to-month approach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By breaking down long-term objectives into monthly evaluation cycles, Veralogix Companies can continuously assess the efficacy of their strategic signal routing rules. This monthly cadence allows leadership to monitor key performance indicators, evaluate the impact of external market variables, and recalibrate their operational routing without losing sight of the macro-level objectives set for the decade. Furthermore, the necessity of forward-facing goals is echoed in broader institutional planning, such as the SEC’s draft strategic plan for fiscal years 2026-2030, which outlines future priorities including digital asset regulation and fraud prevention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Similarly, the Texas Homeland Security Strategic Plan for 2026-2030 sets forward-facing goals like improving response capabilities, demonstrating that long-term resilience requires a structured yet adaptable approach to emergent threats and opportunities </w:t>
      </w:r>
      <w:r>
        <w:rPr>
          <w:rFonts w:hint="eastAsia" w:ascii="微软雅黑" w:hAnsi="微软雅黑" w:eastAsia="微软雅黑"/>
          <w:noProof/>
          <w:sz w:val="24"/>
          <w:vertAlign w:val="superscript"/>
        </w:rPr>
        <w:t>[43]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integration of advanced technological systems is paramount to the success of these monthly strategic adjustments. As of June 2026, the rapid development in adaptive decision-making models is heavily driven by advances in adaptive artificial intelligence technologies. Top companies are actively spearheading adaptive AI development this year, offering valuable insight into the critical stages required to build systems that adjust and learn over time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For Veralogix, incorporating these advanced AI models into the Strategic Response Framework enables the automated routing of strategic signals across different corporate divisions. However, the deployment of general performance metrics across broader AI functionalities requires careful calibration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For instance, while new technological milestones are frequently reached, such as the launch of seven new models associated with creating a “hill-climbing machine,” the explicit application of these systems must be directly tied to the specific adaptive decision-making needs of the organization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Veralogix utilizes these technological advancements to process vast amounts of market data, thereby generating actionable intelligence that informs the monthly adjustment protocols. </w:t>
      </w:r>
    </w:p>
    <w:p>
      <w:pPr>
        <w:spacing w:line="288" w:lineRule="auto"/>
        <w:ind w:firstLine="480" w:firstLineChars="200"/>
        <w:jc w:val="both"/>
      </w:pPr>
      <w:r>
        <w:rPr>
          <w:rFonts w:hint="eastAsia" w:ascii="微软雅黑" w:hAnsi="微软雅黑" w:eastAsia="微软雅黑"/>
          <w:noProof/>
          <w:sz w:val="24"/>
        </w:rPr>
        <w:t xml:space="preserve">Crucially, the success of the Strategic Response Framework is not solely dependent on technological implementation but is deeply intertwined with human-AI collaboration. The human-AI interaction dynamics are critical to the adaptation and effectiveness of AI-powered decision-making systems . Scholarly investigations emphasize that trust, reliance, and the perceived value of AI outputs fundamentally shape user engagement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Within Veralogix Companies, executive leadership and strategic managers must maintain a high degree of trust in the signal routing rules generated by adaptive models. If the human operators do not perceive the AI-generated monthly adjustments as valuable or reliable, the agility of the entire framework is compromised. Therefore, a vital component in ensuring the success of adaptive decision-making frameworks is ensuring that they continuously align with human expectations and changing operational needs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This alignment is achieved through rigorous training and the establishment of clear protocols that govern how AI-generated insights are reviewed and implemented by human decision-makers.</w:t>
      </w:r>
    </w:p>
    <w:p>
      <w:pPr>
        <w:spacing w:line="288" w:lineRule="auto"/>
        <w:ind w:firstLine="480" w:firstLineChars="200"/>
        <w:jc w:val="both"/>
      </w:pPr>
      <w:r>
        <w:rPr>
          <w:rFonts w:hint="eastAsia" w:ascii="微软雅黑" w:hAnsi="微软雅黑" w:eastAsia="微软雅黑"/>
          <w:noProof/>
          <w:sz w:val="24"/>
        </w:rPr>
        <w:t xml:space="preserve">The broader context of strategic response planning further illuminates the importance of resilience and recovery, concepts that Veralogix adapts for corporate sustainability. For example, the IOM Strategic Response Plan for 2024-2026 extensively discusses interventions with key goals such as recovery and resilience-building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While originally applied to humanitarian contexts, the underlying principles of building resilient systems that can recover from external shocks are highly applicable to Veralogix’s market strategy. By utilizing the Strategic Response Framework established in the 2020-2025 period, Veralogix ensures that its corporate infrastructure is resilient to economic downturns, supply chain disruptions, and shifting consumer demands. The monthly adjustments serve as a proactive recovery mechanism, identifying potential vulnerabilities before they manifest as critical failures. This is further supported by historical context; just as the Yellow Fever Strategic Response Framework provided strategic guidance on outbreak prevention prior to 2020, Veralogix’s historical frameworks provide the necessary baseline data to inform current and future preventive strategies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Ultimately, the Strategic Response Framework for Veralogix Companies represents a comprehensive synthesis of historical data, advanced adaptive technologies, and structured human oversight. By maintaining a core focus on agility and organizational goal alignment, the framework ensures that the company remains highly competitive in a volatile business environment. The monthly adjustment protocols act as the operational heartbeat of this system, translating long-term strategic visions into immediate, actionable routing rules. As the organization moves forward from the foundational 2020-2025 period into the latter half of the decade, the continuous refinement of these adaptive decision-making models will remain a critical priority. The synthesis of technical innovations and insights into the human factors necessary for effective application provides Veralogix with a distinct competitive advantage, ensuring that strategic signal routing is not only automated and efficient but also deeply aligned with the overarching mission of the enterprise. Through this rigorous, adaptive approach, Veralogix Companies can confidently navigate future market complexities while steadfastly pursuing their long-term strategic goals.</w:t>
      </w:r>
    </w:p>
    <w:p>
      <w:pPr>
        <w:spacing w:line="360" w:lineRule="auto"/>
        <w:ind/>
      </w:pPr>
      <w:r>
        <w:rPr>
          <w:rFonts w:hint="eastAsia"/>
          <w:b/>
          <w:noProof/>
          <w:sz w:val="22"/>
        </w:rPr>
        <w:t xml:space="preserve">Adaptive Decision-Making Models by Year Table</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Timeframe</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Framework</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Core Focus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2020-2025</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Response Framework</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Adaptive measures, agility in decision-making, and organizational goals alignment</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Ten major mining tech trends in 2026: Part 2 | Resourcing Tomorrow https://resourcingtomorrow.com/news/industry/ten-major-mining-tech-trends-in-2026-part-2</w:t>
      </w:r>
    </w:p>
    <w:p>
      <w:pPr>
        <w:spacing w:line="288" w:lineRule="auto"/>
        <w:ind w:firstLine="480" w:firstLineChars="200"/>
        <w:jc w:val="both"/>
      </w:pPr>
      <w:r>
        <w:rPr>
          <w:rFonts w:hint="eastAsia" w:ascii="微软雅黑" w:hAnsi="微软雅黑" w:eastAsia="微软雅黑"/>
          <w:noProof/>
          <w:sz w:val="24"/>
        </w:rPr>
        <w:t xml:space="preserve">[2] Ten major mining tech trends in 2026: Part 1 https://imarcglobal.com/news/industry/ten-major-mining-tech-trends-in-2026-part-1</w:t>
      </w:r>
    </w:p>
    <w:p>
      <w:pPr>
        <w:spacing w:line="288" w:lineRule="auto"/>
        <w:ind w:firstLine="480" w:firstLineChars="200"/>
        <w:jc w:val="both"/>
      </w:pPr>
      <w:r>
        <w:rPr>
          <w:rFonts w:hint="eastAsia" w:ascii="微软雅黑" w:hAnsi="微软雅黑" w:eastAsia="微软雅黑"/>
          <w:noProof/>
          <w:sz w:val="24"/>
        </w:rPr>
        <w:t xml:space="preserve">[3] Top 10 Mining Trends to Watch in 2026 - The Assay https://www.theassay.com/articles/top-10-mining-trends-to-watch-in-2026/</w:t>
      </w:r>
    </w:p>
    <w:p>
      <w:pPr>
        <w:spacing w:line="288" w:lineRule="auto"/>
        <w:ind w:firstLine="480" w:firstLineChars="200"/>
        <w:jc w:val="both"/>
      </w:pPr>
      <w:r>
        <w:rPr>
          <w:rFonts w:hint="eastAsia" w:ascii="微软雅黑" w:hAnsi="微软雅黑" w:eastAsia="微软雅黑"/>
          <w:noProof/>
          <w:sz w:val="24"/>
        </w:rPr>
        <w:t xml:space="preserve">[4] Mining &amp; metals 2026: Adapting to a policy-driven business cycle https://www.whitecase.com/insight-our-thinking/mining-metals-2026-adapting-policy-driven-business-cycle</w:t>
      </w:r>
    </w:p>
    <w:p>
      <w:pPr>
        <w:spacing w:line="288" w:lineRule="auto"/>
        <w:ind w:firstLine="480" w:firstLineChars="200"/>
        <w:jc w:val="both"/>
      </w:pPr>
      <w:r>
        <w:rPr>
          <w:rFonts w:hint="eastAsia" w:ascii="微软雅黑" w:hAnsi="微软雅黑" w:eastAsia="微软雅黑"/>
          <w:noProof/>
          <w:sz w:val="24"/>
        </w:rPr>
        <w:t xml:space="preserve">[5] Mine cost outlook 2026: Inflation, new supply reshape ... - S&amp;P Global https://www.spglobal.com/market-intelligence/en/news-insights/research/2026/01/mine-cost-outlook-2026-inflation-new-supply-reshape-global-mining-landscape</w:t>
      </w:r>
    </w:p>
    <w:p>
      <w:pPr>
        <w:spacing w:line="288" w:lineRule="auto"/>
        <w:ind w:firstLine="480" w:firstLineChars="200"/>
        <w:jc w:val="both"/>
      </w:pPr>
      <w:r>
        <w:rPr>
          <w:rFonts w:hint="eastAsia" w:ascii="微软雅黑" w:hAnsi="微软雅黑" w:eastAsia="微软雅黑"/>
          <w:noProof/>
          <w:sz w:val="24"/>
        </w:rPr>
        <w:t xml:space="preserve">[6] Industrial competitiveness across Asia-Pacific: What's needed https://www.weforum.org/stories/2026/06/asia-pacific-industrial-competitiveness-circular-economy/</w:t>
      </w:r>
    </w:p>
    <w:p>
      <w:pPr>
        <w:spacing w:line="288" w:lineRule="auto"/>
        <w:ind w:firstLine="480" w:firstLineChars="200"/>
        <w:jc w:val="both"/>
      </w:pPr>
      <w:r>
        <w:rPr>
          <w:rFonts w:hint="eastAsia" w:ascii="微软雅黑" w:hAnsi="微软雅黑" w:eastAsia="微软雅黑"/>
          <w:noProof/>
          <w:sz w:val="24"/>
        </w:rPr>
        <w:t xml:space="preserve">[7] Economic and Social Survey of Asia and the Pacific 2026 - ESCAP https://www.unescap.org/kp/2026/survey2026</w:t>
      </w:r>
    </w:p>
    <w:p>
      <w:pPr>
        <w:spacing w:line="288" w:lineRule="auto"/>
        <w:ind w:firstLine="480" w:firstLineChars="200"/>
        <w:jc w:val="both"/>
      </w:pPr>
      <w:r>
        <w:rPr>
          <w:rFonts w:hint="eastAsia" w:ascii="微软雅黑" w:hAnsi="微软雅黑" w:eastAsia="微软雅黑"/>
          <w:noProof/>
          <w:sz w:val="24"/>
        </w:rPr>
        <w:t xml:space="preserve">[8] Asia Pacific to see stable growth in 2026 despite global tensions https://www.youtube.com/watch?v=1maCKCzYOWY</w:t>
      </w:r>
    </w:p>
    <w:p>
      <w:pPr>
        <w:spacing w:line="288" w:lineRule="auto"/>
        <w:ind w:firstLine="480" w:firstLineChars="200"/>
        <w:jc w:val="both"/>
      </w:pPr>
      <w:r>
        <w:rPr>
          <w:rFonts w:hint="eastAsia" w:ascii="微软雅黑" w:hAnsi="微软雅黑" w:eastAsia="微软雅黑"/>
          <w:noProof/>
          <w:sz w:val="24"/>
        </w:rPr>
        <w:t xml:space="preserve">[9] The Conference Board® Asia-Pacific Economic Forecast: June 2026 https://www.conference-board.org/publications/The-Conference-Board-Asia-Pacific-Economic-Forecast-June-2026</w:t>
      </w:r>
    </w:p>
    <w:p>
      <w:pPr>
        <w:spacing w:line="288" w:lineRule="auto"/>
        <w:ind w:firstLine="480" w:firstLineChars="200"/>
        <w:jc w:val="both"/>
      </w:pPr>
      <w:r>
        <w:rPr>
          <w:rFonts w:hint="eastAsia" w:ascii="微软雅黑" w:hAnsi="微软雅黑" w:eastAsia="微软雅黑"/>
          <w:noProof/>
          <w:sz w:val="24"/>
        </w:rPr>
        <w:t xml:space="preserve">[10] Asia-Pacific outlook 2026: Value hunting amid volatility ... - Instagram https://www.instagram.com/reel/DSUR1jdAXFH/</w:t>
      </w:r>
    </w:p>
    <w:p>
      <w:pPr>
        <w:spacing w:line="288" w:lineRule="auto"/>
        <w:ind w:firstLine="480" w:firstLineChars="200"/>
        <w:jc w:val="both"/>
      </w:pPr>
      <w:r>
        <w:rPr>
          <w:rFonts w:hint="eastAsia" w:ascii="微软雅黑" w:hAnsi="微软雅黑" w:eastAsia="微软雅黑"/>
          <w:noProof/>
          <w:sz w:val="24"/>
        </w:rPr>
        <w:t xml:space="preserve">[11] Global energy transition is fragmenting, and more energy stories https://www.weforum.org/stories/2026/06/energy-transition-index-shows-fragmenting-and-more-top-energy-stories/</w:t>
      </w:r>
    </w:p>
    <w:p>
      <w:pPr>
        <w:spacing w:line="288" w:lineRule="auto"/>
        <w:ind w:firstLine="480" w:firstLineChars="200"/>
        <w:jc w:val="both"/>
      </w:pPr>
      <w:r>
        <w:rPr>
          <w:rFonts w:hint="eastAsia" w:ascii="微软雅黑" w:hAnsi="微软雅黑" w:eastAsia="微软雅黑"/>
          <w:noProof/>
          <w:sz w:val="24"/>
        </w:rPr>
        <w:t xml:space="preserve">[12] Agenda - Global Energy Forum 2026 - Reuters Events https://events.reutersevents.com/energy-transition/global-energy-transition-new-york/agenda</w:t>
      </w:r>
    </w:p>
    <w:p>
      <w:pPr>
        <w:spacing w:line="288" w:lineRule="auto"/>
        <w:ind w:firstLine="480" w:firstLineChars="200"/>
        <w:jc w:val="both"/>
      </w:pPr>
      <w:r>
        <w:rPr>
          <w:rFonts w:hint="eastAsia" w:ascii="微软雅黑" w:hAnsi="微软雅黑" w:eastAsia="微软雅黑"/>
          <w:noProof/>
          <w:sz w:val="24"/>
        </w:rPr>
        <w:t xml:space="preserve">[13] [PDF] Short-Term Energy Outlook - EIA https://www.eia.gov/outlooks/steo/pdf/steo_full.pdf</w:t>
      </w:r>
    </w:p>
    <w:p>
      <w:pPr>
        <w:spacing w:line="288" w:lineRule="auto"/>
        <w:ind w:firstLine="480" w:firstLineChars="200"/>
        <w:jc w:val="both"/>
      </w:pPr>
      <w:r>
        <w:rPr>
          <w:rFonts w:hint="eastAsia" w:ascii="微软雅黑" w:hAnsi="微软雅黑" w:eastAsia="微软雅黑"/>
          <w:noProof/>
          <w:sz w:val="24"/>
        </w:rPr>
        <w:t xml:space="preserve">[14] Watch the full June Energy Update here: https://www ... - Facebook https://www.facebook.com/leeharrisenergy888/posts/watch-the-full-june-energy-update-here/1557859575701374/</w:t>
      </w:r>
    </w:p>
    <w:p>
      <w:pPr>
        <w:spacing w:line="288" w:lineRule="auto"/>
        <w:ind w:firstLine="480" w:firstLineChars="200"/>
        <w:jc w:val="both"/>
      </w:pPr>
      <w:r>
        <w:rPr>
          <w:rFonts w:hint="eastAsia" w:ascii="微软雅黑" w:hAnsi="微软雅黑" w:eastAsia="微软雅黑"/>
          <w:noProof/>
          <w:sz w:val="24"/>
        </w:rPr>
        <w:t xml:space="preserve">[15] [PDF] SNAPSHOT: Trump's Energy Crisis Spikes Utility Bills by 16% https://climatepower.us/wp-content/uploads/2026/06/June-2026-Energy-Crisis-Snapshot.pdf</w:t>
      </w:r>
    </w:p>
    <w:p>
      <w:pPr>
        <w:spacing w:line="288" w:lineRule="auto"/>
        <w:ind w:firstLine="480" w:firstLineChars="200"/>
        <w:jc w:val="both"/>
      </w:pPr>
      <w:r>
        <w:rPr>
          <w:rFonts w:hint="eastAsia" w:ascii="微软雅黑" w:hAnsi="微软雅黑" w:eastAsia="微软雅黑"/>
          <w:noProof/>
          <w:sz w:val="24"/>
        </w:rPr>
        <w:t xml:space="preserve">[16] Geopolitical Risks in Energy Markets: LNG and Price Impacts https://environenergy.com/2026/04/geopolitical-disruptions-tighten-supply-as-infrastructure-investments-drive-fundamentals/</w:t>
      </w:r>
    </w:p>
    <w:p>
      <w:pPr>
        <w:spacing w:line="288" w:lineRule="auto"/>
        <w:ind w:firstLine="480" w:firstLineChars="200"/>
        <w:jc w:val="both"/>
      </w:pPr>
      <w:r>
        <w:rPr>
          <w:rFonts w:hint="eastAsia" w:ascii="微软雅黑" w:hAnsi="微软雅黑" w:eastAsia="微软雅黑"/>
          <w:noProof/>
          <w:sz w:val="24"/>
        </w:rPr>
        <w:t xml:space="preserve">[17] Impact of Middle East Crisis on Global Energy Markets - IEEFA https://ieefa.org/impact-middle-east-crisis-global-energy-markets</w:t>
      </w:r>
    </w:p>
    <w:p>
      <w:pPr>
        <w:spacing w:line="288" w:lineRule="auto"/>
        <w:ind w:firstLine="480" w:firstLineChars="200"/>
        <w:jc w:val="both"/>
      </w:pPr>
      <w:r>
        <w:rPr>
          <w:rFonts w:hint="eastAsia" w:ascii="微软雅黑" w:hAnsi="微软雅黑" w:eastAsia="微软雅黑"/>
          <w:noProof/>
          <w:sz w:val="24"/>
        </w:rPr>
        <w:t xml:space="preserve">[18] Energy systems are being tested by rising demand, geopolitical ... https://www.facebook.com/worldeconomicforum/posts/energy-systems-are-being-tested-by-rising-demand-geopolitical-uncertainty-and-af/1462512859250281/</w:t>
      </w:r>
    </w:p>
    <w:p>
      <w:pPr>
        <w:spacing w:line="288" w:lineRule="auto"/>
        <w:ind w:firstLine="480" w:firstLineChars="200"/>
        <w:jc w:val="both"/>
      </w:pPr>
      <w:r>
        <w:rPr>
          <w:rFonts w:hint="eastAsia" w:ascii="微软雅黑" w:hAnsi="微软雅黑" w:eastAsia="微软雅黑"/>
          <w:noProof/>
          <w:sz w:val="24"/>
        </w:rPr>
        <w:t xml:space="preserve">[19] Energy price spike, geopolitical conflict and shifting narratives https://www.morganstanley.com/im/en-us/individual-investor/insights/global-equity-observer/energy-price-spike.html</w:t>
      </w:r>
    </w:p>
    <w:p>
      <w:pPr>
        <w:spacing w:line="288" w:lineRule="auto"/>
        <w:ind w:firstLine="480" w:firstLineChars="200"/>
        <w:jc w:val="both"/>
      </w:pPr>
      <w:r>
        <w:rPr>
          <w:rFonts w:hint="eastAsia" w:ascii="微软雅黑" w:hAnsi="微软雅黑" w:eastAsia="微软雅黑"/>
          <w:noProof/>
          <w:sz w:val="24"/>
        </w:rPr>
        <w:t xml:space="preserve">[20] Energy markets enter 2026 in a downbeat mood as geopolitical ... https://www.facebook.com/Reuters/posts/energy-markets-enter-2026-in-a-downbeat-mood-as-geopolitical-uncertainty-clouds-/1426080639382664/</w:t>
      </w:r>
    </w:p>
    <w:p>
      <w:pPr>
        <w:spacing w:line="288" w:lineRule="auto"/>
        <w:ind w:firstLine="480" w:firstLineChars="200"/>
        <w:jc w:val="both"/>
      </w:pPr>
      <w:r>
        <w:rPr>
          <w:rFonts w:hint="eastAsia" w:ascii="微软雅黑" w:hAnsi="微软雅黑" w:eastAsia="微软雅黑"/>
          <w:noProof/>
          <w:sz w:val="24"/>
        </w:rPr>
        <w:t xml:space="preserve">[21] Promoting Advanced Artificial Intelligence Innovation and Security https://www.whitehouse.gov/presidential-actions/2026/06/promoting-advanced-artificial-intelligence-innovation-and-security/</w:t>
      </w:r>
    </w:p>
    <w:p>
      <w:pPr>
        <w:spacing w:line="288" w:lineRule="auto"/>
        <w:ind w:firstLine="480" w:firstLineChars="200"/>
        <w:jc w:val="both"/>
      </w:pPr>
      <w:r>
        <w:rPr>
          <w:rFonts w:hint="eastAsia" w:ascii="微软雅黑" w:hAnsi="微软雅黑" w:eastAsia="微软雅黑"/>
          <w:noProof/>
          <w:sz w:val="24"/>
        </w:rPr>
        <w:t xml:space="preserve">[22] 2026 Unit 42 Global Incident Response Report - Palo Alto Networks https://www.paloaltonetworks.com/resources/research/unit-42-incident-response-report</w:t>
      </w:r>
    </w:p>
    <w:p>
      <w:pPr>
        <w:spacing w:line="288" w:lineRule="auto"/>
        <w:ind w:firstLine="480" w:firstLineChars="200"/>
        <w:jc w:val="both"/>
      </w:pPr>
      <w:r>
        <w:rPr>
          <w:rFonts w:hint="eastAsia" w:ascii="微软雅黑" w:hAnsi="微软雅黑" w:eastAsia="微软雅黑"/>
          <w:noProof/>
          <w:sz w:val="24"/>
        </w:rPr>
        <w:t xml:space="preserve">[23] 2026 AFCEA TechNet Cyber: SIGNAL Innovation Showcase https://events.afcea.org/afceacyber26/Public/Content.aspx?ID=119776&amp;sortMenu=102008</w:t>
      </w:r>
    </w:p>
    <w:p>
      <w:pPr>
        <w:spacing w:line="288" w:lineRule="auto"/>
        <w:ind w:firstLine="480" w:firstLineChars="200"/>
        <w:jc w:val="both"/>
      </w:pPr>
      <w:r>
        <w:rPr>
          <w:rFonts w:hint="eastAsia" w:ascii="微软雅黑" w:hAnsi="微软雅黑" w:eastAsia="微软雅黑"/>
          <w:noProof/>
          <w:sz w:val="24"/>
        </w:rPr>
        <w:t xml:space="preserve">[24] Holland &amp; Knight Health Dose: June 16, 2026 | Insights https://www.hklaw.com/en/insights/publications/2026/06/holland-knight-health-dose-june-16-2026</w:t>
      </w:r>
    </w:p>
    <w:p>
      <w:pPr>
        <w:spacing w:line="288" w:lineRule="auto"/>
        <w:ind w:firstLine="480" w:firstLineChars="200"/>
        <w:jc w:val="both"/>
      </w:pPr>
      <w:r>
        <w:rPr>
          <w:rFonts w:hint="eastAsia" w:ascii="微软雅黑" w:hAnsi="微软雅黑" w:eastAsia="微软雅黑"/>
          <w:noProof/>
          <w:sz w:val="24"/>
        </w:rPr>
        <w:t xml:space="preserve">[25] Iran Update Special Report, June 1, 2026 | Critical Threats https://www.criticalthreats.org/analysis/iran-update-special-report-june-1-2026</w:t>
      </w:r>
    </w:p>
    <w:p>
      <w:pPr>
        <w:spacing w:line="288" w:lineRule="auto"/>
        <w:ind w:firstLine="480" w:firstLineChars="200"/>
        <w:jc w:val="both"/>
      </w:pPr>
      <w:r>
        <w:rPr>
          <w:rFonts w:hint="eastAsia" w:ascii="微软雅黑" w:hAnsi="微软雅黑" w:eastAsia="微软雅黑"/>
          <w:noProof/>
          <w:sz w:val="24"/>
        </w:rPr>
        <w:t xml:space="preserve">[26] Transformation ahead: Five key corporate action trends for 2026 https://www.lseg.com/en/insights/data-analytics/transformation-ahead-five-key-corporate-action-trends-for-2026</w:t>
      </w:r>
    </w:p>
    <w:p>
      <w:pPr>
        <w:spacing w:line="288" w:lineRule="auto"/>
        <w:ind w:firstLine="480" w:firstLineChars="200"/>
        <w:jc w:val="both"/>
      </w:pPr>
      <w:r>
        <w:rPr>
          <w:rFonts w:hint="eastAsia" w:ascii="微软雅黑" w:hAnsi="微软雅黑" w:eastAsia="微软雅黑"/>
          <w:noProof/>
          <w:sz w:val="24"/>
        </w:rPr>
        <w:t xml:space="preserve">[27] Our 2026-2030 strategy: Catalyzing corporate action https://sciencebasedtargets.org/about-us/our-2026-2030-strategy</w:t>
      </w:r>
    </w:p>
    <w:p>
      <w:pPr>
        <w:spacing w:line="288" w:lineRule="auto"/>
        <w:ind w:firstLine="480" w:firstLineChars="200"/>
        <w:jc w:val="both"/>
      </w:pPr>
      <w:r>
        <w:rPr>
          <w:rFonts w:hint="eastAsia" w:ascii="微软雅黑" w:hAnsi="微软雅黑" w:eastAsia="微软雅黑"/>
          <w:noProof/>
          <w:sz w:val="24"/>
        </w:rPr>
        <w:t xml:space="preserve">[28] Corporate action information - Eurex https://www.eurex.com/ex-en/rules-regs/corporate-actions/corporate-action-information</w:t>
      </w:r>
    </w:p>
    <w:p>
      <w:pPr>
        <w:spacing w:line="288" w:lineRule="auto"/>
        <w:ind w:firstLine="480" w:firstLineChars="200"/>
        <w:jc w:val="both"/>
      </w:pPr>
      <w:r>
        <w:rPr>
          <w:rFonts w:hint="eastAsia" w:ascii="微软雅黑" w:hAnsi="微软雅黑" w:eastAsia="微软雅黑"/>
          <w:noProof/>
          <w:sz w:val="24"/>
        </w:rPr>
        <w:t xml:space="preserve">[29] [PDF] Bloomberg Global Equity Indices Corporate Action Methodology https://assets.bbhub.io/professional/sites/10/Bloomberg-Global-Equity-Indices-Non-Market-Cap-Corporate-Action-Methodology.pdf</w:t>
      </w:r>
    </w:p>
    <w:p>
      <w:pPr>
        <w:spacing w:line="288" w:lineRule="auto"/>
        <w:ind w:firstLine="480" w:firstLineChars="200"/>
        <w:jc w:val="both"/>
      </w:pPr>
      <w:r>
        <w:rPr>
          <w:rFonts w:hint="eastAsia" w:ascii="微软雅黑" w:hAnsi="微软雅黑" w:eastAsia="微软雅黑"/>
          <w:noProof/>
          <w:sz w:val="24"/>
        </w:rPr>
        <w:t xml:space="preserve">[30] Simplified corporate actions data management - Gresham Tech https://www.greshamtech.com/solutions/data-management/corporate-actions-data</w:t>
      </w:r>
    </w:p>
    <w:p>
      <w:pPr>
        <w:spacing w:line="288" w:lineRule="auto"/>
        <w:ind w:firstLine="480" w:firstLineChars="200"/>
        <w:jc w:val="both"/>
      </w:pPr>
      <w:r>
        <w:rPr>
          <w:rFonts w:hint="eastAsia" w:ascii="微软雅黑" w:hAnsi="微软雅黑" w:eastAsia="微软雅黑"/>
          <w:noProof/>
          <w:sz w:val="24"/>
        </w:rPr>
        <w:t xml:space="preserve">[31] Plan With Me 2026 | Weekly Planner Routine | Project Planning https://www.youtube.com/watch?v=z0orAlARMPg</w:t>
      </w:r>
    </w:p>
    <w:p>
      <w:pPr>
        <w:spacing w:line="288" w:lineRule="auto"/>
        <w:ind w:firstLine="480" w:firstLineChars="200"/>
        <w:jc w:val="both"/>
      </w:pPr>
      <w:r>
        <w:rPr>
          <w:rFonts w:hint="eastAsia" w:ascii="微软雅黑" w:hAnsi="微软雅黑" w:eastAsia="微软雅黑"/>
          <w:noProof/>
          <w:sz w:val="24"/>
        </w:rPr>
        <w:t xml:space="preserve">[32] June 2026 Planning Tips and Resources - by Steve Arensberg https://www.productiveflourishing.com/p/june-2026-tips</w:t>
      </w:r>
    </w:p>
    <w:p>
      <w:pPr>
        <w:spacing w:line="288" w:lineRule="auto"/>
        <w:ind w:firstLine="480" w:firstLineChars="200"/>
        <w:jc w:val="both"/>
      </w:pPr>
      <w:r>
        <w:rPr>
          <w:rFonts w:hint="eastAsia" w:ascii="微软雅黑" w:hAnsi="微软雅黑" w:eastAsia="微软雅黑"/>
          <w:noProof/>
          <w:sz w:val="24"/>
        </w:rPr>
        <w:t xml:space="preserve">[33] Blue Sky 2026-2027 Daily, Weekly, and Monthly Planners https://www.bluesky.com/?srsltid=AfmBOopQDQK64ADljQ_FdnuJGx5q2p9D_euzwBXhi14m7qIhgzitFEmU</w:t>
      </w:r>
    </w:p>
    <w:p>
      <w:pPr>
        <w:spacing w:line="288" w:lineRule="auto"/>
        <w:ind w:firstLine="480" w:firstLineChars="200"/>
        <w:jc w:val="both"/>
      </w:pPr>
      <w:r>
        <w:rPr>
          <w:rFonts w:hint="eastAsia" w:ascii="微软雅黑" w:hAnsi="微软雅黑" w:eastAsia="微软雅黑"/>
          <w:noProof/>
          <w:sz w:val="24"/>
        </w:rPr>
        <w:t xml:space="preserve">[34] A few simple reminders for June Which one are you going to ... https://www.facebook.com/mariacartonstyleadvisor/posts/a-few-simple-reminders-for-junewhich-one-are-you-going-to-prioritise-as-you-ente/1672324784902490/</w:t>
      </w:r>
    </w:p>
    <w:p>
      <w:pPr>
        <w:spacing w:line="288" w:lineRule="auto"/>
        <w:ind w:firstLine="480" w:firstLineChars="200"/>
        <w:jc w:val="both"/>
      </w:pPr>
      <w:r>
        <w:rPr>
          <w:rFonts w:hint="eastAsia" w:ascii="微软雅黑" w:hAnsi="微软雅黑" w:eastAsia="微软雅黑"/>
          <w:noProof/>
          <w:sz w:val="24"/>
        </w:rPr>
        <w:t xml:space="preserve">[35] How to Use a 2026 Planner | Beginner's Guide to Yearly Planning https://bloomplanners.com/blogs/on-the-blog/how-to-use-a-2026-planner?srsltid=AfmBOoo-uoAPTuZFupKgyOwJ3n0pYuli_UTd07bfPJL7SKymUNIX9ByH</w:t>
      </w:r>
    </w:p>
    <w:p>
      <w:pPr>
        <w:spacing w:line="288" w:lineRule="auto"/>
        <w:ind w:firstLine="480" w:firstLineChars="200"/>
        <w:jc w:val="both"/>
      </w:pPr>
      <w:r>
        <w:rPr>
          <w:rFonts w:hint="eastAsia" w:ascii="微软雅黑" w:hAnsi="微软雅黑" w:eastAsia="微软雅黑"/>
          <w:noProof/>
          <w:sz w:val="24"/>
        </w:rPr>
        <w:t xml:space="preserve">[36] These are the Top 10 Emerging Technologies 2026 https://www.weforum.org/stories/2026/06/the-top-10-emerging-technologies-of-2026/</w:t>
      </w:r>
    </w:p>
    <w:p>
      <w:pPr>
        <w:spacing w:line="288" w:lineRule="auto"/>
        <w:ind w:firstLine="480" w:firstLineChars="200"/>
        <w:jc w:val="both"/>
      </w:pPr>
      <w:r>
        <w:rPr>
          <w:rFonts w:hint="eastAsia" w:ascii="微软雅黑" w:hAnsi="微软雅黑" w:eastAsia="微软雅黑"/>
          <w:noProof/>
          <w:sz w:val="24"/>
        </w:rPr>
        <w:t xml:space="preserve">[37] [PDF] Global Economic Prospects -- June 2026 - The World Bank https://thedocs.worldbank.org/en/doc/2b672b3b0415d6b66c45b66579db4ef5-0050012026/original/GEP-Jun-2026.pdf</w:t>
      </w:r>
    </w:p>
    <w:p>
      <w:pPr>
        <w:spacing w:line="288" w:lineRule="auto"/>
        <w:ind w:firstLine="480" w:firstLineChars="200"/>
        <w:jc w:val="both"/>
      </w:pPr>
      <w:r>
        <w:rPr>
          <w:rFonts w:hint="eastAsia" w:ascii="微软雅黑" w:hAnsi="微软雅黑" w:eastAsia="微软雅黑"/>
          <w:noProof/>
          <w:sz w:val="24"/>
        </w:rPr>
        <w:t xml:space="preserve">[38] A Coming Jobs Challenge in Emerging Markets? - YouTube https://www.youtube.com/watch?v=2ax1nyrwGLU</w:t>
      </w:r>
    </w:p>
    <w:p>
      <w:pPr>
        <w:spacing w:line="288" w:lineRule="auto"/>
        <w:ind w:firstLine="480" w:firstLineChars="200"/>
        <w:jc w:val="both"/>
      </w:pPr>
      <w:r>
        <w:rPr>
          <w:rFonts w:hint="eastAsia" w:ascii="微软雅黑" w:hAnsi="微软雅黑" w:eastAsia="微软雅黑"/>
          <w:noProof/>
          <w:sz w:val="24"/>
        </w:rPr>
        <w:t xml:space="preserve">[39] Tech race moves from AI to factories, hospitals, and power grids https://www.frontiersin.org/news/2026/06/23/tech-race-moves-from-ai-to-factories-hospitals-and-power-grids-world-economic-forum-and-frontiers-reveal-top-10-emerging-technologies-of-2026</w:t>
      </w:r>
    </w:p>
    <w:p>
      <w:pPr>
        <w:spacing w:line="288" w:lineRule="auto"/>
        <w:ind w:firstLine="480" w:firstLineChars="200"/>
        <w:jc w:val="both"/>
      </w:pPr>
      <w:r>
        <w:rPr>
          <w:rFonts w:hint="eastAsia" w:ascii="微软雅黑" w:hAnsi="微软雅黑" w:eastAsia="微软雅黑"/>
          <w:noProof/>
          <w:sz w:val="24"/>
        </w:rPr>
        <w:t xml:space="preserve">[40] World Economic Outlook - All Issues - International Monetary Fund https://www.imf.org/en/publications/weo</w:t>
      </w:r>
    </w:p>
    <w:p>
      <w:pPr>
        <w:spacing w:line="288" w:lineRule="auto"/>
        <w:ind w:firstLine="480" w:firstLineChars="200"/>
        <w:jc w:val="both"/>
      </w:pPr>
      <w:r>
        <w:rPr>
          <w:rFonts w:hint="eastAsia" w:ascii="微软雅黑" w:hAnsi="微软雅黑" w:eastAsia="微软雅黑"/>
          <w:noProof/>
          <w:sz w:val="24"/>
        </w:rPr>
        <w:t xml:space="preserve">[41] yellow fever strategic response framework | WHO https://www.afro.who.int/publications/yellow-fever-strategic-response-framework</w:t>
      </w:r>
    </w:p>
    <w:p>
      <w:pPr>
        <w:spacing w:line="288" w:lineRule="auto"/>
        <w:ind w:firstLine="480" w:firstLineChars="200"/>
        <w:jc w:val="both"/>
      </w:pPr>
      <w:r>
        <w:rPr>
          <w:rFonts w:hint="eastAsia" w:ascii="微软雅黑" w:hAnsi="微软雅黑" w:eastAsia="微软雅黑"/>
          <w:noProof/>
          <w:sz w:val="24"/>
        </w:rPr>
        <w:t xml:space="preserve">[42] UNICRI Strategic Programme Framework 2023 – 2026 https://unicri.org/institute/about_unicri/strategic_framework_2023_2026</w:t>
      </w:r>
    </w:p>
    <w:p>
      <w:pPr>
        <w:spacing w:line="288" w:lineRule="auto"/>
        <w:ind w:firstLine="480" w:firstLineChars="200"/>
        <w:jc w:val="both"/>
      </w:pPr>
      <w:r>
        <w:rPr>
          <w:rFonts w:hint="eastAsia" w:ascii="微软雅黑" w:hAnsi="微软雅黑" w:eastAsia="微软雅黑"/>
          <w:noProof/>
          <w:sz w:val="24"/>
        </w:rPr>
        <w:t xml:space="preserve">[43] [PDF] strategic response plan: ukraine &amp; neighbouring countries 2024-2026 https://www.iom.int/sites/g/files/tmzbdl486/files/documents/2024-03/iom-strategic-response-plan-ukraine-neighbouring-countries-2024-2026-endorsed.pdf</w:t>
      </w:r>
    </w:p>
    <w:p>
      <w:pPr>
        <w:spacing w:line="288" w:lineRule="auto"/>
        <w:ind w:firstLine="480" w:firstLineChars="200"/>
        <w:jc w:val="both"/>
      </w:pPr>
      <w:r>
        <w:rPr>
          <w:rFonts w:hint="eastAsia" w:ascii="微软雅黑" w:hAnsi="微软雅黑" w:eastAsia="微软雅黑"/>
          <w:noProof/>
          <w:sz w:val="24"/>
        </w:rPr>
        <w:t xml:space="preserve">[44] SEC's Draft Strategic Plan Pivots to Digital Asset Clarity, Fraud ... https://www.mofo.com/resources/insights/260610-sec-s-draft-strategic-plan-pivots-to-digital-asset</w:t>
      </w:r>
    </w:p>
    <w:p>
      <w:pPr>
        <w:spacing w:line="288" w:lineRule="auto"/>
        <w:ind w:firstLine="480" w:firstLineChars="200"/>
        <w:jc w:val="both"/>
      </w:pPr>
      <w:r>
        <w:rPr>
          <w:rFonts w:hint="eastAsia" w:ascii="微软雅黑" w:hAnsi="微软雅黑" w:eastAsia="微软雅黑"/>
          <w:noProof/>
          <w:sz w:val="24"/>
        </w:rPr>
        <w:t xml:space="preserve">[45] [PDF] Texas Homeland Security Strategic Plan 2026-2030 https://www.dps.texas.gov/director_staff/txHomelandSecStratPlan2026-2030.pdf</w:t>
      </w:r>
    </w:p>
    <w:p>
      <w:pPr>
        <w:spacing w:line="288" w:lineRule="auto"/>
        <w:ind w:firstLine="480" w:firstLineChars="200"/>
        <w:jc w:val="both"/>
      </w:pPr>
      <w:r>
        <w:rPr>
          <w:rFonts w:hint="eastAsia" w:ascii="微软雅黑" w:hAnsi="微软雅黑" w:eastAsia="微软雅黑"/>
          <w:noProof/>
          <w:sz w:val="24"/>
        </w:rPr>
        <w:t xml:space="preserve">[46] Building a hill-climbing machine: Launching seven new MAI models https://microsoft.ai/news/building-a-hillclimbing-machine-launching-seven-new-mai-models/</w:t>
      </w:r>
    </w:p>
    <w:p>
      <w:pPr>
        <w:spacing w:line="288" w:lineRule="auto"/>
        <w:ind w:firstLine="480" w:firstLineChars="200"/>
        <w:jc w:val="both"/>
      </w:pPr>
      <w:r>
        <w:rPr>
          <w:rFonts w:hint="eastAsia" w:ascii="微软雅黑" w:hAnsi="微软雅黑" w:eastAsia="微软雅黑"/>
          <w:noProof/>
          <w:sz w:val="24"/>
        </w:rPr>
        <w:t xml:space="preserve">[47] From Text to Trust: Empowering AI-assisted Decision Making with ... https://dl.acm.org/doi/10.1145/3706598.3713133</w:t>
      </w:r>
    </w:p>
    <w:p>
      <w:pPr>
        <w:spacing w:line="288" w:lineRule="auto"/>
        <w:ind w:firstLine="480" w:firstLineChars="200"/>
        <w:jc w:val="both"/>
      </w:pPr>
      <w:r>
        <w:rPr>
          <w:rFonts w:hint="eastAsia" w:ascii="微软雅黑" w:hAnsi="微软雅黑" w:eastAsia="微软雅黑"/>
          <w:noProof/>
          <w:sz w:val="24"/>
        </w:rPr>
        <w:t xml:space="preserve">[48] Best AI Models June 2026: Ranked Leaderboard &amp; Winners https://www.buildfastwithai.com/blogs/best-ai-models-june-2026-leaderboard</w:t>
      </w:r>
    </w:p>
    <w:p>
      <w:pPr>
        <w:spacing w:line="288" w:lineRule="auto"/>
        <w:ind w:firstLine="480" w:firstLineChars="200"/>
        <w:jc w:val="both"/>
      </w:pPr>
      <w:r>
        <w:rPr>
          <w:rFonts w:hint="eastAsia" w:ascii="微软雅黑" w:hAnsi="微软雅黑" w:eastAsia="微软雅黑"/>
          <w:noProof/>
          <w:sz w:val="24"/>
        </w:rPr>
        <w:t xml:space="preserve">[49] Adaptive Decision-Making Models - LinkedIn https://www.linkedin.com/top-content/productivity/efficient-decision-making-process/adaptive-decision-making-models/</w:t>
      </w:r>
    </w:p>
    <w:p>
      <w:pPr>
        <w:spacing w:line="288" w:lineRule="auto"/>
        <w:ind w:firstLine="480" w:firstLineChars="200"/>
        <w:jc w:val="both"/>
      </w:pPr>
      <w:r>
        <w:rPr>
          <w:rFonts w:hint="eastAsia" w:ascii="微软雅黑" w:hAnsi="微软雅黑" w:eastAsia="微软雅黑"/>
          <w:noProof/>
          <w:sz w:val="24"/>
        </w:rPr>
        <w:t xml:space="preserve">[50] Beyond Static Models: Top 5 Adaptive AI Development Companies ... https://thesiliconreview.com/2026/06/beyond-static-models-top-5-adaptive-ai-development-companies-for-2026</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Impact+Severity+Score</c:v>
                </c:pt>
              </c:strCache>
            </c:strRef>
          </c:tx>
          <c:spPr>
            <a:solidFill>
              <a:srgbClr val="FF7733"/>
            </a:solidFill>
            <a:ln>
              <a:solidFill>
                <a:srgbClr val="FF7733"/>
              </a:solidFill>
            </a:ln>
          </c:spPr>
          <c:invertIfNegative val="false"/>
          <c:cat>
            <c:strRef>
              <c:f>Sheet1!$A$2:$A$5</c:f>
              <c:strCache>
                <c:ptCount val="4"/>
                <c:pt idx="0">
                  <c:v>Geopolitical+Factors</c:v>
                </c:pt>
                <c:pt idx="1">
                  <c:v>Supply+Chain+Issues</c:v>
                </c:pt>
                <c:pt idx="2">
                  <c:v>Infrastructure+Failures</c:v>
                </c:pt>
                <c:pt idx="3">
                  <c:v>Cyber+Threats</c:v>
                </c:pt>
              </c:strCache>
            </c:strRef>
          </c:cat>
          <c:val>
            <c:numRef>
              <c:f>Sheet1!$B$2:$B$5</c:f>
              <c:numCache>
                <c:ptCount val="4"/>
                <c:pt idx="0">
                  <c:v>88</c:v>
                </c:pt>
                <c:pt idx="1">
                  <c:v>82</c:v>
                </c:pt>
                <c:pt idx="2">
                  <c:v>65</c:v>
                </c:pt>
                <c:pt idx="3">
                  <c:v>55</c:v>
                </c:pt>
              </c:numCache>
            </c:numRef>
          </c:val>
        </c:ser>
        <c:gapWidth val="125"/>
        <c:axId val="454438"/>
        <c:axId val="4669684"/>
      </c:barChart>
      <c:catAx>
        <c:axId val="454438"/>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4669684"/>
        <c:crosses val="autoZero"/>
      </c:catAx>
      <c:valAx>
        <c:axId val="4669684"/>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454438"/>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