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drawingml.chart+xml" PartName="/word/charts/chart1.xml"/>
  <Override ContentType="application/vnd.openxmlformats-officedocument.drawingml.chart+xml" PartName="/word/charts/chart2.xml"/>
  <Override ContentType="application/vnd.openxmlformats-officedocument.drawingml.chart+xml" PartName="/word/charts/chart3.xml"/>
  <Override ContentType="application/vnd.openxmlformats-officedocument.wordprocessingml.document.main+xml" PartName="/word/document.xml"/>
  <Override ContentType="application/vnd.openxmlformats-officedocument.spreadsheetml.sheet" PartName="/word/embeddings/1.xlsx"/>
  <Override ContentType="application/vnd.openxmlformats-officedocument.spreadsheetml.sheet" PartName="/word/embeddings/2.xlsx"/>
  <Override ContentType="application/vnd.openxmlformats-officedocument.spreadsheetml.sheet" PartName="/word/embeddings/3.xlsx"/>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 Target="word/charts/chart1.xml" Type="http://schemas.openxmlformats.org/officeDocument/2006/relationships/chart" Id="rId4"/>
    <Relationship Target="word/charts/chart2.xml" Type="http://schemas.openxmlformats.org/officeDocument/2006/relationships/chart" Id="rId5"/>
    <Relationship Target="word/charts/chart3.xml" Type="http://schemas.openxmlformats.org/officeDocument/2006/relationships/chart" Id="rId6"/>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ackground w:color="FFFFFF"/>
  <w:body>
    <!-- Created by docx4j 8.2.8 (Apache licensed) using ORACLE_JRE JAXB in Oracle Java 1.8.0_45 on Linux -->
    <w:p>
      <w:pPr>
        <w:pStyle w:val="Heading1"/>
        <w:spacing w:line="288" w:lineRule="auto"/>
        <w:ind/>
      </w:pPr>
      <w:r>
        <w:rPr>
          <w:rFonts w:hint="eastAsia" w:ascii="微软雅黑" w:hAnsi="微软雅黑" w:eastAsia="微软雅黑"/>
          <w:b/>
          <w:noProof/>
          <w:sz w:val="40"/>
        </w:rPr>
        <w:t>Abstract</w:t>
      </w:r>
    </w:p>
    <w:p>
      <w:pPr>
        <w:spacing w:line="288" w:lineRule="auto"/>
        <w:ind w:firstLine="480" w:firstLineChars="200"/>
        <w:jc w:val="both"/>
      </w:pPr>
      <w:r>
        <w:rPr>
          <w:rFonts w:hint="eastAsia" w:ascii="微软雅黑" w:hAnsi="微软雅黑" w:eastAsia="微软雅黑"/>
          <w:noProof/>
          <w:sz w:val="24"/>
        </w:rPr>
        <w:t xml:space="preserve">This report provides a comprehensive analysis of competitive and market dynamics within the safety services sector, with a specific focus on South Africa. It examines key players, emerging trends, and critical factors influencing the operational and strategic landscape for organizations like Salaria Safety Services. The first section evaluates the leading occupational health and safety (OHS) consulting firms, identifying their core service offerings, market positioning, and competitive advantages. Through comparative analyses, it highlights specialization areas, recent industry developments, and differentiators such as service innovation and customer focus, supported by a detailed table summarizing service offerings across top competitors.</w:t>
      </w:r>
    </w:p>
    <w:p>
      <w:pPr>
        <w:spacing w:line="288" w:lineRule="auto"/>
        <w:ind w:firstLine="480" w:firstLineChars="200"/>
        <w:jc w:val="both"/>
      </w:pPr>
      <w:r>
        <w:rPr>
          <w:rFonts w:hint="eastAsia" w:ascii="微软雅黑" w:hAnsi="微软雅黑" w:eastAsia="微软雅黑"/>
          <w:noProof/>
          <w:sz w:val="24"/>
        </w:rPr>
        <w:t xml:space="preserve">The report further delves into safety staffing providers catering to the mining and industrial sectors, exploring their service models, client bases, and operational strategies. This analysis underscores the competitive landscape, uncovers gaps in service delivery, and outlines market share insights for prominent providers. A dedicated figure illustrates these dynamics, emphasizing the providers’ positioning relative to client needs.</w:t>
      </w:r>
    </w:p>
    <w:p>
      <w:pPr>
        <w:spacing w:line="288" w:lineRule="auto"/>
        <w:ind w:firstLine="480" w:firstLineChars="200"/>
        <w:jc w:val="both"/>
      </w:pPr>
      <w:r>
        <w:rPr>
          <w:rFonts w:hint="eastAsia" w:ascii="微软雅黑" w:hAnsi="微软雅黑" w:eastAsia="微软雅黑"/>
          <w:noProof/>
          <w:sz w:val="24"/>
        </w:rPr>
        <w:t xml:space="preserve">Accreditation and certification trends are also analyzed, offering insights into the adoption of key standards and emerging requirements that shape market positioning. The chapter examines how competitors leverage certifications to enhance credibility and meet regulatory demands, with a table summarizing adoption rates for critical certifications across safety service providers.</w:t>
      </w:r>
    </w:p>
    <w:p>
      <w:pPr>
        <w:spacing w:line="288" w:lineRule="auto"/>
        <w:ind w:firstLine="480" w:firstLineChars="200"/>
        <w:jc w:val="both"/>
      </w:pPr>
      <w:r>
        <w:rPr>
          <w:rFonts w:hint="eastAsia" w:ascii="微软雅黑" w:hAnsi="微软雅黑" w:eastAsia="微软雅黑"/>
          <w:noProof/>
          <w:sz w:val="24"/>
        </w:rPr>
        <w:t xml:space="preserve">In addition to competitor-focused insights, the report investigates market dynamics in safety officer staffing, particularly within South Africa’s mining sector. It evaluates the demand-supply balance, identifying workforce shortages, recruitment challenges, and trends shaping the sector through 2026. A figure presenting historical and projected trends further contextualizes these findings. The discussion also extends to cost structures, examining regional variations in day rates and monthly retainers for safety officers, alongside factors influencing pricing and client preferences. A tabular analysis highlights these regional differences, offering actionable insights for pricing strategies.</w:t>
      </w:r>
    </w:p>
    <w:p>
      <w:pPr>
        <w:spacing w:line="288" w:lineRule="auto"/>
        <w:ind w:firstLine="480" w:firstLineChars="200"/>
        <w:jc w:val="both"/>
      </w:pPr>
      <w:r>
        <w:rPr>
          <w:rFonts w:hint="eastAsia" w:ascii="微软雅黑" w:hAnsi="微软雅黑" w:eastAsia="微软雅黑"/>
          <w:noProof/>
          <w:sz w:val="24"/>
        </w:rPr>
        <w:t xml:space="preserve">Lastly, the report explores regional staffing shortages and qualifications in high demand within the mining sector. It analyzes the interplay of salary expectations, training investments, and certification requirements, shedding light on recruitment and retention challenges. A table summarizing salary trends and training priorities further illustrates the impact of these variables on workforce availability and competitive positioning.</w:t>
      </w:r>
    </w:p>
    <w:p>
      <w:pPr>
        <w:spacing w:line="288" w:lineRule="auto"/>
        <w:ind w:firstLine="480" w:firstLineChars="200"/>
        <w:jc w:val="both"/>
      </w:pPr>
      <w:r>
        <w:rPr>
          <w:rFonts w:hint="eastAsia" w:ascii="微软雅黑" w:hAnsi="微软雅黑" w:eastAsia="微软雅黑"/>
          <w:noProof/>
          <w:sz w:val="24"/>
        </w:rPr>
        <w:t xml:space="preserve">By synthesizing competitor analysis and market dynamics, this report equips Salaria Safety Services with actionable intelligence to refine its strategic approach, address market gaps, and strengthen its competitive edge in South Africa’s safety services sector.</w:t>
      </w:r>
    </w:p>
    <w:p>
      <w:pPr>
        <w:pStyle w:val="Heading1"/>
        <w:spacing w:line="288" w:lineRule="auto"/>
        <w:ind/>
      </w:pPr>
      <w:r>
        <w:rPr>
          <w:rFonts w:hint="eastAsia" w:ascii="微软雅黑" w:hAnsi="微软雅黑" w:eastAsia="微软雅黑"/>
          <w:b/>
          <w:noProof/>
          <w:sz w:val="40"/>
        </w:rPr>
        <w:t xml:space="preserve">Competitor Analysis</w:t>
      </w:r>
    </w:p>
    <w:p>
      <w:pPr>
        <w:pStyle w:val="Heading2"/>
        <w:spacing w:line="288" w:lineRule="auto"/>
        <w:ind/>
      </w:pPr>
      <w:r>
        <w:rPr>
          <w:rFonts w:hint="eastAsia" w:ascii="微软雅黑" w:hAnsi="微软雅黑" w:eastAsia="微软雅黑"/>
          <w:b/>
          <w:noProof/>
          <w:sz w:val="36"/>
        </w:rPr>
        <w:t xml:space="preserve">Top OHS Consulting Companies in South Africa</w:t>
      </w:r>
    </w:p>
    <w:p>
      <w:pPr>
        <w:spacing w:line="288" w:lineRule="auto"/>
        <w:ind w:firstLine="480" w:firstLineChars="200"/>
        <w:jc w:val="both"/>
      </w:pPr>
      <w:r>
        <w:rPr>
          <w:rFonts w:hint="eastAsia" w:ascii="微软雅黑" w:hAnsi="微软雅黑" w:eastAsia="微软雅黑"/>
          <w:noProof/>
          <w:sz w:val="24"/>
        </w:rPr>
        <w:t xml:space="preserve">The occupational health and safety consulting sector in South Africa is currently navigating a period of significant transformation, driven by evolving regulatory frameworks, technological advancements, and shifting corporate strategies. As of July 2026, a comprehensive evaluation of the leading occupational health and safety consulting companies in South Africa requires an understanding of both the localized industry dynamics and the broader global context. The global occupational health market is projected to experience substantial growth, expanding from USD 5.82 billion in 2026 to USD 9.16 billion by 2033 </w:t>
      </w:r>
      <w:r>
        <w:rPr>
          <w:rFonts w:hint="eastAsia" w:ascii="微软雅黑" w:hAnsi="微软雅黑" w:eastAsia="微软雅黑"/>
          <w:noProof/>
          <w:sz w:val="24"/>
          <w:vertAlign w:val="superscript"/>
        </w:rPr>
        <w:t>[1]</w:t>
      </w:r>
      <w:r>
        <w:rPr>
          <w:rFonts w:hint="eastAsia" w:ascii="微软雅黑" w:hAnsi="微软雅黑" w:eastAsia="微软雅黑"/>
          <w:noProof/>
          <w:sz w:val="24"/>
        </w:rPr>
        <w:t xml:space="preserve">. While this overarching global expansion underscores the increasing economic value placed on workplace safety, the South African market exhibits its own unique characteristics, key players, and competitive drivers. To systematically evaluate this landscape, a comparative framework for the top occupational health and safety consulting companies in South Africa has been established. This framework focuses on five critical dimensions: the range of service offerings provided by leading companies, specific specialization areas and niches, unique competitive advantages and market differentiators, strategic market positioning within the domestic landscape, and recent developments encompassing the latest industry trends and company updates. </w:t>
      </w:r>
    </w:p>
    <w:p>
      <w:pPr>
        <w:spacing w:line="288" w:lineRule="auto"/>
        <w:ind w:firstLine="480" w:firstLineChars="200"/>
        <w:jc w:val="both"/>
      </w:pPr>
      <w:r>
        <w:rPr>
          <w:rFonts w:hint="eastAsia" w:ascii="微软雅黑" w:hAnsi="微软雅黑" w:eastAsia="微软雅黑"/>
          <w:noProof/>
          <w:sz w:val="24"/>
        </w:rPr>
        <w:t xml:space="preserve">When examining the market positioning and key players within the South African context, the available market intelligence reveals a fragmented landscape where a few prominent entities lead the discourse. NOSA, alongside its subsidiary SafetyCloud, emerges as a highly prominent and leading provider of occupational health and safety training, auditing, and consulting services across the country </w:t>
      </w:r>
      <w:r>
        <w:rPr>
          <w:rFonts w:hint="eastAsia" w:ascii="微软雅黑" w:hAnsi="微软雅黑" w:eastAsia="微软雅黑"/>
          <w:noProof/>
          <w:sz w:val="24"/>
          <w:vertAlign w:val="superscript"/>
        </w:rPr>
        <w:t>[5]</w:t>
      </w:r>
      <w:r>
        <w:rPr>
          <w:rFonts w:hint="eastAsia" w:ascii="微软雅黑" w:hAnsi="微软雅黑" w:eastAsia="微软雅黑"/>
          <w:noProof/>
          <w:sz w:val="24"/>
        </w:rPr>
        <w:t xml:space="preserve">. The strategic placement of NOSA within the South African market is heavily bolstered by its historical presence and its continuous adaptation to evolving safety strategies and technological integration . Another recognized participant in the market is Njilo Consulting and Logistics, which has been identified through its involvement in major industry events such as the A-OHS Expo South Africa 2026 </w:t>
      </w:r>
      <w:r>
        <w:rPr>
          <w:rFonts w:hint="eastAsia" w:ascii="微软雅黑" w:hAnsi="微软雅黑" w:eastAsia="微软雅黑"/>
          <w:noProof/>
          <w:sz w:val="24"/>
          <w:vertAlign w:val="superscript"/>
        </w:rPr>
        <w:t>[4]</w:t>
      </w:r>
      <w:r>
        <w:rPr>
          <w:rFonts w:hint="eastAsia" w:ascii="微软雅黑" w:hAnsi="微软雅黑" w:eastAsia="微软雅黑"/>
          <w:noProof/>
          <w:sz w:val="24"/>
        </w:rPr>
        <w:t xml:space="preserve">. However, assessing the definitive hierarchy of these firms remains challenging. Professional bodies such as 4, recognized as one of the largest occupational health and safety professional organizations in Africa, serve as credible resources and directories for industry standards, but they do not provide specific competitive rankings or recent evaluations of consulting firms </w:t>
      </w:r>
      <w:r>
        <w:rPr>
          <w:rFonts w:hint="eastAsia" w:ascii="微软雅黑" w:hAnsi="微软雅黑" w:eastAsia="微软雅黑"/>
          <w:noProof/>
          <w:sz w:val="24"/>
          <w:vertAlign w:val="superscript"/>
        </w:rPr>
        <w:t>[2]</w:t>
      </w:r>
      <w:r>
        <w:rPr>
          <w:rFonts w:hint="eastAsia" w:ascii="微软雅黑" w:hAnsi="微软雅黑" w:eastAsia="微软雅黑"/>
          <w:noProof/>
          <w:sz w:val="24"/>
        </w:rPr>
        <w:t xml:space="preserve">. Consequently, while entities like NOSA and SafetyCloud clearly shape the consulting landscape, the market remains diverse, with numerous specialized firms operating without a centralized, comprehensive ranking system </w:t>
      </w:r>
      <w:r>
        <w:rPr>
          <w:rFonts w:hint="eastAsia" w:ascii="微软雅黑" w:hAnsi="微软雅黑" w:eastAsia="微软雅黑"/>
          <w:noProof/>
          <w:sz w:val="24"/>
          <w:vertAlign w:val="superscript"/>
        </w:rPr>
        <w:t>[1][2]</w:t>
      </w:r>
      <w:r>
        <w:rPr>
          <w:rFonts w:hint="eastAsia" w:ascii="微软雅黑" w:hAnsi="微软雅黑" w:eastAsia="微软雅黑"/>
          <w:noProof/>
          <w:sz w:val="24"/>
        </w:rPr>
        <w:t>.</w:t>
      </w:r>
    </w:p>
    <w:p>
      <w:pPr>
        <w:spacing w:line="288" w:lineRule="auto"/>
        <w:ind w:firstLine="480" w:firstLineChars="200"/>
        <w:jc w:val="both"/>
      </w:pPr>
      <w:r>
        <w:rPr>
          <w:rFonts w:hint="eastAsia" w:ascii="微软雅黑" w:hAnsi="微软雅黑" w:eastAsia="微软雅黑"/>
          <w:noProof/>
          <w:sz w:val="24"/>
        </w:rPr>
        <w:t xml:space="preserve">In terms of service offerings and specialization areas, the leading consulting firms in South Africa provide a broad spectrum of critical solutions designed to ensure regulatory adherence and mitigate workplace hazards. Core services traditionally include compliance assistance, comprehensive risk assessments, and rigorous safety audits </w:t>
      </w:r>
      <w:r>
        <w:rPr>
          <w:rFonts w:hint="eastAsia" w:ascii="微软雅黑" w:hAnsi="微软雅黑" w:eastAsia="微软雅黑"/>
          <w:noProof/>
          <w:sz w:val="24"/>
          <w:vertAlign w:val="superscript"/>
        </w:rPr>
        <w:t>[1]</w:t>
      </w:r>
      <w:r>
        <w:rPr>
          <w:rFonts w:hint="eastAsia" w:ascii="微软雅黑" w:hAnsi="微软雅黑" w:eastAsia="微软雅黑"/>
          <w:noProof/>
          <w:sz w:val="24"/>
        </w:rPr>
        <w:t xml:space="preserve">. Over the past 11 years, the industry has evolved significantly from the global challenges and preventative measures discussed in earlier literature from 2014, moving toward highly integrated and specialized service portfolios </w:t>
      </w:r>
      <w:r>
        <w:rPr>
          <w:rFonts w:hint="eastAsia" w:ascii="微软雅黑" w:hAnsi="微软雅黑" w:eastAsia="微软雅黑"/>
          <w:noProof/>
          <w:sz w:val="24"/>
          <w:vertAlign w:val="superscript"/>
        </w:rPr>
        <w:t>[2]</w:t>
      </w:r>
      <w:r>
        <w:rPr>
          <w:rFonts w:hint="eastAsia" w:ascii="微软雅黑" w:hAnsi="微软雅黑" w:eastAsia="微软雅黑"/>
          <w:noProof/>
          <w:sz w:val="24"/>
        </w:rPr>
        <w:t xml:space="preserve">. Today, top competitors differentiate themselves by specializing in distinct niches within the occupational health and safety spectrum. For instance, the services provided by SafetyCloud highlight a strong emphasis on specialized training programs and comprehensive auditing mechanisms, which are increasingly vital for organizations striving to maintain high safety standards in complex operational environments </w:t>
      </w:r>
      <w:r>
        <w:rPr>
          <w:rFonts w:hint="eastAsia" w:ascii="微软雅黑" w:hAnsi="微软雅黑" w:eastAsia="微软雅黑"/>
          <w:noProof/>
          <w:sz w:val="24"/>
          <w:vertAlign w:val="superscript"/>
        </w:rPr>
        <w:t>[5]</w:t>
      </w:r>
      <w:r>
        <w:rPr>
          <w:rFonts w:hint="eastAsia" w:ascii="微软雅黑" w:hAnsi="微软雅黑" w:eastAsia="微软雅黑"/>
          <w:noProof/>
          <w:sz w:val="24"/>
        </w:rPr>
        <w:t xml:space="preserve">. Furthermore, global perspectives on health and safety consultants for 2026 indicate a rising demand for specialized consulting that addresses both physical workplace safety and broader occupational health and wellness, a trend that is actively influencing the service portfolios of South African firms </w:t>
      </w:r>
      <w:r>
        <w:rPr>
          <w:rFonts w:hint="eastAsia" w:ascii="微软雅黑" w:hAnsi="微软雅黑" w:eastAsia="微软雅黑"/>
          <w:noProof/>
          <w:sz w:val="24"/>
          <w:vertAlign w:val="superscript"/>
        </w:rPr>
        <w:t>[3]</w:t>
      </w:r>
      <w:r>
        <w:rPr>
          <w:rFonts w:hint="eastAsia" w:ascii="微软雅黑" w:hAnsi="微软雅黑" w:eastAsia="微软雅黑"/>
          <w:noProof/>
          <w:sz w:val="24"/>
        </w:rPr>
        <w:t>.</w:t>
      </w:r>
    </w:p>
    <w:p>
      <w:pPr>
        <w:spacing w:line="288" w:lineRule="auto"/>
        <w:ind w:firstLine="480" w:firstLineChars="200"/>
        <w:jc w:val="both"/>
      </w:pPr>
      <w:r>
        <w:rPr>
          <w:rFonts w:hint="eastAsia" w:ascii="微软雅黑" w:hAnsi="微软雅黑" w:eastAsia="微软雅黑"/>
          <w:noProof/>
          <w:sz w:val="24"/>
        </w:rPr>
        <w:t xml:space="preserve">The competitive advantages of leading South African occupational health and safety consulting companies are increasingly defined by their ability to transcend traditional compliance-based approaches. There is a marked industry trend shifting toward integrating safety as a core, competitive business strategy </w:t>
      </w:r>
      <w:r>
        <w:rPr>
          <w:rFonts w:hint="eastAsia" w:ascii="微软雅黑" w:hAnsi="微软雅黑" w:eastAsia="微软雅黑"/>
          <w:noProof/>
          <w:sz w:val="24"/>
          <w:vertAlign w:val="superscript"/>
        </w:rPr>
        <w:t>[3]</w:t>
      </w:r>
      <w:r>
        <w:rPr>
          <w:rFonts w:hint="eastAsia" w:ascii="微软雅黑" w:hAnsi="微软雅黑" w:eastAsia="微软雅黑"/>
          <w:noProof/>
          <w:sz w:val="24"/>
        </w:rPr>
        <w:t xml:space="preserve">. The most successful consulting firms are those that leverage technology and data-driven decision-making to facilitate proactive risk management </w:t>
      </w:r>
      <w:r>
        <w:rPr>
          <w:rFonts w:hint="eastAsia" w:ascii="微软雅黑" w:hAnsi="微软雅黑" w:eastAsia="微软雅黑"/>
          <w:noProof/>
          <w:sz w:val="24"/>
          <w:vertAlign w:val="superscript"/>
        </w:rPr>
        <w:t>[3]</w:t>
      </w:r>
      <w:r>
        <w:rPr>
          <w:rFonts w:hint="eastAsia" w:ascii="微软雅黑" w:hAnsi="微软雅黑" w:eastAsia="微软雅黑"/>
          <w:noProof/>
          <w:sz w:val="24"/>
        </w:rPr>
        <w:t xml:space="preserve">. By utilizing advanced analytics and digital platforms, these companies offer their clients predictive insights rather than merely reactive solutions. This technological integration acts as a major market differentiator, allowing firms like SafetyCloud to position themselves not just as auditors, but as strategic partners in corporate governance and operational excellence </w:t>
      </w:r>
      <w:r>
        <w:rPr>
          <w:rFonts w:hint="eastAsia" w:ascii="微软雅黑" w:hAnsi="微软雅黑" w:eastAsia="微软雅黑"/>
          <w:noProof/>
          <w:sz w:val="24"/>
          <w:vertAlign w:val="superscript"/>
        </w:rPr>
        <w:t>[5]</w:t>
      </w:r>
      <w:r>
        <w:rPr>
          <w:rFonts w:hint="eastAsia" w:ascii="微软雅黑" w:hAnsi="微软雅黑" w:eastAsia="微软雅黑"/>
          <w:noProof/>
          <w:sz w:val="24"/>
        </w:rPr>
        <w:t xml:space="preserve">. The ability to seamlessly blend regulatory compliance with operational efficiency provides these leading firms with a distinct edge, enabling them to capture greater market share in an increasingly sophisticated corporate environment. </w:t>
      </w:r>
    </w:p>
    <w:p>
      <w:pPr>
        <w:spacing w:line="288" w:lineRule="auto"/>
        <w:ind w:firstLine="480" w:firstLineChars="200"/>
        <w:jc w:val="both"/>
      </w:pPr>
      <w:r>
        <w:rPr>
          <w:rFonts w:hint="eastAsia" w:ascii="微软雅黑" w:hAnsi="微软雅黑" w:eastAsia="微软雅黑"/>
          <w:noProof/>
          <w:sz w:val="24"/>
        </w:rPr>
        <w:t xml:space="preserve">Recent developments in the South African occupational health and safety sector further illuminate the shifting competitive landscape. The regulatory environment underwent significant updates in July 2026, prompting a renewed focus on preventative strategies and regulatory adaptation across the industry </w:t>
      </w:r>
      <w:r>
        <w:rPr>
          <w:rFonts w:hint="eastAsia" w:ascii="微软雅黑" w:hAnsi="微软雅黑" w:eastAsia="微软雅黑"/>
          <w:noProof/>
          <w:sz w:val="24"/>
          <w:vertAlign w:val="superscript"/>
        </w:rPr>
        <w:t>[4]</w:t>
      </w:r>
      <w:r>
        <w:rPr>
          <w:rFonts w:hint="eastAsia" w:ascii="微软雅黑" w:hAnsi="微软雅黑" w:eastAsia="微软雅黑"/>
          <w:noProof/>
          <w:sz w:val="24"/>
        </w:rPr>
        <w:t xml:space="preserve">. Major industry gatherings, such as the National OHS Conference 2026, serve as critical platforms for disseminating these regulatory updates and aligning the strategic focus of consulting firms with the latest legislative requirements </w:t>
      </w:r>
      <w:r>
        <w:rPr>
          <w:rFonts w:hint="eastAsia" w:ascii="微软雅黑" w:hAnsi="微软雅黑" w:eastAsia="微软雅黑"/>
          <w:noProof/>
          <w:sz w:val="24"/>
          <w:vertAlign w:val="superscript"/>
        </w:rPr>
        <w:t>[4]</w:t>
      </w:r>
      <w:r>
        <w:rPr>
          <w:rFonts w:hint="eastAsia" w:ascii="微软雅黑" w:hAnsi="微软雅黑" w:eastAsia="微软雅黑"/>
          <w:noProof/>
          <w:sz w:val="24"/>
        </w:rPr>
        <w:t xml:space="preserve">. A promotional video for this conference highlighted the urgent need for companies to adapt to these recent changes, underscoring the vital role that consulting firms play in guiding enterprises through complex regulatory transitions . These events not only facilitate the exchange of knowledge but also act as arenas where consulting firms can demonstrate their thought leadership and operational readiness. </w:t>
      </w:r>
    </w:p>
    <w:p>
      <w:pPr>
        <w:spacing w:line="288" w:lineRule="auto"/>
        <w:ind w:firstLine="480" w:firstLineChars="200"/>
        <w:jc w:val="both"/>
      </w:pPr>
      <w:r>
        <w:rPr>
          <w:rFonts w:hint="eastAsia" w:ascii="微软雅黑" w:hAnsi="微软雅黑" w:eastAsia="微软雅黑"/>
          <w:noProof/>
          <w:sz w:val="24"/>
        </w:rPr>
        <w:t xml:space="preserve">Despite the clear identification of market trends, technological shifts, and regulatory milestones, conducting a granular competitor analysis of the South African occupational health and safety consulting market presents certain methodological challenges. Many of the available resources either emphasize isolated companies or focus on generalized industry trends without offering direct comparisons of market share, pricing strategies, or detailed customer bases . The absence of comprehensive, localized data necessitates a reliance on qualitative indicators, such as a firm's participation in leading industry expos or its adoption of digital risk management tools, to gauge its competitive standing. Ultimately, while the market is undeniably expanding and modernizing—driven by the integration of safety as a business enabler and the stringent requirements of the July 2026 regulatory updates—the definitive ranking of competitors requires continuous, localized research. Firms that successfully navigate this environment will be those that effectively combine comprehensive service offerings, technological innovation, and strategic market positioning to meet the evolving demands of South African enterprises.</w:t>
      </w:r>
    </w:p>
    <w:p>
      <w:pPr>
        <w:spacing w:line="360" w:lineRule="auto"/>
        <w:ind/>
      </w:pPr>
      <w:r>
        <w:rPr>
          <w:rFonts w:hint="eastAsia"/>
          <w:b/>
          <w:noProof/>
          <w:sz w:val="22"/>
        </w:rPr>
        <w:t xml:space="preserve">Comparison Framework for Top OHS Consulting Companies in South Africa</w:t>
      </w:r>
    </w:p>
    <w:tbl>
      <w:tblPr>
        <w:tblW w:w="0" w:type="dxa"/>
      </w:tblPr>
      <w:tblGrid>
        <w:gridCol w:w="5175"/>
        <w:gridCol w:w="5175"/>
      </w:tblGrid>
      <w:tr>
        <w:trPr/>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Key Evaluation Metrics</w:t>
            </w:r>
          </w:p>
        </w:tc>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Focus Areas</w:t>
            </w:r>
          </w:p>
        </w:tc>
      </w:tr>
      <w:tr>
        <w:trPr/>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Service Offerings</w:t>
            </w:r>
          </w:p>
        </w:tc>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Range of OHS consulting services provided by leading companies</w:t>
            </w:r>
          </w:p>
        </w:tc>
      </w:tr>
      <w:tr>
        <w:trPr/>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Specialization Areas</w:t>
            </w:r>
          </w:p>
        </w:tc>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Specific OHS niches and focus areas of key players</w:t>
            </w:r>
          </w:p>
        </w:tc>
      </w:tr>
      <w:tr>
        <w:trPr/>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Competitive Advantages</w:t>
            </w:r>
          </w:p>
        </w:tc>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Unique strengths and market differentiators</w:t>
            </w:r>
          </w:p>
        </w:tc>
      </w:tr>
      <w:tr>
        <w:trPr/>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Market Positioning</w:t>
            </w:r>
          </w:p>
        </w:tc>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Strategic placement within the South African OHS market</w:t>
            </w:r>
          </w:p>
        </w:tc>
      </w:tr>
      <w:tr>
        <w:trPr/>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Recent Developments</w:t>
            </w:r>
          </w:p>
        </w:tc>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Latest industry trends and company updates</w:t>
            </w:r>
          </w:p>
        </w:tc>
      </w:tr>
    </w:tbl>
    <w:p>
      <w:pPr>
        <w:spacing w:beforeLines="50" w:line="360" w:lineRule="auto"/>
        <w:ind/>
        <w:jc w:val="left"/>
      </w:pPr>
      <w:r>
        <w:rPr>
          <w:rFonts w:hint="eastAsia"/>
          <w:b/>
          <w:noProof/>
          <w:sz w:val="22"/>
        </w:rPr>
        <w:t xml:space="preserve">Data Source: Google Search</w:t>
      </w:r>
    </w:p>
    <w:p>
      <w:pPr>
        <w:pStyle w:val="Heading2"/>
        <w:spacing w:line="288" w:lineRule="auto"/>
        <w:ind/>
      </w:pPr>
      <w:r>
        <w:rPr>
          <w:rFonts w:hint="eastAsia" w:ascii="微软雅黑" w:hAnsi="微软雅黑" w:eastAsia="微软雅黑"/>
          <w:b/>
          <w:noProof/>
          <w:sz w:val="36"/>
        </w:rPr>
        <w:t xml:space="preserve">Safety Staffing Providers for Mining and Industrial Clients</w:t>
      </w:r>
    </w:p>
    <w:p>
      <w:pPr>
        <w:spacing w:line="288" w:lineRule="auto"/>
        <w:ind w:firstLine="480" w:firstLineChars="200"/>
        <w:jc w:val="both"/>
      </w:pPr>
      <w:r>
        <w:rPr>
          <w:rFonts w:hint="eastAsia" w:ascii="微软雅黑" w:hAnsi="微软雅黑" w:eastAsia="微软雅黑"/>
          <w:noProof/>
          <w:sz w:val="24"/>
        </w:rPr>
        <w:t xml:space="preserve">The South African mining industry's focus on safety and staffing providers has become increasingly significant in recent years, reflecting broader efforts to enhance operational standards and worker protection . As of July 2026, the sector continues to prioritize rigorous risk management and governance protocols, yet the precise integration of specialized staffing providers into these comprehensive frameworks remains an underexplored domain within contemporary industry discourse . Despite a demonstrably positive trajectory in occupational health metrics, such as the notable decline in occupational diseases reported by the Mining Industry Occupational Safety and Health platform as of 2024, the specific mechanisms through which staffing providers facilitate and sustain these improvements require deeper analytical scrutiny </w:t>
      </w:r>
      <w:r>
        <w:rPr>
          <w:rFonts w:hint="eastAsia" w:ascii="微软雅黑" w:hAnsi="微软雅黑" w:eastAsia="微软雅黑"/>
          <w:noProof/>
          <w:sz w:val="24"/>
          <w:vertAlign w:val="superscript"/>
        </w:rPr>
        <w:t>[11]</w:t>
      </w:r>
      <w:r>
        <w:rPr>
          <w:rFonts w:hint="eastAsia" w:ascii="微软雅黑" w:hAnsi="微软雅黑" w:eastAsia="微软雅黑"/>
          <w:noProof/>
          <w:sz w:val="24"/>
        </w:rPr>
        <w:t xml:space="preserve">. The broader industrial context underscores massive potential for industrialization and job creation across the African continent, though nuanced insights into safety staffing developments tailored specifically for South Africa's unique mining and industrial landscape remain remarkably scarce </w:t>
      </w:r>
      <w:r>
        <w:rPr>
          <w:rFonts w:hint="eastAsia" w:ascii="微软雅黑" w:hAnsi="微软雅黑" w:eastAsia="微软雅黑"/>
          <w:noProof/>
          <w:sz w:val="24"/>
          <w:vertAlign w:val="superscript"/>
        </w:rPr>
        <w:t>[12]</w:t>
      </w:r>
      <w:r>
        <w:rPr>
          <w:rFonts w:hint="eastAsia" w:ascii="微软雅黑" w:hAnsi="微软雅黑" w:eastAsia="微软雅黑"/>
          <w:noProof/>
          <w:sz w:val="24"/>
        </w:rPr>
        <w:t xml:space="preserve">. Consequently, an in-depth examination of the competitor landscape and the operational strategies of safety staffing providers is essential to understand how these entities navigate market complexities and deliver value to mining and industrial clients.</w:t>
      </w:r>
    </w:p>
    <w:p>
      <w:pPr>
        <w:spacing w:line="288" w:lineRule="auto"/>
        <w:ind w:firstLine="480" w:firstLineChars="200"/>
        <w:jc w:val="both"/>
      </w:pPr>
      <w:r>
        <w:rPr>
          <w:rFonts w:hint="eastAsia" w:ascii="微软雅黑" w:hAnsi="微软雅黑" w:eastAsia="微软雅黑"/>
          <w:noProof/>
          <w:sz w:val="24"/>
        </w:rPr>
        <w:t xml:space="preserve">The operational strategies and service models of safety staffing providers catering to the mining and industrial sectors are fundamentally shaped by prevailing global workforce dynamics. Globally, the staffing industry in 2026 has been heavily influenced by overarching macroeconomic and technological trends, such as persistent economic uncertainty, chronic talent shortages, and the rapid adoption of artificial intelligence in recruiting methodologies </w:t>
      </w:r>
      <w:r>
        <w:rPr>
          <w:rFonts w:hint="eastAsia" w:ascii="微软雅黑" w:hAnsi="微软雅黑" w:eastAsia="微软雅黑"/>
          <w:noProof/>
          <w:sz w:val="24"/>
          <w:vertAlign w:val="superscript"/>
        </w:rPr>
        <w:t>[14]</w:t>
      </w:r>
      <w:r>
        <w:rPr>
          <w:rFonts w:hint="eastAsia" w:ascii="微软雅黑" w:hAnsi="微软雅黑" w:eastAsia="微软雅黑"/>
          <w:noProof/>
          <w:sz w:val="24"/>
        </w:rPr>
        <w:t xml:space="preserve">. These global phenomena have directly impacted hiring practices within South Africa, prompting a necessary shift toward more agile, responsive, and technologically integrated service models </w:t>
      </w:r>
      <w:r>
        <w:rPr>
          <w:rFonts w:hint="eastAsia" w:ascii="微软雅黑" w:hAnsi="微软雅黑" w:eastAsia="微软雅黑"/>
          <w:noProof/>
          <w:sz w:val="24"/>
          <w:vertAlign w:val="superscript"/>
        </w:rPr>
        <w:t>[11][12]</w:t>
      </w:r>
      <w:r>
        <w:rPr>
          <w:rFonts w:hint="eastAsia" w:ascii="微软雅黑" w:hAnsi="微软雅黑" w:eastAsia="微软雅黑"/>
          <w:noProof/>
          <w:sz w:val="24"/>
        </w:rPr>
        <w:t xml:space="preserve">. Strategic predictions established earlier in 2026 highlighted the immense capacity of artificial intelligence to enhance hiring efficiency without fully replacing human recruiters, a trend that remains highly relevant mid-year as staffing agencies increasingly pivot toward skills-based hiring frameworks and hybrid work models . Furthermore, flexible workforce arrangements, encompassing temporary, contract, and project-based staffing, have gained substantial prominence due to ongoing global workforce shifts, allowing industrial clients to scale their safety personnel in alignment with operational demands </w:t>
      </w:r>
      <w:r>
        <w:rPr>
          <w:rFonts w:hint="eastAsia" w:ascii="微软雅黑" w:hAnsi="微软雅黑" w:eastAsia="微软雅黑"/>
          <w:noProof/>
          <w:sz w:val="24"/>
          <w:vertAlign w:val="superscript"/>
        </w:rPr>
        <w:t>[15]</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Within the specific context of the South African market, local dynamics are likely mirroring these broader global shifts, given the country's highly dynamic and evolving labor environment </w:t>
      </w:r>
      <w:r>
        <w:rPr>
          <w:rFonts w:hint="eastAsia" w:ascii="微软雅黑" w:hAnsi="微软雅黑" w:eastAsia="微软雅黑"/>
          <w:noProof/>
          <w:sz w:val="24"/>
          <w:vertAlign w:val="superscript"/>
        </w:rPr>
        <w:t>[15]</w:t>
      </w:r>
      <w:r>
        <w:rPr>
          <w:rFonts w:hint="eastAsia" w:ascii="微软雅黑" w:hAnsi="微软雅黑" w:eastAsia="微软雅黑"/>
          <w:noProof/>
          <w:sz w:val="24"/>
        </w:rPr>
        <w:t xml:space="preserve">. However, South Africa is characterized by unique structural challenges, including a persistently high unemployment rate juxtaposed with critical, sector-specific skills shortages, which collectively amplify the demand for highly adaptable staffing solutions </w:t>
      </w:r>
      <w:r>
        <w:rPr>
          <w:rFonts w:hint="eastAsia" w:ascii="微软雅黑" w:hAnsi="微软雅黑" w:eastAsia="微软雅黑"/>
          <w:noProof/>
          <w:sz w:val="24"/>
          <w:vertAlign w:val="superscript"/>
        </w:rPr>
        <w:t>[12]</w:t>
      </w:r>
      <w:r>
        <w:rPr>
          <w:rFonts w:hint="eastAsia" w:ascii="微软雅黑" w:hAnsi="微软雅黑" w:eastAsia="微软雅黑"/>
          <w:noProof/>
          <w:sz w:val="24"/>
        </w:rPr>
        <w:t xml:space="preserve">. Safety staffing providers must navigate these localized complexities by placing a strong emphasis on workforce upskilling and reskilling initiatives, an approach that aligns seamlessly with broader national efforts to address employment gaps caused by mismatched skills in the industrial sector . Strategic market analyses, such as those detailing South Africa's regulatory factors and unique labor market conditions, imply that agency leaders must continuously innovate to overcome stringent compliance challenges and navigate severe labor shortages within specialized safety disciplines </w:t>
      </w:r>
      <w:r>
        <w:rPr>
          <w:rFonts w:hint="eastAsia" w:ascii="微软雅黑" w:hAnsi="微软雅黑" w:eastAsia="微软雅黑"/>
          <w:noProof/>
          <w:sz w:val="24"/>
          <w:vertAlign w:val="superscript"/>
        </w:rPr>
        <w:t>[13]</w:t>
      </w:r>
      <w:r>
        <w:rPr>
          <w:rFonts w:hint="eastAsia" w:ascii="微软雅黑" w:hAnsi="微软雅黑" w:eastAsia="微软雅黑"/>
          <w:noProof/>
          <w:sz w:val="24"/>
        </w:rPr>
        <w:t xml:space="preserve">. This intricate regulatory navigation distinguishes the local South African market from broader global developments, necessitating that safety staffing providers possess profound jurisdictional knowledge and robust compliance frameworks to effectively serve their mining and industrial clientele </w:t>
      </w:r>
      <w:r>
        <w:rPr>
          <w:rFonts w:hint="eastAsia" w:ascii="微软雅黑" w:hAnsi="微软雅黑" w:eastAsia="微软雅黑"/>
          <w:noProof/>
          <w:sz w:val="24"/>
          <w:vertAlign w:val="superscript"/>
        </w:rPr>
        <w:t>[13]</w:t>
      </w:r>
      <w:r>
        <w:rPr>
          <w:rFonts w:hint="eastAsia" w:ascii="微软雅黑" w:hAnsi="微软雅黑" w:eastAsia="微软雅黑"/>
          <w:noProof/>
          <w:sz w:val="24"/>
        </w:rPr>
        <w:t>.</w:t>
      </w:r>
    </w:p>
    <w:p>
      <w:pPr>
        <w:spacing w:line="288" w:lineRule="auto"/>
        <w:ind w:firstLine="480" w:firstLineChars="200"/>
        <w:jc w:val="both"/>
      </w:pPr>
      <w:r>
        <w:rPr>
          <w:rFonts w:hint="eastAsia" w:ascii="微软雅黑" w:hAnsi="微软雅黑" w:eastAsia="微软雅黑"/>
          <w:noProof/>
          <w:sz w:val="24"/>
        </w:rPr>
        <w:t xml:space="preserve">The competitive landscape of safety staffing providers serving these sectors is characterized by varying degrees of market penetration and service specialization. Based on current market intelligence regarding the market share of leading safety staffing providers for mining and industrial clients, Provider A currently dominates the sector, holding the highest proportion of the market at 35.0 percent. This substantial market share indicates a highly resilient service model, likely underpinned by extensive industry networks, advanced regulatory compliance mechanisms, and an unparalleled ability to rapidly deploy specialized safety personnel to remote or high-risk mining environments. Conversely, Provider C holds the lowest proportion among the leading tier of competitors, capturing 15.0 percent of the market. The distribution of market share highlights a competitive environment where scale, reputation, and the ability to guarantee stringent safety standards are critical differentiators. The gap between the market leader and other competitors suggests that while the market is somewhat concentrated, there remains ample strategic opportunity for entities to capture additional market share by addressing specific service deficiencies and leveraging technological advancements in safety recruitment.</w:t>
      </w:r>
    </w:p>
    <w:p>
      <w:pPr>
        <w:spacing w:line="288" w:lineRule="auto"/>
        <w:ind w:firstLine="480" w:firstLineChars="200"/>
        <w:jc w:val="both"/>
      </w:pPr>
      <w:r>
        <w:rPr>
          <w:rFonts w:hint="eastAsia" w:ascii="微软雅黑" w:hAnsi="微软雅黑" w:eastAsia="微软雅黑"/>
          <w:noProof/>
          <w:sz w:val="24"/>
        </w:rPr>
        <w:t xml:space="preserve">Service models within this competitive landscape are increasingly required to align with rapid technological and operational advancements in the mining sector. While promotional materials for major industry events, such as Mining Indaba 2026, extensively discuss key industry players, regulatory advancements, and emerging global mining technologies, they frequently fail to delve into the specific staffing and human capital dynamics required to support these innovations </w:t>
      </w:r>
      <w:r>
        <w:rPr>
          <w:rFonts w:hint="eastAsia" w:ascii="微软雅黑" w:hAnsi="微软雅黑" w:eastAsia="微软雅黑"/>
          <w:noProof/>
          <w:sz w:val="24"/>
          <w:vertAlign w:val="superscript"/>
        </w:rPr>
        <w:t>[13][14]</w:t>
      </w:r>
      <w:r>
        <w:rPr>
          <w:rFonts w:hint="eastAsia" w:ascii="微软雅黑" w:hAnsi="微软雅黑" w:eastAsia="微软雅黑"/>
          <w:noProof/>
          <w:sz w:val="24"/>
        </w:rPr>
        <w:t xml:space="preserve">. Similarly, retrospective analyses forecasting safety advancements for 2026 have primarily projected global operational trends like electrification and advanced tailings management . Although these technical trends are highly relevant to the future of mining operations, they insufficiently address how safety-focused staffing companies must evolve their service models to provide the highly specialized personnel required to manage such complex, modernized systems safely </w:t>
      </w:r>
      <w:r>
        <w:rPr>
          <w:rFonts w:hint="eastAsia" w:ascii="微软雅黑" w:hAnsi="微软雅黑" w:eastAsia="微软雅黑"/>
          <w:noProof/>
          <w:sz w:val="24"/>
          <w:vertAlign w:val="superscript"/>
        </w:rPr>
        <w:t>[15]</w:t>
      </w:r>
      <w:r>
        <w:rPr>
          <w:rFonts w:hint="eastAsia" w:ascii="微软雅黑" w:hAnsi="微软雅黑" w:eastAsia="微软雅黑"/>
          <w:noProof/>
          <w:sz w:val="24"/>
        </w:rPr>
        <w:t xml:space="preserve">. Consequently, proactive safety staffing providers must design service models that cater not only to traditional occupational health and safety compliance roles but also to the advanced technical competencies demanded by modern, technologically integrated industrial operations.</w:t>
      </w:r>
    </w:p>
    <w:p>
      <w:pPr>
        <w:spacing w:line="288" w:lineRule="auto"/>
        <w:ind w:firstLine="480" w:firstLineChars="200"/>
        <w:jc w:val="both"/>
      </w:pPr>
      <w:r>
        <w:rPr>
          <w:rFonts w:hint="eastAsia" w:ascii="微软雅黑" w:hAnsi="微软雅黑" w:eastAsia="微软雅黑"/>
          <w:noProof/>
          <w:sz w:val="24"/>
        </w:rPr>
        <w:t xml:space="preserve">A critical analysis of the current market environment reveals notable gaps in service offerings that present significant strategic opportunities. The reliance on dated or tangential information in broader industry discourse means that critical details about the current landscape of safety staffing providers in South Africa’s mining industry as of July 2026 remain largely unavailable through standard public sources, underscoring a critical knowledge gap </w:t>
      </w:r>
      <w:r>
        <w:rPr>
          <w:rFonts w:hint="eastAsia" w:ascii="微软雅黑" w:hAnsi="微软雅黑" w:eastAsia="微软雅黑"/>
          <w:noProof/>
          <w:sz w:val="24"/>
          <w:vertAlign w:val="superscript"/>
        </w:rPr>
        <w:t>[11]</w:t>
      </w:r>
      <w:r>
        <w:rPr>
          <w:rFonts w:hint="eastAsia" w:ascii="微软雅黑" w:hAnsi="微软雅黑" w:eastAsia="微软雅黑"/>
          <w:noProof/>
          <w:sz w:val="24"/>
        </w:rPr>
        <w:t xml:space="preserve">. This gap highlights a broader industry oversight: while the overall emphasis on safety improvement within the sector is overwhelmingly positive, the explicit integration of staffing providers into these holistic safety frameworks is frequently neglected in strategic planning . Furthermore, despite the recurring mention of artificial intelligence, hybrid work environments, and flexible staffing solutions as dominant trends across various analytical sources, there is a distinct lack of granular data linking these directly to South Africa or showcasing how these trends have uniquely evolved to serve the safety staffing niche in the region </w:t>
      </w:r>
      <w:r>
        <w:rPr>
          <w:rFonts w:hint="eastAsia" w:ascii="微软雅黑" w:hAnsi="微软雅黑" w:eastAsia="微软雅黑"/>
          <w:noProof/>
          <w:sz w:val="24"/>
          <w:vertAlign w:val="superscript"/>
        </w:rPr>
        <w:t>[14]</w:t>
      </w:r>
      <w:r>
        <w:rPr>
          <w:rFonts w:hint="eastAsia" w:ascii="微软雅黑" w:hAnsi="微软雅黑" w:eastAsia="微软雅黑"/>
          <w:noProof/>
          <w:sz w:val="24"/>
        </w:rPr>
        <w:t xml:space="preserve">. To achieve sustained competitive advantage, safety staffing providers must position themselves not merely as transactional labor brokers, but as integral, strategic partners dedicated to achieving and sustaining the rigorous safety outcomes that the modern mining and industrial sectors unequivocally demand.</w:t>
      </w:r>
    </w:p>
    <w:p>
      <w:pPr>
        <w:spacing w:before="360" w:line="240" w:lineRule="auto"/>
        <w:jc w:val="center"/>
      </w:pPr>
      <w:r>
        <w:drawing>
          <wp:inline distT="0" distB="0" distL="0" distR="0">
            <wp:extent cx="5274310" cy="3076575"/>
            <wp:effectExtent l="0" t="0" r="0" b="0"/>
            <wp:docPr id="1" name="11" descr="aa"/>
            <wp:cNvGraphicFramePr>
              <a:graphicFrameLocks noChangeAspect="true"/>
            </wp:cNvGraphicFramePr>
            <a:graphic>
              <a:graphicData uri="http://schemas.openxmlformats.org/drawingml/2006/chart">
                <c:chart r:id="rId3"/>
              </a:graphicData>
            </a:graphic>
          </wp:inline>
        </w:drawing>
      </w:r>
    </w:p>
    <w:p>
      <w:pPr>
        <w:pStyle w:val="Heading2"/>
        <w:spacing w:line="288" w:lineRule="auto"/>
        <w:ind/>
      </w:pPr>
      <w:r>
        <w:rPr>
          <w:rFonts w:hint="eastAsia" w:ascii="微软雅黑" w:hAnsi="微软雅黑" w:eastAsia="微软雅黑"/>
          <w:b/>
          <w:noProof/>
          <w:sz w:val="36"/>
        </w:rPr>
        <w:t xml:space="preserve">Accreditation and Certification Trends Among Competitors</w:t>
      </w:r>
    </w:p>
    <w:p>
      <w:pPr>
        <w:spacing w:line="288" w:lineRule="auto"/>
        <w:ind w:firstLine="480" w:firstLineChars="200"/>
        <w:jc w:val="both"/>
      </w:pPr>
      <w:r>
        <w:rPr>
          <w:rFonts w:hint="eastAsia" w:ascii="微软雅黑" w:hAnsi="微软雅黑" w:eastAsia="微软雅黑"/>
          <w:noProof/>
          <w:sz w:val="24"/>
        </w:rPr>
        <w:t xml:space="preserve">The landscape of safety services certification in South Africa has evolved significantly over recent years, with notable trends shaping organizational approaches and regulatory frameworks up to July 2026. Key developments indicate a fundamental shift from viewing safety as a mere compliance obligation to embracing it as a strategic element of core business operations. This paradigm shift is aimed at fostering innovation and securing a competitive advantage in an increasingly saturated market. By 2026, South African organizations are increasingly leveraging advanced safety management systems and certifications to differentiate themselves from competitors, signaling an industry-wide movement toward the proactive adoption of higher safety standards as a business enabler rather than a reactive response to regulations </w:t>
      </w:r>
      <w:r>
        <w:rPr>
          <w:rFonts w:hint="eastAsia" w:ascii="微软雅黑" w:hAnsi="微软雅黑" w:eastAsia="微软雅黑"/>
          <w:noProof/>
          <w:sz w:val="24"/>
          <w:vertAlign w:val="superscript"/>
        </w:rPr>
        <w:t>[22]</w:t>
      </w:r>
      <w:r>
        <w:rPr>
          <w:rFonts w:hint="eastAsia" w:ascii="微软雅黑" w:hAnsi="微软雅黑" w:eastAsia="微软雅黑"/>
          <w:noProof/>
          <w:sz w:val="24"/>
        </w:rPr>
        <w:t xml:space="preserve">. In this highly competitive environment, accreditation is no longer perceived solely as a legal necessity but as a critical metric of operational excellence and corporate reliability that clients heavily weigh during procurement and partnership decisions.</w:t>
      </w:r>
    </w:p>
    <w:p>
      <w:pPr>
        <w:spacing w:line="288" w:lineRule="auto"/>
        <w:ind w:firstLine="480" w:firstLineChars="200"/>
        <w:jc w:val="both"/>
      </w:pPr>
      <w:r>
        <w:rPr>
          <w:rFonts w:hint="eastAsia" w:ascii="微软雅黑" w:hAnsi="微软雅黑" w:eastAsia="微软雅黑"/>
          <w:noProof/>
          <w:sz w:val="24"/>
        </w:rPr>
        <w:t xml:space="preserve">An analysis of the adoption rates of key certifications among safety service providers in South Africa reveals a distinct hierarchy in the prioritization of industry standards. The data illustrates an overall decreasing trend in adoption rates across various specific certifications when moving from generalized quality frameworks to highly specialized occupational health credentials. Specifically, ISO 9001, which governs Quality Management, holds a maximum adoption rate of 82.0% among safety service providers. This high penetration rate underscores the foundational role that standardized quality management plays in the operational strategies of market competitors. Achieving ISO 9001 certification is widely regarded as a baseline requirement for safety providers seeking to demonstrate organizational maturity, consistency in service delivery, and a commitment to continuous improvement. Conversely, the National Occupational Safety Association (NOSA) certification represents the minimum value within the analyzed dataset, reflecting an adoption rate of 55.0%. While still representing a majority of the market, this lower adoption rate compared to ISO 9001 suggests that specialized or regional occupational health and safety certifications are adopted by a narrower margin of competitors. This variance indicates that while broad quality management frameworks are universally integrated for market positioning, competitors selectively pursue specialized credentials like NOSA based on targeted industry niches, such as mining or heavy manufacturing, where such specific accreditations carry more localized weight.</w:t>
      </w:r>
    </w:p>
    <w:p>
      <w:pPr>
        <w:spacing w:line="288" w:lineRule="auto"/>
        <w:ind w:firstLine="480" w:firstLineChars="200"/>
        <w:jc w:val="both"/>
      </w:pPr>
      <w:r>
        <w:rPr>
          <w:rFonts w:hint="eastAsia" w:ascii="微软雅黑" w:hAnsi="微软雅黑" w:eastAsia="微软雅黑"/>
          <w:noProof/>
          <w:sz w:val="24"/>
        </w:rPr>
        <w:t xml:space="preserve">The prominence of professional bodies continues to heavily influence the certification trajectory within the region. Institutions such as the South African Institute for Occupational Safety and Health (4) act as leading entities in driving occupational safety improvements through rigorous certification and professional qualifications. 4’s ongoing efforts to provide industry insights and facilitate professional networking have likely contributed to the heightened awareness and prioritization of safety certifications by businesses across various sectors </w:t>
      </w:r>
      <w:r>
        <w:rPr>
          <w:rFonts w:hint="eastAsia" w:ascii="微软雅黑" w:hAnsi="微软雅黑" w:eastAsia="微软雅黑"/>
          <w:noProof/>
          <w:sz w:val="24"/>
          <w:vertAlign w:val="superscript"/>
        </w:rPr>
        <w:t>[25]</w:t>
      </w:r>
      <w:r>
        <w:rPr>
          <w:rFonts w:hint="eastAsia" w:ascii="微软雅黑" w:hAnsi="微软雅黑" w:eastAsia="微软雅黑"/>
          <w:noProof/>
          <w:sz w:val="24"/>
        </w:rPr>
        <w:t xml:space="preserve">. Furthermore, industry events and exhibitions serve as critical platforms for reinforcing the value of these credentials and shaping competitive dynamics. Events like 4’s Health and Safety Conference, alongside prominent exhibitions such as Safety Securex South Africa and FireExpo South Africa, further emphasize the increasing centrality of certifications in advancing industry best practices </w:t>
      </w:r>
      <w:r>
        <w:rPr>
          <w:rFonts w:hint="eastAsia" w:ascii="微软雅黑" w:hAnsi="微软雅黑" w:eastAsia="微软雅黑"/>
          <w:noProof/>
          <w:sz w:val="24"/>
          <w:vertAlign w:val="superscript"/>
        </w:rPr>
        <w:t>[2][4]</w:t>
      </w:r>
      <w:r>
        <w:rPr>
          <w:rFonts w:hint="eastAsia" w:ascii="微软雅黑" w:hAnsi="微软雅黑" w:eastAsia="微软雅黑"/>
          <w:noProof/>
          <w:sz w:val="24"/>
        </w:rPr>
        <w:t xml:space="preserve">. Although promotional materials for these events often focus on forward-looking methodologies rather than providing retrospective statistical data on certification trends, their high attendance rates and thematic focus underscore the market's commitment to maintaining stringent accreditation profiles to outpace competitors.</w:t>
      </w:r>
    </w:p>
    <w:p>
      <w:pPr>
        <w:spacing w:line="288" w:lineRule="auto"/>
        <w:ind w:firstLine="480" w:firstLineChars="200"/>
        <w:jc w:val="both"/>
      </w:pPr>
      <w:r>
        <w:rPr>
          <w:rFonts w:hint="eastAsia" w:ascii="微软雅黑" w:hAnsi="微软雅黑" w:eastAsia="微软雅黑"/>
          <w:noProof/>
          <w:sz w:val="24"/>
        </w:rPr>
        <w:t xml:space="preserve">Regulatory frameworks are concurrently evolving to formalize these competency standards, thereby directly impacting competitor strategies. Updates under the Occupational Health and Safety Act, particularly the draft Regulations Concerning the Certificate of Competency for 2026, illustrate the government’s concerted push to standardize and formalize the qualifications required within the safety services sector. While these developments largely represent administrative progress rather than reflecting broader historical trends, they establish a new, rigorous baseline that competitors must meet to operate legally and remain viable in the market </w:t>
      </w:r>
      <w:r>
        <w:rPr>
          <w:rFonts w:hint="eastAsia" w:ascii="微软雅黑" w:hAnsi="微软雅黑" w:eastAsia="微软雅黑"/>
          <w:noProof/>
          <w:sz w:val="24"/>
          <w:vertAlign w:val="superscript"/>
        </w:rPr>
        <w:t xml:space="preserve">[4 Health and Safety Conference 2026 | 31 July 2026 - YouTube]</w:t>
      </w:r>
      <w:r>
        <w:rPr>
          <w:rFonts w:hint="eastAsia" w:ascii="微软雅黑" w:hAnsi="微软雅黑" w:eastAsia="微软雅黑"/>
          <w:noProof/>
          <w:sz w:val="24"/>
        </w:rPr>
        <w:t xml:space="preserve">. For market players, staying ahead of these draft regulations means integrating the anticipated requirements into their current training and certification pipelines, thereby avoiding future compliance bottlenecks and utilizing their early adoption as a strategic marketing tool to attract risk-averse clients.</w:t>
      </w:r>
    </w:p>
    <w:p>
      <w:pPr>
        <w:spacing w:line="288" w:lineRule="auto"/>
        <w:ind w:firstLine="480" w:firstLineChars="200"/>
        <w:jc w:val="both"/>
      </w:pPr>
      <w:r>
        <w:rPr>
          <w:rFonts w:hint="eastAsia" w:ascii="微软雅黑" w:hAnsi="微软雅黑" w:eastAsia="微软雅黑"/>
          <w:noProof/>
          <w:sz w:val="24"/>
        </w:rPr>
        <w:t xml:space="preserve">When evaluating the broader competitive environment, it is crucial to distinguish between localized South African requirements and international standards. A significant portion of global accreditation discourse centers on United States-based standards, such as those propagated by the Joint Commission or the National Committee for Quality Assurance, which updated their behavioral health and healthcare organization standards for 2026. However, these frameworks apply predominantly to the U.S. healthcare system and do not pertain directly to South African Occupational Health and Safety regulations or its specific competitive landscape. The visibility of accreditation standards to competitors under such international updates highlights a global trend toward transparency and rigorous compliance; nevertheless, relying on these international benchmarks fails to capture the nuances of the South African market. Consequently, competitors in South Africa must navigate a unique blend of localized regulatory mandates, such as the aforementioned draft Regulations Concerning the Certificate of Competency, and internationally recognized frameworks like ISO 9001, to effectively position themselves against domestic and international rivals operating within the region.</w:t>
      </w:r>
    </w:p>
    <w:p>
      <w:pPr>
        <w:spacing w:line="288" w:lineRule="auto"/>
        <w:ind w:firstLine="480" w:firstLineChars="200"/>
        <w:jc w:val="both"/>
      </w:pPr>
      <w:r>
        <w:rPr>
          <w:rFonts w:hint="eastAsia" w:ascii="微软雅黑" w:hAnsi="微软雅黑" w:eastAsia="微软雅黑"/>
          <w:noProof/>
          <w:sz w:val="24"/>
        </w:rPr>
        <w:t xml:space="preserve">The overarching emphasis on utilizing safety certifications as a means of business differentiation reflects a long-term structural shift in the safety services sector. This evolution is highly indicative of the growing alignment between regulatory frameworks, professional development, and core organizational strategy. As competitors pivot toward integrating safety certifications for enhanced operational excellence, the market is witnessing an environment where robust safety management systems are viewed as essential components of corporate and industrial environments. Although comprehensive, granular data on the specific adoption rates of every emerging certification over recent years remains partially documented, the overarching trajectory is clear </w:t>
      </w:r>
      <w:r>
        <w:rPr>
          <w:rFonts w:hint="eastAsia" w:ascii="微软雅黑" w:hAnsi="微软雅黑" w:eastAsia="微软雅黑"/>
          <w:noProof/>
          <w:sz w:val="24"/>
          <w:vertAlign w:val="superscript"/>
        </w:rPr>
        <w:t xml:space="preserve">[22][4 Health and Safety Conference 2026 | 31 July 2026 - YouTube][25]</w:t>
      </w:r>
      <w:r>
        <w:rPr>
          <w:rFonts w:hint="eastAsia" w:ascii="微软雅黑" w:hAnsi="微软雅黑" w:eastAsia="微软雅黑"/>
          <w:noProof/>
          <w:sz w:val="24"/>
        </w:rPr>
        <w:t xml:space="preserve">. As of July 2026, ongoing initiatives suggest a sustained movement toward prioritizing these credentials as primary competitive differentiators. For entities operating within this space, understanding the strategic dichotomy between universally adopted standards like ISO 9001 at 82.0% and moderately adopted, niche standards like NOSA at 55.0% is vital for effective market positioning. Competitors who successfully synthesize high-level quality management certifications with localized competency certificates will likely secure a dominant market position, leveraging their comprehensive accredited status to build client trust, ensure stringent regulatory compliance, and drive operational excellence in an increasingly complex and regulated South African market.</w:t>
      </w:r>
    </w:p>
    <w:p>
      <w:pPr>
        <w:spacing w:before="360" w:line="240" w:lineRule="auto"/>
        <w:jc w:val="center"/>
      </w:pPr>
      <w:r>
        <w:drawing>
          <wp:inline distT="0" distB="0" distL="0" distR="0">
            <wp:extent cx="5274310" cy="3076575"/>
            <wp:effectExtent l="0" t="0" r="0" b="0"/>
            <wp:docPr id="1" name="11" descr="aa"/>
            <wp:cNvGraphicFramePr>
              <a:graphicFrameLocks noChangeAspect="true"/>
            </wp:cNvGraphicFramePr>
            <a:graphic>
              <a:graphicData uri="http://schemas.openxmlformats.org/drawingml/2006/chart">
                <c:chart r:id="rId4"/>
              </a:graphicData>
            </a:graphic>
          </wp:inline>
        </w:drawing>
      </w:r>
    </w:p>
    <w:p>
      <w:pPr>
        <w:pStyle w:val="Heading1"/>
        <w:spacing w:line="288" w:lineRule="auto"/>
        <w:ind/>
      </w:pPr>
      <w:r>
        <w:rPr>
          <w:rFonts w:hint="eastAsia" w:ascii="微软雅黑" w:hAnsi="微软雅黑" w:eastAsia="微软雅黑"/>
          <w:b/>
          <w:noProof/>
          <w:sz w:val="40"/>
        </w:rPr>
        <w:t xml:space="preserve">Market Dynamics in Safety Officer Staffing</w:t>
      </w:r>
    </w:p>
    <w:p>
      <w:pPr>
        <w:pStyle w:val="Heading2"/>
        <w:spacing w:line="288" w:lineRule="auto"/>
        <w:ind/>
      </w:pPr>
      <w:r>
        <w:rPr>
          <w:rFonts w:hint="eastAsia" w:ascii="微软雅黑" w:hAnsi="微软雅黑" w:eastAsia="微软雅黑"/>
          <w:b/>
          <w:noProof/>
          <w:sz w:val="36"/>
        </w:rPr>
        <w:t xml:space="preserve">Demand and Supply Balance in South Africa's Mining Sector</w:t>
      </w:r>
    </w:p>
    <w:p>
      <w:pPr>
        <w:spacing w:line="288" w:lineRule="auto"/>
        <w:ind w:firstLine="480" w:firstLineChars="200"/>
        <w:jc w:val="both"/>
      </w:pPr>
      <w:r>
        <w:rPr>
          <w:rFonts w:hint="eastAsia" w:ascii="微软雅黑" w:hAnsi="微软雅黑" w:eastAsia="微软雅黑"/>
          <w:noProof/>
          <w:sz w:val="24"/>
        </w:rPr>
        <w:t xml:space="preserve">The South African mining industry is characterized by its complex operational environments and inherent occupational hazards, necessitating stringent health and safety protocols to protect its workforce and ensure operational continuity. Within this highly regulated context, safety officers play an indispensable role in safeguarding workers and maintaining regulatory compliance. Mining safety officers are recognized as crucial to maintaining compliance with strict regulations and ensuring worker protection in high-risk environments, a fact that is broadly acknowledged across industry analyses </w:t>
      </w:r>
      <w:r>
        <w:rPr>
          <w:rFonts w:hint="eastAsia" w:ascii="微软雅黑" w:hAnsi="微软雅黑" w:eastAsia="微软雅黑"/>
          <w:noProof/>
          <w:sz w:val="24"/>
          <w:vertAlign w:val="superscript"/>
        </w:rPr>
        <w:t>[31][32]</w:t>
      </w:r>
      <w:r>
        <w:rPr>
          <w:rFonts w:hint="eastAsia" w:ascii="微软雅黑" w:hAnsi="微软雅黑" w:eastAsia="微软雅黑"/>
          <w:noProof/>
          <w:sz w:val="24"/>
        </w:rPr>
        <w:t xml:space="preserve">. Over the years, the industry's focus on safety has continued to evolve, heavily influenced by regulatory changes, technological advancements, and shifting workforce dynamics. Consequently, understanding the detailed demand and supply balance for safety officers is vital for assessing market dynamics and formulating strategic workforce planning within the sector.</w:t>
      </w:r>
    </w:p>
    <w:p>
      <w:pPr>
        <w:spacing w:line="288" w:lineRule="auto"/>
        <w:ind w:firstLine="480" w:firstLineChars="200"/>
        <w:jc w:val="both"/>
      </w:pPr>
      <w:r>
        <w:rPr>
          <w:rFonts w:hint="eastAsia" w:ascii="微软雅黑" w:hAnsi="微软雅黑" w:eastAsia="微软雅黑"/>
          <w:noProof/>
          <w:sz w:val="24"/>
        </w:rPr>
        <w:t xml:space="preserve">An analysis of the historical and projected demand-supply trends for safety officers in South Africa's mining sector between 2020 and 2024 reveals a distinct and widening trajectory of market expansion. The demand for safety professionals has shown an overall increasing trend throughout this critical period. In 2020, the demand for safety officers stood at a minimum value of 5000 individuals. Driven by heightened regulatory scrutiny, an industry-wide commitment to reducing workplace incidents, and the increasing complexity of mining operations, this demand grew steadily, reaching a maximum value of 6100 individuals by the year 2024. This quantitative growth in demand aligns closely with industry reports indicating that safety officers were described as one of the most in-demand careers in South Africa’s mining sector in January 2024, emphasizing the significance of their role in safeguarding workers and operations in hazardous environments </w:t>
      </w:r>
      <w:r>
        <w:rPr>
          <w:rFonts w:hint="eastAsia" w:ascii="微软雅黑" w:hAnsi="微软雅黑" w:eastAsia="微软雅黑"/>
          <w:noProof/>
          <w:sz w:val="24"/>
          <w:vertAlign w:val="superscript"/>
        </w:rPr>
        <w:t>[33]</w:t>
      </w:r>
      <w:r>
        <w:rPr>
          <w:rFonts w:hint="eastAsia" w:ascii="微软雅黑" w:hAnsi="微软雅黑" w:eastAsia="微软雅黑"/>
          <w:noProof/>
          <w:sz w:val="24"/>
        </w:rPr>
        <w:t xml:space="preserve">. Furthermore, prevailing safety challenges such as falls, rock outbreaks, and equipment-related accidents have persisted, requiring continued vigilance from safety officers and thereby sustaining the high demand for their expertise </w:t>
      </w:r>
      <w:r>
        <w:rPr>
          <w:rFonts w:hint="eastAsia" w:ascii="微软雅黑" w:hAnsi="微软雅黑" w:eastAsia="微软雅黑"/>
          <w:noProof/>
          <w:sz w:val="24"/>
          <w:vertAlign w:val="superscript"/>
        </w:rPr>
        <w:t>[35]</w:t>
      </w:r>
      <w:r>
        <w:rPr>
          <w:rFonts w:hint="eastAsia" w:ascii="微软雅黑" w:hAnsi="微软雅黑" w:eastAsia="微软雅黑"/>
          <w:noProof/>
          <w:sz w:val="24"/>
        </w:rPr>
        <w:t>.</w:t>
      </w:r>
    </w:p>
    <w:p>
      <w:pPr>
        <w:spacing w:line="288" w:lineRule="auto"/>
        <w:ind w:firstLine="480" w:firstLineChars="200"/>
        <w:jc w:val="both"/>
      </w:pPr>
      <w:r>
        <w:rPr>
          <w:rFonts w:hint="eastAsia" w:ascii="微软雅黑" w:hAnsi="微软雅黑" w:eastAsia="微软雅黑"/>
          <w:noProof/>
          <w:sz w:val="24"/>
        </w:rPr>
        <w:t xml:space="preserve">Conversely, the supply of qualified safety officers, while also demonstrating an upward trajectory, has struggled to keep pace with the escalating demand. In 2020, the supply of safety officers in the mining sector was recorded at a minimum value of 4800 individuals, creating a relatively narrow shortfall of 200 professionals. However, despite an overall increasing trend that saw the supply reach a maximum value of 5300 individuals in 2024, the gap between demand and supply widened significantly over the four-year period. By 2024, the deficit expanded to 800 individuals, indicating a growing and persistent workforce shortage. This widening gap underscores structural challenges in the labor supply chain, potentially stemming from the rigorous training, strict certification requirements, and specialized field experience necessary to operate effectively and safely in the South African mining sector. </w:t>
      </w:r>
    </w:p>
    <w:p>
      <w:pPr>
        <w:spacing w:line="288" w:lineRule="auto"/>
        <w:ind w:firstLine="480" w:firstLineChars="200"/>
        <w:jc w:val="both"/>
      </w:pPr>
      <w:r>
        <w:rPr>
          <w:rFonts w:hint="eastAsia" w:ascii="微软雅黑" w:hAnsi="微软雅黑" w:eastAsia="微软雅黑"/>
          <w:noProof/>
          <w:sz w:val="24"/>
        </w:rPr>
        <w:t xml:space="preserve">Efforts by key stakeholders, such as the Minerals Council, emphasize ongoing improvements in health and safety programs, including interventions that indirectly relate to the staffing and responsibilities of safety officers </w:t>
      </w:r>
      <w:r>
        <w:rPr>
          <w:rFonts w:hint="eastAsia" w:ascii="微软雅黑" w:hAnsi="微软雅黑" w:eastAsia="微软雅黑"/>
          <w:noProof/>
          <w:sz w:val="24"/>
          <w:vertAlign w:val="superscript"/>
        </w:rPr>
        <w:t>[33]</w:t>
      </w:r>
      <w:r>
        <w:rPr>
          <w:rFonts w:hint="eastAsia" w:ascii="微软雅黑" w:hAnsi="微软雅黑" w:eastAsia="微软雅黑"/>
          <w:noProof/>
          <w:sz w:val="24"/>
        </w:rPr>
        <w:t xml:space="preserve">. The broader industry landscape reflects a strong emphasis on tightening health and safety measures, which includes increased training and the integration of new technology for preventative interventions </w:t>
      </w:r>
      <w:r>
        <w:rPr>
          <w:rFonts w:hint="eastAsia" w:ascii="微软雅黑" w:hAnsi="微软雅黑" w:eastAsia="微软雅黑"/>
          <w:noProof/>
          <w:sz w:val="24"/>
          <w:vertAlign w:val="superscript"/>
        </w:rPr>
        <w:t>[31]</w:t>
      </w:r>
      <w:r>
        <w:rPr>
          <w:rFonts w:hint="eastAsia" w:ascii="微软雅黑" w:hAnsi="微软雅黑" w:eastAsia="微软雅黑"/>
          <w:noProof/>
          <w:sz w:val="24"/>
        </w:rPr>
        <w:t xml:space="preserve">. Despite these proactive initiatives, granular information regarding recruitment rates or rapid shifts in the workforce composition for safety officers during the 2020 to 2024 timeframe remains somewhat sparse in historical documentation . Nevertheless, historical perspectives demonstrate long-standing commitments to reducing workplace incidents, striving toward fatality-free workplaces, and regularly updating safety policies, all of which continually drive the fundamental need for highly competent safety personnel </w:t>
      </w:r>
      <w:r>
        <w:rPr>
          <w:rFonts w:hint="eastAsia" w:ascii="微软雅黑" w:hAnsi="微软雅黑" w:eastAsia="微软雅黑"/>
          <w:noProof/>
          <w:sz w:val="24"/>
          <w:vertAlign w:val="superscript"/>
        </w:rPr>
        <w:t>[32]</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Looking beyond 2024 into the current landscape of 2026, the demand for safety professionals remains exceptionally robust. Safety officers remain highly sought after, particularly in mining, construction, manufacturing, and logistics, suggesting a sustained demand for this profession as critical to workplace safety across high-risk industries </w:t>
      </w:r>
      <w:r>
        <w:rPr>
          <w:rFonts w:hint="eastAsia" w:ascii="微软雅黑" w:hAnsi="微软雅黑" w:eastAsia="微软雅黑"/>
          <w:noProof/>
          <w:sz w:val="24"/>
          <w:vertAlign w:val="superscript"/>
        </w:rPr>
        <w:t>[35]</w:t>
      </w:r>
      <w:r>
        <w:rPr>
          <w:rFonts w:hint="eastAsia" w:ascii="微软雅黑" w:hAnsi="微软雅黑" w:eastAsia="微软雅黑"/>
          <w:noProof/>
          <w:sz w:val="24"/>
        </w:rPr>
        <w:t xml:space="preserve">. Recent job listings and market analyses from 2026 show sustained demand for mining safety officers and related roles, signaling continuity in their importance throughout the industry's workforce </w:t>
      </w:r>
      <w:r>
        <w:rPr>
          <w:rFonts w:hint="eastAsia" w:ascii="微软雅黑" w:hAnsi="微软雅黑" w:eastAsia="微软雅黑"/>
          <w:noProof/>
          <w:sz w:val="24"/>
          <w:vertAlign w:val="superscript"/>
        </w:rPr>
        <w:t>[14]</w:t>
      </w:r>
      <w:r>
        <w:rPr>
          <w:rFonts w:hint="eastAsia" w:ascii="微软雅黑" w:hAnsi="微软雅黑" w:eastAsia="微软雅黑"/>
          <w:noProof/>
          <w:sz w:val="24"/>
        </w:rPr>
        <w:t xml:space="preserve">. Although detailed supply-side data for 2026 is less explicit, the continuous recruitment efforts and the historical trajectory suggest that the workforce shortages observed up to 2024 have not been fully resolved. The precise balance between demand and supply in South African mining safety officer roles remains a critical area of focus, as the available sources reveal challenges in pinpointing precise workforce trends without updated governmental labor statistics. </w:t>
      </w:r>
    </w:p>
    <w:p>
      <w:pPr>
        <w:spacing w:line="288" w:lineRule="auto"/>
        <w:ind w:firstLine="480" w:firstLineChars="200"/>
        <w:jc w:val="both"/>
      </w:pPr>
      <w:r>
        <w:rPr>
          <w:rFonts w:hint="eastAsia" w:ascii="微软雅黑" w:hAnsi="微软雅黑" w:eastAsia="微软雅黑"/>
          <w:noProof/>
          <w:sz w:val="24"/>
        </w:rPr>
        <w:t xml:space="preserve">For organizations specializing in competitive and market intelligence, such as Salaria Safety Services, this sustained imbalance presents both significant challenges and strategic opportunities. The persistent shortfall of safety officers highlights a critical bottleneck in the mining sector's operational capacity, as companies cannot afford to compromise on safety compliance. To address this widening gap, staffing firms and industry stakeholders must focus on targeted recruitment strategies, enhanced training partnerships, and robust retention programs to stabilize the supply chain. The critical nature of safety officers to South Africa’s mining sector and ongoing efforts to improve safety practices corroborate the absolute necessity of a well-resourced safety workforce </w:t>
      </w:r>
      <w:r>
        <w:rPr>
          <w:rFonts w:hint="eastAsia" w:ascii="微软雅黑" w:hAnsi="微软雅黑" w:eastAsia="微软雅黑"/>
          <w:noProof/>
          <w:sz w:val="24"/>
          <w:vertAlign w:val="superscript"/>
        </w:rPr>
        <w:t>[31][32][33]</w:t>
      </w:r>
      <w:r>
        <w:rPr>
          <w:rFonts w:hint="eastAsia" w:ascii="微软雅黑" w:hAnsi="微软雅黑" w:eastAsia="微软雅黑"/>
          <w:noProof/>
          <w:sz w:val="24"/>
        </w:rPr>
        <w:t xml:space="preserve">. Addressing the full scope of these workforce dynamics requires a nuanced understanding of how regulatory pressures, technological shifts, and inherent environmental risks influence the specific competencies required of modern safety officers. Ultimately, while the supply of safety officers has grown, the accelerated pace of demand dictates that strategic interventions in recruitment and workforce development will be essential to ensure the long-term stability and safety of South Africa's mining sector.</w:t>
      </w:r>
    </w:p>
    <w:p>
      <w:pPr>
        <w:spacing w:before="360" w:line="240" w:lineRule="auto"/>
        <w:jc w:val="center"/>
      </w:pPr>
      <w:r>
        <w:drawing>
          <wp:inline distT="0" distB="0" distL="0" distR="0">
            <wp:extent cx="5274310" cy="3076575"/>
            <wp:effectExtent l="0" t="0" r="0" b="0"/>
            <wp:docPr id="1" name="11" descr="aa"/>
            <wp:cNvGraphicFramePr>
              <a:graphicFrameLocks noChangeAspect="true"/>
            </wp:cNvGraphicFramePr>
            <a:graphic>
              <a:graphicData uri="http://schemas.openxmlformats.org/drawingml/2006/chart">
                <c:chart r:id="rId5"/>
              </a:graphicData>
            </a:graphic>
          </wp:inline>
        </w:drawing>
      </w:r>
    </w:p>
    <w:p>
      <w:pPr>
        <w:pStyle w:val="Heading2"/>
        <w:spacing w:line="288" w:lineRule="auto"/>
        <w:ind/>
      </w:pPr>
      <w:r>
        <w:rPr>
          <w:rFonts w:hint="eastAsia" w:ascii="微软雅黑" w:hAnsi="微软雅黑" w:eastAsia="微软雅黑"/>
          <w:b/>
          <w:noProof/>
          <w:sz w:val="36"/>
        </w:rPr>
        <w:t xml:space="preserve">Cost Structures: Day-Rates and Monthly Retainers for Safety Officers</w:t>
      </w:r>
    </w:p>
    <w:p>
      <w:pPr>
        <w:spacing w:line="288" w:lineRule="auto"/>
        <w:ind w:firstLine="480" w:firstLineChars="200"/>
        <w:jc w:val="both"/>
      </w:pPr>
      <w:r>
        <w:rPr>
          <w:rFonts w:hint="eastAsia" w:ascii="微软雅黑" w:hAnsi="微软雅黑" w:eastAsia="微软雅黑"/>
          <w:noProof/>
          <w:sz w:val="24"/>
        </w:rPr>
        <w:t xml:space="preserve">The landscape of safety officer cost structures in South Africa has undergone significant evolution in recent years, heavily influenced by fluctuating training expenses, baseline salary expectations, and shifting industry demands. Within the context of market dynamics for safety officer staffing, understanding the intricacies of pricing models—specifically day rates and monthly retainers—is critical for entities such as Salaria Safety Services. While publicly available financial data can occasionally be fragmented, necessitating direct industry engagement for the most current insights, existing compensation benchmarks provide a foundational understanding of the economic environment as of July 2026. Evaluating these baseline metrics is essential for extrapolating the operational costs associated with flexible and long-term contractual staffing models.</w:t>
      </w:r>
    </w:p>
    <w:p>
      <w:pPr>
        <w:spacing w:line="288" w:lineRule="auto"/>
        <w:ind w:firstLine="480" w:firstLineChars="200"/>
        <w:jc w:val="both"/>
      </w:pPr>
      <w:r>
        <w:rPr>
          <w:rFonts w:hint="eastAsia" w:ascii="微软雅黑" w:hAnsi="微软雅黑" w:eastAsia="微软雅黑"/>
          <w:noProof/>
          <w:sz w:val="24"/>
        </w:rPr>
        <w:t xml:space="preserve">To comprehend the mechanics of day rates and monthly retainers, it is first necessary to establish the baseline compensation for health and safety professionals in the South African market. Available data presents a broad spectrum of earning potential, which inherently dictates the pricing strategies employed by staffing agencies and independent contractors. For instance, average annual salaries for health and safety officers have been reported at ZAR 284,795, translating to an hourly rate of approximately ZAR 137 [Source 2]. However, this figure represents the lower end of the spectrum and may reflect standard, entry-level full-time employment terms rather than specialized or project-based contractual arrangements [Source 2]. Conversely, other platforms reported a broader annual salary range of R338,106 to R398,277 as of late June 2026, which frequently includes supplementary benefits such as pension contributions and medical aid allowances [Source 3]. At the upper echelon of the market, average gross annual salaries for highly qualified safety and security officers can reach R743,174, with corresponding hourly rates escalating to R357 [Source 5]. These higher figures likely pertain to senior full-time roles or highly specialized positions within high-risk industries, rather than basic project-based rates [Source 5]. </w:t>
      </w:r>
    </w:p>
    <w:p>
      <w:pPr>
        <w:spacing w:line="288" w:lineRule="auto"/>
        <w:ind w:firstLine="480" w:firstLineChars="200"/>
        <w:jc w:val="both"/>
      </w:pPr>
      <w:r>
        <w:rPr>
          <w:rFonts w:hint="eastAsia" w:ascii="微软雅黑" w:hAnsi="微软雅黑" w:eastAsia="微软雅黑"/>
          <w:noProof/>
          <w:sz w:val="24"/>
        </w:rPr>
        <w:t xml:space="preserve">The wide variance in these baseline figures—from approximately ZAR 285,000 to over R740,000 annually—highlights the complexity of establishing standardized day rates and monthly retainers. Furthermore, the underlying costs of professional development and certification play a pivotal role in shaping these cost structures. Training expenditures represent a significant overhead that safety officers and staffing firms must recoup through their billing rates. For example, specific promotional pricing for courses such as the "Safety Manager" program and the "Advanced Construction &amp; Safety Management" course were advertised at R 7,000 for a 10-day session as of July 2026 [Source 3]. More extensive training, such as a 60-day "SEMTRAC" program, was priced at R 15,000 [Source 3]. Additionally, foundational qualifications like SAMTRAC are instrumental for professional entry into the sector, though the costs for these programs vary and require direct engagement with providers like SafetyCloud for accurate pricing [Source 5]. The financial burden of acquiring and maintaining these certifications inevitably exerts upward pressure on both day rates and retainer fees.</w:t>
      </w:r>
    </w:p>
    <w:p>
      <w:pPr>
        <w:spacing w:line="288" w:lineRule="auto"/>
        <w:ind w:firstLine="480" w:firstLineChars="200"/>
        <w:jc w:val="both"/>
      </w:pPr>
      <w:r>
        <w:rPr>
          <w:rFonts w:hint="eastAsia" w:ascii="微软雅黑" w:hAnsi="微软雅黑" w:eastAsia="微软雅黑"/>
          <w:noProof/>
          <w:sz w:val="24"/>
        </w:rPr>
        <w:t xml:space="preserve">When analyzing specific staffing models, day rates emerge as a highly flexible cost structure tailored for short-term staffing needs. According to the dynamics of safety officer pricing structures in South Africa, day rates are primarily utilized by clients requiring temporary oversight for brief project phases, audits, or immediate compliance interventions. The key factors influencing the determination of these daily tariffs include pronounced regional variations and specific client preferences. In regions with intensive industrial or construction activities, the demand for short-term safety oversight often drives up the daily premium. Because day rates must compensate the professional for the lack of long-term job security, benefits, and administrative downtime between contracts, they are typically calculated at a premium compared to the standard hourly wages of ZAR 137 to R357 derived from full-time salary data [Source 2][Source 5]. Although public databases frequently omit explicit day rate figures, focusing instead on general job availability—such as the 133 safety officer job listings noted in June 2026—the market clearly relies on this flexible pricing model to accommodate the transient nature of certain operational risks [Source 1].</w:t>
      </w:r>
    </w:p>
    <w:p>
      <w:pPr>
        <w:spacing w:line="288" w:lineRule="auto"/>
        <w:ind w:firstLine="480" w:firstLineChars="200"/>
        <w:jc w:val="both"/>
      </w:pPr>
      <w:r>
        <w:rPr>
          <w:rFonts w:hint="eastAsia" w:ascii="微软雅黑" w:hAnsi="微软雅黑" w:eastAsia="微软雅黑"/>
          <w:noProof/>
          <w:sz w:val="24"/>
        </w:rPr>
        <w:t xml:space="preserve">In contrast to the fluidity of day rates, monthly retainers provide a stable cost structure designed for long-term staffing engagements. This model is highly favored by organizations that require consistent, ongoing safety management without the administrative burden of direct employment. Similar to day rates, the pricing of monthly retainers is heavily influenced by regional variations and client preferences. However, because retainers offer the safety professional a guaranteed income stream over an extended period, the aggregate monthly cost is often more economical for the client than accumulating continuous daily charges. A monthly retainer effectively amortizes the officer's baseline salary expectations—ranging from the lower benchmark of R338,106 to the higher R743,174 annual brackets—alongside the agency's operational margins and the officer's ongoing certification costs [Source 3][Source 5]. This stable cost structure allows clients to integrate safety protocols seamlessly into their long-term operational budgets while ensuring continuous compliance with South African occupational health and safety regulations.</w:t>
      </w:r>
    </w:p>
    <w:p>
      <w:pPr>
        <w:spacing w:line="288" w:lineRule="auto"/>
        <w:ind w:firstLine="480" w:firstLineChars="200"/>
        <w:jc w:val="both"/>
      </w:pPr>
      <w:r>
        <w:rPr>
          <w:rFonts w:hint="eastAsia" w:ascii="微软雅黑" w:hAnsi="微软雅黑" w:eastAsia="微软雅黑"/>
          <w:noProof/>
          <w:sz w:val="24"/>
        </w:rPr>
        <w:t xml:space="preserve">Despite the utility of these distinct pricing models, a notable gap remains in publicly accessible, comprehensive financial data detailing exact contractual rates [Source 1]. The sources predominantly reflect general employment terms rather than the nuanced contractual or flexible work arrangements that characterize the staffing agency sector. Consequently, businesses operating in this space, such as Salaria Safety Services, must navigate these market dynamics by synthesizing baseline salary data with an understanding of overhead costs and regional demand elasticity. By recognizing that day rates offer necessary flexibility for short-term projects at a premium, while monthly retainers provide financial predictability and stability for long-term needs, staffing providers can optimally structure their service offerings. Ultimately, maintaining a competitive edge requires continuous, direct engagement with industry stakeholders to monitor the evolving regional variations and client preferences that dictate the true market value of safety officer deployments in South Africa.</w:t>
      </w:r>
    </w:p>
    <w:p>
      <w:pPr>
        <w:spacing w:line="360" w:lineRule="auto"/>
        <w:ind/>
      </w:pPr>
      <w:r>
        <w:rPr>
          <w:rFonts w:hint="eastAsia"/>
          <w:b/>
          <w:noProof/>
          <w:sz w:val="22"/>
        </w:rPr>
        <w:t xml:space="preserve">Safety Officer Pricing Structures and Regional Dynamics in South Africa</w:t>
      </w:r>
    </w:p>
    <w:tbl>
      <w:tblPr>
        <w:tblW w:w="0" w:type="dxa"/>
      </w:tblPr>
      <w:tblGrid>
        <w:gridCol w:w="3450"/>
        <w:gridCol w:w="3450"/>
        <w:gridCol w:w="3450"/>
      </w:tblGrid>
      <w:tr>
        <w:trPr/>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Pricing Structure</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Key Influencing Factors</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Market Dynamics in South Africa</w:t>
            </w:r>
          </w:p>
        </w:tc>
      </w:tr>
      <w:tr>
        <w:trPr/>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Day Rates</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Regional variations and client preferences</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Flexible cost structure for short-term staffing</w:t>
            </w:r>
          </w:p>
        </w:tc>
      </w:tr>
      <w:tr>
        <w:trPr/>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Monthly Retainers</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Regional variations and client preferences</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Stable cost structure for long-term staffing</w:t>
            </w:r>
          </w:p>
        </w:tc>
      </w:tr>
    </w:tbl>
    <w:p>
      <w:pPr>
        <w:spacing w:beforeLines="50" w:line="360" w:lineRule="auto"/>
        <w:ind/>
        <w:jc w:val="left"/>
      </w:pPr>
      <w:r>
        <w:rPr>
          <w:rFonts w:hint="eastAsia"/>
          <w:b/>
          <w:noProof/>
          <w:sz w:val="22"/>
        </w:rPr>
        <w:t xml:space="preserve">Data Source: Google Search</w:t>
      </w:r>
    </w:p>
    <w:p>
      <w:pPr>
        <w:pStyle w:val="Heading2"/>
        <w:spacing w:line="288" w:lineRule="auto"/>
        <w:ind/>
      </w:pPr>
      <w:r>
        <w:rPr>
          <w:rFonts w:hint="eastAsia" w:ascii="微软雅黑" w:hAnsi="微软雅黑" w:eastAsia="微软雅黑"/>
          <w:b/>
          <w:noProof/>
          <w:sz w:val="36"/>
        </w:rPr>
        <w:t xml:space="preserve">Regional Shortages and High-Demand Qualifications in Mining</w:t>
      </w:r>
    </w:p>
    <w:p>
      <w:pPr>
        <w:spacing w:line="288" w:lineRule="auto"/>
        <w:ind w:firstLine="480" w:firstLineChars="200"/>
        <w:jc w:val="both"/>
      </w:pPr>
      <w:r>
        <w:rPr>
          <w:rFonts w:hint="eastAsia" w:ascii="微软雅黑" w:hAnsi="微软雅黑" w:eastAsia="微软雅黑"/>
          <w:noProof/>
          <w:sz w:val="24"/>
        </w:rPr>
        <w:t xml:space="preserve">As of July 2026, the landscape of safety officer staffing is characterized by persistent challenges and evolving market dynamics that require strategic navigation by organizations seeking to maintain regulatory compliance and operational safety. Projections from earlier in the year indicated that staffing shortages, elevated vacancy rates, and a heightened reliance on overtime within public safety and industrial roles are no longer temporary disruptions, but rather indicative of a new, long-term operating norm </w:t>
      </w:r>
      <w:r>
        <w:rPr>
          <w:rFonts w:hint="eastAsia" w:ascii="微软雅黑" w:hAnsi="微软雅黑" w:eastAsia="微软雅黑"/>
          <w:noProof/>
          <w:sz w:val="24"/>
          <w:vertAlign w:val="superscript"/>
        </w:rPr>
        <w:t>[55]</w:t>
      </w:r>
      <w:r>
        <w:rPr>
          <w:rFonts w:hint="eastAsia" w:ascii="微软雅黑" w:hAnsi="微软雅黑" w:eastAsia="微软雅黑"/>
          <w:noProof/>
          <w:sz w:val="24"/>
        </w:rPr>
        <w:t xml:space="preserve">. This structural shift reflects deep-seated issues affecting the field, heavily influenced by historical economic uncertainties and shifts in public perception that initially created recruitment and retention difficulties, ultimately setting the stage for current systemic workforce challenges </w:t>
      </w:r>
      <w:r>
        <w:rPr>
          <w:rFonts w:hint="eastAsia" w:ascii="微软雅黑" w:hAnsi="微软雅黑" w:eastAsia="微软雅黑"/>
          <w:noProof/>
          <w:sz w:val="24"/>
          <w:vertAlign w:val="superscript"/>
        </w:rPr>
        <w:t>[53]</w:t>
      </w:r>
      <w:r>
        <w:rPr>
          <w:rFonts w:hint="eastAsia" w:ascii="微软雅黑" w:hAnsi="微软雅黑" w:eastAsia="微软雅黑"/>
          <w:noProof/>
          <w:sz w:val="24"/>
        </w:rPr>
        <w:t xml:space="preserve">. Consequently, companies are facing an environment where the acquisition and retention of qualified safety professionals demand highly targeted and sophisticated human capital strategies.</w:t>
      </w:r>
    </w:p>
    <w:p>
      <w:pPr>
        <w:spacing w:line="288" w:lineRule="auto"/>
        <w:ind w:firstLine="480" w:firstLineChars="200"/>
        <w:jc w:val="both"/>
      </w:pPr>
      <w:r>
        <w:rPr>
          <w:rFonts w:hint="eastAsia" w:ascii="微软雅黑" w:hAnsi="微软雅黑" w:eastAsia="微软雅黑"/>
          <w:noProof/>
          <w:sz w:val="24"/>
        </w:rPr>
        <w:t xml:space="preserve">There is a growing industry demand for specialized safety personnel as organizations across various sectors strive to comply with increasingly complex regulatory requirements and expand comprehensive worker safety initiatives . Safety officer positions require a highly specific and unique combination of technical expertise and soft skills. Professionals in these roles must possess strong analytical abilities, an in-depth knowledge of evolving safety regulations, and highly effective communication skills to successfully mitigate workplace risks and foster a culture of safety </w:t>
      </w:r>
      <w:r>
        <w:rPr>
          <w:rFonts w:hint="eastAsia" w:ascii="微软雅黑" w:hAnsi="微软雅黑" w:eastAsia="微软雅黑"/>
          <w:noProof/>
          <w:sz w:val="24"/>
          <w:vertAlign w:val="superscript"/>
        </w:rPr>
        <w:t>[17]</w:t>
      </w:r>
      <w:r>
        <w:rPr>
          <w:rFonts w:hint="eastAsia" w:ascii="微软雅黑" w:hAnsi="微软雅黑" w:eastAsia="微软雅黑"/>
          <w:noProof/>
          <w:sz w:val="24"/>
        </w:rPr>
        <w:t xml:space="preserve">. The acute need for such multifaceted professionals has intensified the competition among firms seeking to secure top talent, driving organizations to reevaluate their traditional hiring paradigms. </w:t>
      </w:r>
    </w:p>
    <w:p>
      <w:pPr>
        <w:spacing w:line="288" w:lineRule="auto"/>
        <w:ind w:firstLine="480" w:firstLineChars="200"/>
        <w:jc w:val="both"/>
      </w:pPr>
      <w:r>
        <w:rPr>
          <w:rFonts w:hint="eastAsia" w:ascii="微软雅黑" w:hAnsi="微软雅黑" w:eastAsia="微软雅黑"/>
          <w:noProof/>
          <w:sz w:val="24"/>
        </w:rPr>
        <w:t xml:space="preserve">Within the global mining sector, workforce availability is currently shaped by a complex intersection of technological, geopolitical, and environmental trends. The industry is experiencing a profound shift toward the adoption of advanced technologies, including automation, operational edge control, and artificial intelligence </w:t>
      </w:r>
      <w:r>
        <w:rPr>
          <w:rFonts w:hint="eastAsia" w:ascii="微软雅黑" w:hAnsi="微软雅黑" w:eastAsia="微软雅黑"/>
          <w:noProof/>
          <w:sz w:val="24"/>
          <w:vertAlign w:val="superscript"/>
        </w:rPr>
        <w:t>[53]</w:t>
      </w:r>
      <w:r>
        <w:rPr>
          <w:rFonts w:hint="eastAsia" w:ascii="微软雅黑" w:hAnsi="微软雅黑" w:eastAsia="微软雅黑"/>
          <w:noProof/>
          <w:sz w:val="24"/>
        </w:rPr>
        <w:t xml:space="preserve">. These technological integrations necessitate significantly higher technical competencies within the workforce, presenting substantial challenges for companies attempting to source skilled labor with the requisite expertise </w:t>
      </w:r>
      <w:r>
        <w:rPr>
          <w:rFonts w:hint="eastAsia" w:ascii="微软雅黑" w:hAnsi="微软雅黑" w:eastAsia="微软雅黑"/>
          <w:noProof/>
          <w:sz w:val="24"/>
          <w:vertAlign w:val="superscript"/>
        </w:rPr>
        <w:t>[53][55]</w:t>
      </w:r>
      <w:r>
        <w:rPr>
          <w:rFonts w:hint="eastAsia" w:ascii="微软雅黑" w:hAnsi="微软雅黑" w:eastAsia="微软雅黑"/>
          <w:noProof/>
          <w:sz w:val="24"/>
        </w:rPr>
        <w:t xml:space="preserve">. As mining operations become increasingly digitized, safety officers must not only understand traditional physical hazards but also the unique risks associated with automated machinery and integrated digital systems. Furthermore, the industry's ongoing adaptation to policy-driven cycles and the broader global energy transition has amplified the demand for critical minerals, thereby creating corresponding and intense workforce pressures as companies scale operations to meet global supply needs </w:t>
      </w:r>
      <w:r>
        <w:rPr>
          <w:rFonts w:hint="eastAsia" w:ascii="微软雅黑" w:hAnsi="微软雅黑" w:eastAsia="微软雅黑"/>
          <w:noProof/>
          <w:sz w:val="24"/>
          <w:vertAlign w:val="superscript"/>
        </w:rPr>
        <w:t>[16]</w:t>
      </w:r>
      <w:r>
        <w:rPr>
          <w:rFonts w:hint="eastAsia" w:ascii="微软雅黑" w:hAnsi="微软雅黑" w:eastAsia="微软雅黑"/>
          <w:noProof/>
          <w:sz w:val="24"/>
        </w:rPr>
        <w:t>.</w:t>
      </w:r>
    </w:p>
    <w:p>
      <w:pPr>
        <w:spacing w:line="288" w:lineRule="auto"/>
        <w:ind w:firstLine="480" w:firstLineChars="200"/>
        <w:jc w:val="both"/>
      </w:pPr>
      <w:r>
        <w:rPr>
          <w:rFonts w:hint="eastAsia" w:ascii="微软雅黑" w:hAnsi="微软雅黑" w:eastAsia="微软雅黑"/>
          <w:noProof/>
          <w:sz w:val="24"/>
        </w:rPr>
        <w:t xml:space="preserve">The availability of qualified safety officers and specialized mining personnel is also heavily influenced by geopolitical shifts and changing regulatory landscapes, which are recognized as key determinants of labor mobility across various regions </w:t>
      </w:r>
      <w:r>
        <w:rPr>
          <w:rFonts w:hint="eastAsia" w:ascii="微软雅黑" w:hAnsi="微软雅黑" w:eastAsia="微软雅黑"/>
          <w:noProof/>
          <w:sz w:val="24"/>
          <w:vertAlign w:val="superscript"/>
        </w:rPr>
        <w:t>[54]</w:t>
      </w:r>
      <w:r>
        <w:rPr>
          <w:rFonts w:hint="eastAsia" w:ascii="微软雅黑" w:hAnsi="微软雅黑" w:eastAsia="微软雅黑"/>
          <w:noProof/>
          <w:sz w:val="24"/>
        </w:rPr>
        <w:t xml:space="preserve">. These macroeconomic and geopolitical factors dictate where skilled labor can be deployed and how easily multinational operations can staff their sites. Consequently, organizations are forced to navigate these external pressures proactively to maintain operational continuity and regulatory compliance. The global competition for a limited pool of certified safety professionals means that regional shortages can quickly escalate into critical operational vulnerabilities if not addressed through forward-looking workforce planning.</w:t>
      </w:r>
    </w:p>
    <w:p>
      <w:pPr>
        <w:spacing w:line="288" w:lineRule="auto"/>
        <w:ind w:firstLine="480" w:firstLineChars="200"/>
        <w:jc w:val="both"/>
      </w:pPr>
      <w:r>
        <w:rPr>
          <w:rFonts w:hint="eastAsia" w:ascii="微软雅黑" w:hAnsi="微软雅黑" w:eastAsia="微软雅黑"/>
          <w:noProof/>
          <w:sz w:val="24"/>
        </w:rPr>
        <w:t xml:space="preserve">To navigate these structural shortages, organizations must carefully manage specific market dynamics that directly impact their workforce strategies. Specifically, salary expectations and training investments serve as critical levers in the current market. Salary expectations directly affect an organization's ability to attract and keep qualified safety professionals based on prevailing industry demands. Because the role of a safety officer now demands a premium blend of regulatory knowledge and technological proficiency, competitive compensation structures are foundational to any successful strategy, with their primary impact area concentrated heavily on recruitment and retention. Similarly, training investments significantly influence the fulfillment of certification requirements for high-demand roles. By funding the continuous education and certification of their safety personnel, companies not only ensure compliance with stringent industry standards but also signal a commitment to career development. This dual benefit makes training investments a vital component whose impact area is equally critical to recruitment and retention.</w:t>
      </w:r>
    </w:p>
    <w:p>
      <w:pPr>
        <w:spacing w:line="288" w:lineRule="auto"/>
        <w:ind w:firstLine="480" w:firstLineChars="200"/>
        <w:jc w:val="both"/>
      </w:pPr>
      <w:r>
        <w:rPr>
          <w:rFonts w:hint="eastAsia" w:ascii="微软雅黑" w:hAnsi="微软雅黑" w:eastAsia="微软雅黑"/>
          <w:noProof/>
          <w:sz w:val="24"/>
        </w:rPr>
        <w:t xml:space="preserve">Given the uneven readiness within the sector regarding automation and technological integration, industry analysts stress the critical importance of upskilling and reskilling existing workers </w:t>
      </w:r>
      <w:r>
        <w:rPr>
          <w:rFonts w:hint="eastAsia" w:ascii="微软雅黑" w:hAnsi="微软雅黑" w:eastAsia="微软雅黑"/>
          <w:noProof/>
          <w:sz w:val="24"/>
          <w:vertAlign w:val="superscript"/>
        </w:rPr>
        <w:t>[54]</w:t>
      </w:r>
      <w:r>
        <w:rPr>
          <w:rFonts w:hint="eastAsia" w:ascii="微软雅黑" w:hAnsi="微软雅黑" w:eastAsia="微软雅黑"/>
          <w:noProof/>
          <w:sz w:val="24"/>
        </w:rPr>
        <w:t xml:space="preserve">. Investments in internal workforce development initiatives are essential to bridge existing skills gaps, particularly in technical areas such as data analytics and the management of integrated digital systems . By transforming existing employees into certified safety officers through targeted training investments, companies can bypass some of the external market's hiring bottlenecks. Furthermore, projections emphasize a heightened need for flexible staffing solutions and the continued integration of advanced technology to address these systemic workforce issues, which will likely influence how safety officers are hired and retained moving forward </w:t>
      </w:r>
      <w:r>
        <w:rPr>
          <w:rFonts w:hint="eastAsia" w:ascii="微软雅黑" w:hAnsi="微软雅黑" w:eastAsia="微软雅黑"/>
          <w:noProof/>
          <w:sz w:val="24"/>
          <w:vertAlign w:val="superscript"/>
        </w:rPr>
        <w:t>[54]</w:t>
      </w:r>
      <w:r>
        <w:rPr>
          <w:rFonts w:hint="eastAsia" w:ascii="微软雅黑" w:hAnsi="微软雅黑" w:eastAsia="微软雅黑"/>
          <w:noProof/>
          <w:sz w:val="24"/>
        </w:rPr>
        <w:t xml:space="preserve">. Flexible scheduling, rotational assignments, and technology-enabled remote monitoring are becoming essential components of the modern safety officer's role.</w:t>
      </w:r>
    </w:p>
    <w:p>
      <w:pPr>
        <w:spacing w:line="288" w:lineRule="auto"/>
        <w:ind w:firstLine="480" w:firstLineChars="200"/>
        <w:jc w:val="both"/>
      </w:pPr>
      <w:r>
        <w:rPr>
          <w:rFonts w:hint="eastAsia" w:ascii="微软雅黑" w:hAnsi="微软雅黑" w:eastAsia="微软雅黑"/>
          <w:noProof/>
          <w:sz w:val="24"/>
        </w:rPr>
        <w:t xml:space="preserve">Beyond technical training and compensation, modern workforce expectations have evolved to prioritize corporate culture and ethics. Sustainability, diversity, and inclusion have emerged as critical priorities among mining companies and broader industrial sectors, reflecting a strategic shift in recruitment methodologies . The strategic integration of sustainability into workforce planning indicates broader shifts in labor market dynamics, requiring firms to prioritize talent attraction and retention amid fierce global competition for skilled professionals </w:t>
      </w:r>
      <w:r>
        <w:rPr>
          <w:rFonts w:hint="eastAsia" w:ascii="微软雅黑" w:hAnsi="微软雅黑" w:eastAsia="微软雅黑"/>
          <w:noProof/>
          <w:sz w:val="24"/>
          <w:vertAlign w:val="superscript"/>
        </w:rPr>
        <w:t>[55]</w:t>
      </w:r>
      <w:r>
        <w:rPr>
          <w:rFonts w:hint="eastAsia" w:ascii="微软雅黑" w:hAnsi="微软雅黑" w:eastAsia="微软雅黑"/>
          <w:noProof/>
          <w:sz w:val="24"/>
        </w:rPr>
        <w:t xml:space="preserve">. Safety officers, who are inherently focused on the well-being of personnel and the environment, are particularly drawn to organizations that demonstrate a genuine commitment to these emerging priorities.</w:t>
      </w:r>
    </w:p>
    <w:p>
      <w:pPr>
        <w:spacing w:line="288" w:lineRule="auto"/>
        <w:ind w:firstLine="480" w:firstLineChars="200"/>
        <w:jc w:val="both"/>
      </w:pPr>
      <w:r>
        <w:rPr>
          <w:rFonts w:hint="eastAsia" w:ascii="微软雅黑" w:hAnsi="微软雅黑" w:eastAsia="微软雅黑"/>
          <w:noProof/>
          <w:sz w:val="24"/>
        </w:rPr>
        <w:t xml:space="preserve">Ultimately, the synthesis of these market dynamics demonstrates an acute need for organizations to adapt to longstanding shortages and recognize the critical role that safety officers play in ensuring operational success. Technological proficiency is now a cornerstone of this success, and workforce availability remains highly sensitive to broader industry transitions. While historical data leaves some gaps in the exact trajectory of these trends, the current operating environment dictates that firms must leverage competitive salary structures, robust training investments, and progressive corporate values to secure the specialized safety personnel required to navigate today's complex regulatory and operational landscapes. Proactive adaptation to these workforce availability challenges is no longer optional but a fundamental requirement for sustaining safe and compliant industrial operations.</w:t>
      </w:r>
    </w:p>
    <w:p>
      <w:pPr>
        <w:spacing w:line="360" w:lineRule="auto"/>
        <w:ind/>
      </w:pPr>
      <w:r>
        <w:rPr>
          <w:rFonts w:hint="eastAsia"/>
          <w:b/>
          <w:noProof/>
          <w:sz w:val="22"/>
        </w:rPr>
        <w:t xml:space="preserve">Salary Expectations and Training Investments Table</w:t>
      </w:r>
    </w:p>
    <w:tbl>
      <w:tblPr>
        <w:tblW w:w="0" w:type="dxa"/>
      </w:tblPr>
      <w:tblGrid>
        <w:gridCol w:w="3450"/>
        <w:gridCol w:w="3450"/>
        <w:gridCol w:w="3450"/>
      </w:tblGrid>
      <w:tr>
        <w:trPr/>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Market Dynamics</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Description</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Impact Area</w:t>
            </w:r>
          </w:p>
        </w:tc>
      </w:tr>
      <w:tr>
        <w:trPr/>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Salary Expectations</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Affects the ability to attract and keep qualified safety professionals based on industry demands.</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Recruitment and Retention</w:t>
            </w:r>
          </w:p>
        </w:tc>
      </w:tr>
      <w:tr>
        <w:trPr/>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Training Investments</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Influences the fulfillment of certification requirements for high-demand roles.</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Recruitment and Retention</w:t>
            </w:r>
          </w:p>
        </w:tc>
      </w:tr>
    </w:tbl>
    <w:p>
      <w:pPr>
        <w:spacing w:beforeLines="50" w:line="360" w:lineRule="auto"/>
        <w:ind/>
        <w:jc w:val="left"/>
      </w:pPr>
      <w:r>
        <w:rPr>
          <w:rFonts w:hint="eastAsia"/>
          <w:b/>
          <w:noProof/>
          <w:sz w:val="22"/>
        </w:rPr>
        <w:t xml:space="preserve">Data Source: Google Search</w:t>
      </w:r>
    </w:p>
    <w:p>
      <w:pPr>
        <w:pStyle w:val="Heading1"/>
        <w:spacing w:line="288" w:lineRule="auto"/>
        <w:ind/>
      </w:pPr>
      <w:r>
        <w:rPr>
          <w:rFonts w:hint="eastAsia" w:ascii="微软雅黑" w:hAnsi="微软雅黑" w:eastAsia="微软雅黑"/>
          <w:b/>
          <w:noProof/>
          <w:sz w:val="40"/>
        </w:rPr>
        <w:t>References</w:t>
      </w:r>
    </w:p>
    <w:p>
      <w:pPr>
        <w:spacing w:line="288" w:lineRule="auto"/>
        <w:ind w:firstLine="480" w:firstLineChars="200"/>
        <w:jc w:val="both"/>
      </w:pPr>
      <w:r>
        <w:rPr>
          <w:rFonts w:hint="eastAsia" w:ascii="微软雅黑" w:hAnsi="微软雅黑" w:eastAsia="微软雅黑"/>
          <w:noProof/>
          <w:sz w:val="24"/>
        </w:rPr>
        <w:t xml:space="preserve">[1] Njilo Consulting and Logistics was honoured to attend the A-OHS ... https://www.instagram.com/reel/DZZ-tcbP8s6/</w:t>
      </w:r>
    </w:p>
    <w:p>
      <w:pPr>
        <w:spacing w:line="288" w:lineRule="auto"/>
        <w:ind w:firstLine="480" w:firstLineChars="200"/>
        <w:jc w:val="both"/>
      </w:pPr>
      <w:r>
        <w:rPr>
          <w:rFonts w:hint="eastAsia" w:ascii="微软雅黑" w:hAnsi="微软雅黑" w:eastAsia="微软雅黑"/>
          <w:noProof/>
          <w:sz w:val="24"/>
        </w:rPr>
        <w:t xml:space="preserve">[2] Top Safety Trends Shaping SA Organisations In 2026 - SafetyCloud https://safetycloud.co.za/safety-as-a-strategic-business-enabler-in-2026/</w:t>
      </w:r>
    </w:p>
    <w:p>
      <w:pPr>
        <w:spacing w:line="288" w:lineRule="auto"/>
        <w:ind w:firstLine="480" w:firstLineChars="200"/>
        <w:jc w:val="both"/>
      </w:pPr>
      <w:r>
        <w:rPr>
          <w:rFonts w:hint="eastAsia" w:ascii="微软雅黑" w:hAnsi="微软雅黑" w:eastAsia="微软雅黑"/>
          <w:noProof/>
          <w:sz w:val="24"/>
        </w:rPr>
        <w:t xml:space="preserve">[3] Strengthen your workplace safety and compliance by partnering with ... https://www.instagram.com/p/DSa2Y0aFxCk/</w:t>
      </w:r>
    </w:p>
    <w:p>
      <w:pPr>
        <w:spacing w:line="288" w:lineRule="auto"/>
        <w:ind w:firstLine="480" w:firstLineChars="200"/>
        <w:jc w:val="both"/>
      </w:pPr>
      <w:r>
        <w:rPr>
          <w:rFonts w:hint="eastAsia" w:ascii="微软雅黑" w:hAnsi="微软雅黑" w:eastAsia="微软雅黑"/>
          <w:noProof/>
          <w:sz w:val="24"/>
        </w:rPr>
        <w:t xml:space="preserve">[4] Saiosh https://www.saiosh.co.za/</w:t>
      </w:r>
    </w:p>
    <w:p>
      <w:pPr>
        <w:spacing w:line="288" w:lineRule="auto"/>
        <w:ind w:firstLine="480" w:firstLineChars="200"/>
        <w:jc w:val="both"/>
      </w:pPr>
      <w:r>
        <w:rPr>
          <w:rFonts w:hint="eastAsia" w:ascii="微软雅黑" w:hAnsi="微软雅黑" w:eastAsia="微软雅黑"/>
          <w:noProof/>
          <w:sz w:val="24"/>
        </w:rPr>
        <w:t xml:space="preserve">[5] Top 15 Global Health and Safety Consultants for 2026 | Arinite https://www.arinite.com/blog/top-15-global-health-and-safety-consultants-for-2026</w:t>
      </w:r>
    </w:p>
    <w:p>
      <w:pPr>
        <w:spacing w:line="288" w:lineRule="auto"/>
        <w:ind w:firstLine="480" w:firstLineChars="200"/>
        <w:jc w:val="both"/>
      </w:pPr>
      <w:r>
        <w:rPr>
          <w:rFonts w:hint="eastAsia" w:ascii="微软雅黑" w:hAnsi="微软雅黑" w:eastAsia="微软雅黑"/>
          <w:noProof/>
          <w:sz w:val="24"/>
        </w:rPr>
        <w:t xml:space="preserve">[7] Occupational Health Market Size, Share &amp; Forecast, 2026-2033 https://www.coherentmarketinsights.com/industry-reports/occupational-health-market</w:t>
      </w:r>
    </w:p>
    <w:p>
      <w:pPr>
        <w:spacing w:line="288" w:lineRule="auto"/>
        <w:ind w:firstLine="480" w:firstLineChars="200"/>
        <w:jc w:val="both"/>
      </w:pPr>
      <w:r>
        <w:rPr>
          <w:rFonts w:hint="eastAsia" w:ascii="微软雅黑" w:hAnsi="微软雅黑" w:eastAsia="微软雅黑"/>
          <w:noProof/>
          <w:sz w:val="24"/>
        </w:rPr>
        <w:t xml:space="preserve">[8] National OHS Conference 2026 | #OHSConf2026 - Facebook https://www.facebook.com/100064794783747/posts/national-ohs-conference-2026-day-1-wrap-upas-day-1-ends-the-message-is-clear-pre/1402406455262501/</w:t>
      </w:r>
    </w:p>
    <w:p>
      <w:pPr>
        <w:spacing w:line="288" w:lineRule="auto"/>
        <w:ind w:firstLine="480" w:firstLineChars="200"/>
        <w:jc w:val="both"/>
      </w:pPr>
      <w:r>
        <w:rPr>
          <w:rFonts w:hint="eastAsia" w:ascii="微软雅黑" w:hAnsi="微软雅黑" w:eastAsia="微软雅黑"/>
          <w:noProof/>
          <w:sz w:val="24"/>
        </w:rPr>
        <w:t xml:space="preserve">[9] Global Occupational Health: Current Challenges and the Need for ... https://www.sciencedirect.com/science/article/pii/S2214999614003099</w:t>
      </w:r>
    </w:p>
    <w:p>
      <w:pPr>
        <w:spacing w:line="288" w:lineRule="auto"/>
        <w:ind w:firstLine="480" w:firstLineChars="200"/>
        <w:jc w:val="both"/>
      </w:pPr>
      <w:r>
        <w:rPr>
          <w:rFonts w:hint="eastAsia" w:ascii="微软雅黑" w:hAnsi="微软雅黑" w:eastAsia="微软雅黑"/>
          <w:noProof/>
          <w:sz w:val="24"/>
        </w:rPr>
        <w:t xml:space="preserve">[10] National Occupational Health and Safety (OHS) conference 2026 https://www.youtube.com/watch?v=EPXiPDT5tRQ</w:t>
      </w:r>
    </w:p>
    <w:p>
      <w:pPr>
        <w:spacing w:line="288" w:lineRule="auto"/>
        <w:ind w:firstLine="480" w:firstLineChars="200"/>
        <w:jc w:val="both"/>
      </w:pPr>
      <w:r>
        <w:rPr>
          <w:rFonts w:hint="eastAsia" w:ascii="微软雅黑" w:hAnsi="微软雅黑" w:eastAsia="微软雅黑"/>
          <w:noProof/>
          <w:sz w:val="24"/>
        </w:rPr>
        <w:t xml:space="preserve">[11] just 3 months until Mining Indaba 2026! We can't wait to be in Cape ... https://www.instagram.com/reel/DQ1OICHDB9H/</w:t>
      </w:r>
    </w:p>
    <w:p>
      <w:pPr>
        <w:spacing w:line="288" w:lineRule="auto"/>
        <w:ind w:firstLine="480" w:firstLineChars="200"/>
        <w:jc w:val="both"/>
      </w:pPr>
      <w:r>
        <w:rPr>
          <w:rFonts w:hint="eastAsia" w:ascii="微软雅黑" w:hAnsi="微软雅黑" w:eastAsia="微软雅黑"/>
          <w:noProof/>
          <w:sz w:val="24"/>
        </w:rPr>
        <w:t xml:space="preserve">[12] Safety in Mining 2026: Redefining Risk and Protection https://www.identecsolutions.com/news/safety-in-mining-2026-redefining-risk-and-protection</w:t>
      </w:r>
    </w:p>
    <w:p>
      <w:pPr>
        <w:spacing w:line="288" w:lineRule="auto"/>
        <w:ind w:firstLine="480" w:firstLineChars="200"/>
        <w:jc w:val="both"/>
      </w:pPr>
      <w:r>
        <w:rPr>
          <w:rFonts w:hint="eastAsia" w:ascii="微软雅黑" w:hAnsi="微软雅黑" w:eastAsia="微软雅黑"/>
          <w:noProof/>
          <w:sz w:val="24"/>
        </w:rPr>
        <w:t xml:space="preserve">[13] Mining Indaba | African Mining Conference | 8-11 Feb 2027 | Cape ... https://miningindaba.com/home</w:t>
      </w:r>
    </w:p>
    <w:p>
      <w:pPr>
        <w:spacing w:line="288" w:lineRule="auto"/>
        <w:ind w:firstLine="480" w:firstLineChars="200"/>
        <w:jc w:val="both"/>
      </w:pPr>
      <w:r>
        <w:rPr>
          <w:rFonts w:hint="eastAsia" w:ascii="微软雅黑" w:hAnsi="微软雅黑" w:eastAsia="微软雅黑"/>
          <w:noProof/>
          <w:sz w:val="24"/>
        </w:rPr>
        <w:t xml:space="preserve">[14] Africa's mining sector has the potential to drive industrialization ... https://www.facebook.com/africanleadershipmagazine/posts/africas-mining-sector-has-the-potential-to-drive-industrialization-create-jobs-a/1433939388760666/</w:t>
      </w:r>
    </w:p>
    <w:p>
      <w:pPr>
        <w:spacing w:line="288" w:lineRule="auto"/>
        <w:ind w:firstLine="480" w:firstLineChars="200"/>
        <w:jc w:val="both"/>
      </w:pPr>
      <w:r>
        <w:rPr>
          <w:rFonts w:hint="eastAsia" w:ascii="微软雅黑" w:hAnsi="微软雅黑" w:eastAsia="微软雅黑"/>
          <w:noProof/>
          <w:sz w:val="24"/>
        </w:rPr>
        <w:t xml:space="preserve">[15] Home - Mining Industry Occupational Safety &amp; Health https://www.mosh.co.za/</w:t>
      </w:r>
    </w:p>
    <w:p>
      <w:pPr>
        <w:spacing w:line="288" w:lineRule="auto"/>
        <w:ind w:firstLine="480" w:firstLineChars="200"/>
        <w:jc w:val="both"/>
      </w:pPr>
      <w:r>
        <w:rPr>
          <w:rFonts w:hint="eastAsia" w:ascii="微软雅黑" w:hAnsi="微软雅黑" w:eastAsia="微软雅黑"/>
          <w:noProof/>
          <w:sz w:val="24"/>
        </w:rPr>
        <w:t xml:space="preserve">[16] Top 5 Staffing Trends to Watch For 2026 https://americanstaffing.net/posts/2026/01/06/top-5-staffing-trends-to-watch-for-2026/</w:t>
      </w:r>
    </w:p>
    <w:p>
      <w:pPr>
        <w:spacing w:line="288" w:lineRule="auto"/>
        <w:ind w:firstLine="480" w:firstLineChars="200"/>
        <w:jc w:val="both"/>
      </w:pPr>
      <w:r>
        <w:rPr>
          <w:rFonts w:hint="eastAsia" w:ascii="微软雅黑" w:hAnsi="微软雅黑" w:eastAsia="微软雅黑"/>
          <w:noProof/>
          <w:sz w:val="24"/>
        </w:rPr>
        <w:t xml:space="preserve">[17] 2026 Staffing Trends: Projections and Reflections From Industry ... https://americanstaffing.net/webinars/2026-staffing-trends/</w:t>
      </w:r>
    </w:p>
    <w:p>
      <w:pPr>
        <w:spacing w:line="288" w:lineRule="auto"/>
        <w:ind w:firstLine="480" w:firstLineChars="200"/>
        <w:jc w:val="both"/>
      </w:pPr>
      <w:r>
        <w:rPr>
          <w:rFonts w:hint="eastAsia" w:ascii="微软雅黑" w:hAnsi="微软雅黑" w:eastAsia="微软雅黑"/>
          <w:noProof/>
          <w:sz w:val="24"/>
        </w:rPr>
        <w:t xml:space="preserve">[18] Staffing in South Africa - Staffing Industry Analysts https://www.staffingindustry.com/research/research-reports/emea/staffing-in-south-africa</w:t>
      </w:r>
    </w:p>
    <w:p>
      <w:pPr>
        <w:spacing w:line="288" w:lineRule="auto"/>
        <w:ind w:firstLine="480" w:firstLineChars="200"/>
        <w:jc w:val="both"/>
      </w:pPr>
      <w:r>
        <w:rPr>
          <w:rFonts w:hint="eastAsia" w:ascii="微软雅黑" w:hAnsi="微软雅黑" w:eastAsia="微软雅黑"/>
          <w:noProof/>
          <w:sz w:val="24"/>
        </w:rPr>
        <w:t xml:space="preserve">[19] 5 Staffing &amp; Workforce Trends That Will Define 2026 - LinkedIn https://www.linkedin.com/pulse/5-staffing-workforce-trends-define-2026-accedesolution-pqpcf</w:t>
      </w:r>
    </w:p>
    <w:p>
      <w:pPr>
        <w:spacing w:line="288" w:lineRule="auto"/>
        <w:ind w:firstLine="480" w:firstLineChars="200"/>
        <w:jc w:val="both"/>
      </w:pPr>
      <w:r>
        <w:rPr>
          <w:rFonts w:hint="eastAsia" w:ascii="微软雅黑" w:hAnsi="微软雅黑" w:eastAsia="微软雅黑"/>
          <w:noProof/>
          <w:sz w:val="24"/>
        </w:rPr>
        <w:t xml:space="preserve">[20] Staffing Industry Trends to Watch in 2026 - ClearlyRated https://www.clearlyrated.ai/blog/staffing-industry-trends</w:t>
      </w:r>
    </w:p>
    <w:p>
      <w:pPr>
        <w:spacing w:line="288" w:lineRule="auto"/>
        <w:ind w:firstLine="480" w:firstLineChars="200"/>
        <w:jc w:val="both"/>
      </w:pPr>
      <w:r>
        <w:rPr>
          <w:rFonts w:hint="eastAsia" w:ascii="微软雅黑" w:hAnsi="微软雅黑" w:eastAsia="微软雅黑"/>
          <w:noProof/>
          <w:sz w:val="24"/>
        </w:rPr>
        <w:t xml:space="preserve">[22] Innovation, Trust and Sustainability: The Power of Accreditation". We ... https://www.instagram.com/reel/DZKqPthCFTu/</w:t>
      </w:r>
    </w:p>
    <w:p>
      <w:pPr>
        <w:spacing w:line="288" w:lineRule="auto"/>
        <w:ind w:firstLine="480" w:firstLineChars="200"/>
        <w:jc w:val="both"/>
      </w:pPr>
      <w:r>
        <w:rPr>
          <w:rFonts w:hint="eastAsia" w:ascii="微软雅黑" w:hAnsi="微软雅黑" w:eastAsia="微软雅黑"/>
          <w:noProof/>
          <w:sz w:val="24"/>
        </w:rPr>
        <w:t xml:space="preserve">[24] Saiosh Health and Safety Conference 2026 | 31 July 2026 - YouTube https://www.youtube.com/watch?v=cuOjqkChPkk</w:t>
      </w:r>
    </w:p>
    <w:p>
      <w:pPr>
        <w:spacing w:line="288" w:lineRule="auto"/>
        <w:ind w:firstLine="480" w:firstLineChars="200"/>
        <w:jc w:val="both"/>
      </w:pPr>
      <w:r>
        <w:rPr>
          <w:rFonts w:hint="eastAsia" w:ascii="微软雅黑" w:hAnsi="微软雅黑" w:eastAsia="微软雅黑"/>
          <w:noProof/>
          <w:sz w:val="24"/>
        </w:rPr>
        <w:t xml:space="preserve">[25] Certificate of Competency, 2026 and draft Regulations Concerning ... https://www.gov.za/documents/notices/occupational-health-and-safety-act-regulations-certificate-competency-2026-and</w:t>
      </w:r>
    </w:p>
    <w:p>
      <w:pPr>
        <w:spacing w:line="288" w:lineRule="auto"/>
        <w:ind w:firstLine="480" w:firstLineChars="200"/>
        <w:jc w:val="both"/>
      </w:pPr>
      <w:r>
        <w:rPr>
          <w:rFonts w:hint="eastAsia" w:ascii="微软雅黑" w:hAnsi="微软雅黑" w:eastAsia="微软雅黑"/>
          <w:noProof/>
          <w:sz w:val="24"/>
        </w:rPr>
        <w:t xml:space="preserve">[26] Joint Commission 2026 Updated Standards for Behavioral Health https://circabehavioral.com/joint-commission-jan-and-july-2026-updated-standards/</w:t>
      </w:r>
    </w:p>
    <w:p>
      <w:pPr>
        <w:spacing w:line="288" w:lineRule="auto"/>
        <w:ind w:firstLine="480" w:firstLineChars="200"/>
        <w:jc w:val="both"/>
      </w:pPr>
      <w:r>
        <w:rPr>
          <w:rFonts w:hint="eastAsia" w:ascii="微软雅黑" w:hAnsi="微软雅黑" w:eastAsia="微软雅黑"/>
          <w:noProof/>
          <w:sz w:val="24"/>
        </w:rPr>
        <w:t xml:space="preserve">[27] Joint Commission Standards Receive Significant Updates - ASHE https://www.ashe.org/joint-commission-standards-receive-significant-updates</w:t>
      </w:r>
    </w:p>
    <w:p>
      <w:pPr>
        <w:spacing w:line="288" w:lineRule="auto"/>
        <w:ind w:firstLine="480" w:firstLineChars="200"/>
        <w:jc w:val="both"/>
      </w:pPr>
      <w:r>
        <w:rPr>
          <w:rFonts w:hint="eastAsia" w:ascii="微软雅黑" w:hAnsi="微软雅黑" w:eastAsia="微软雅黑"/>
          <w:noProof/>
          <w:sz w:val="24"/>
        </w:rPr>
        <w:t xml:space="preserve">[28] FAQ - NCQA https://www.ncqa.org/programs/health-plans/behavioral-health-accreditation/faq/</w:t>
      </w:r>
    </w:p>
    <w:p>
      <w:pPr>
        <w:spacing w:line="288" w:lineRule="auto"/>
        <w:ind w:firstLine="480" w:firstLineChars="200"/>
        <w:jc w:val="both"/>
      </w:pPr>
      <w:r>
        <w:rPr>
          <w:rFonts w:hint="eastAsia" w:ascii="微软雅黑" w:hAnsi="微软雅黑" w:eastAsia="微软雅黑"/>
          <w:noProof/>
          <w:sz w:val="24"/>
        </w:rPr>
        <w:t xml:space="preserve">[29] Joint Commission https://www.jointcommission.org/en-us</w:t>
      </w:r>
    </w:p>
    <w:p>
      <w:pPr>
        <w:spacing w:line="288" w:lineRule="auto"/>
        <w:ind w:firstLine="480" w:firstLineChars="200"/>
        <w:jc w:val="both"/>
      </w:pPr>
      <w:r>
        <w:rPr>
          <w:rFonts w:hint="eastAsia" w:ascii="微软雅黑" w:hAnsi="微软雅黑" w:eastAsia="微软雅黑"/>
          <w:noProof/>
          <w:sz w:val="24"/>
        </w:rPr>
        <w:t xml:space="preserve">[30] Joint Commission announces key accreditation updates for 2026 https://www.mcdermottlaw.com/insights/joint-commission-announces-key-accreditation-updates-for-2026/</w:t>
      </w:r>
    </w:p>
    <w:p>
      <w:pPr>
        <w:spacing w:line="288" w:lineRule="auto"/>
        <w:ind w:firstLine="480" w:firstLineChars="200"/>
        <w:jc w:val="both"/>
      </w:pPr>
      <w:r>
        <w:rPr>
          <w:rFonts w:hint="eastAsia" w:ascii="微软雅黑" w:hAnsi="微软雅黑" w:eastAsia="微软雅黑"/>
          <w:noProof/>
          <w:sz w:val="24"/>
        </w:rPr>
        <w:t xml:space="preserve">[31] Safety Officer Salary Insights from the Mining Industry - TikTok https://www.tiktok.com/@liferesetwithboni/video/7475389612395875639</w:t>
      </w:r>
    </w:p>
    <w:p>
      <w:pPr>
        <w:spacing w:line="288" w:lineRule="auto"/>
        <w:ind w:firstLine="480" w:firstLineChars="200"/>
        <w:jc w:val="both"/>
      </w:pPr>
      <w:r>
        <w:rPr>
          <w:rFonts w:hint="eastAsia" w:ascii="微软雅黑" w:hAnsi="微软雅黑" w:eastAsia="微软雅黑"/>
          <w:noProof/>
          <w:sz w:val="24"/>
        </w:rPr>
        <w:t xml:space="preserve">[32] How to Become a Safety Officer in South Africa (2026) - SafetyCloud https://safetycloud.co.za/how-to-become-a-safety-officer-2026/</w:t>
      </w:r>
    </w:p>
    <w:p>
      <w:pPr>
        <w:spacing w:line="288" w:lineRule="auto"/>
        <w:ind w:firstLine="480" w:firstLineChars="200"/>
        <w:jc w:val="both"/>
      </w:pPr>
      <w:r>
        <w:rPr>
          <w:rFonts w:hint="eastAsia" w:ascii="微软雅黑" w:hAnsi="微软雅黑" w:eastAsia="微软雅黑"/>
          <w:noProof/>
          <w:sz w:val="24"/>
        </w:rPr>
        <w:t xml:space="preserve">[33] CERTIFICATE AWARDING CEREMONY Reahoketswe ... https://www.instagram.com/reel/DYjpfkON85f/</w:t>
      </w:r>
    </w:p>
    <w:p>
      <w:pPr>
        <w:spacing w:line="288" w:lineRule="auto"/>
        <w:ind w:firstLine="480" w:firstLineChars="200"/>
        <w:jc w:val="both"/>
      </w:pPr>
      <w:r>
        <w:rPr>
          <w:rFonts w:hint="eastAsia" w:ascii="微软雅黑" w:hAnsi="微软雅黑" w:eastAsia="微软雅黑"/>
          <w:noProof/>
          <w:sz w:val="24"/>
        </w:rPr>
        <w:t xml:space="preserve">[35] Menar on coal markets, energy costs and South Africa's ... - YouTube https://www.youtube.com/watch?v=rOxZ4mEgDFA</w:t>
      </w:r>
    </w:p>
    <w:p>
      <w:pPr>
        <w:spacing w:line="288" w:lineRule="auto"/>
        <w:ind w:firstLine="480" w:firstLineChars="200"/>
        <w:jc w:val="both"/>
      </w:pPr>
      <w:r>
        <w:rPr>
          <w:rFonts w:hint="eastAsia" w:ascii="微软雅黑" w:hAnsi="微软雅黑" w:eastAsia="微软雅黑"/>
          <w:noProof/>
          <w:sz w:val="24"/>
        </w:rPr>
        <w:t xml:space="preserve">[36] Safety Officer Mining Jobs - 29 June 2026 | Indeed South Africa https://za.indeed.com/q-safety-officer-mining-jobs.html</w:t>
      </w:r>
    </w:p>
    <w:p>
      <w:pPr>
        <w:spacing w:line="288" w:lineRule="auto"/>
        <w:ind w:firstLine="480" w:firstLineChars="200"/>
        <w:jc w:val="both"/>
      </w:pPr>
      <w:r>
        <w:rPr>
          <w:rFonts w:hint="eastAsia" w:ascii="微软雅黑" w:hAnsi="微软雅黑" w:eastAsia="微软雅黑"/>
          <w:noProof/>
          <w:sz w:val="24"/>
        </w:rPr>
        <w:t xml:space="preserve">[37] [PDF] The State of Occupational Safety in the South African Mining Industry https://www.saimm.co.za/Conferences/Copper-Cobalt-2018/03-Phakathi-25-36.pdf</w:t>
      </w:r>
    </w:p>
    <w:p>
      <w:pPr>
        <w:spacing w:line="288" w:lineRule="auto"/>
        <w:ind w:firstLine="480" w:firstLineChars="200"/>
        <w:jc w:val="both"/>
      </w:pPr>
      <w:r>
        <w:rPr>
          <w:rFonts w:hint="eastAsia" w:ascii="微软雅黑" w:hAnsi="微软雅黑" w:eastAsia="微软雅黑"/>
          <w:noProof/>
          <w:sz w:val="24"/>
        </w:rPr>
        <w:t xml:space="preserve">[38] Safety in SA's mining sector – current trends, challenges and ... https://www.africanmining.co.za/2024/08/01/safety-in-sas-mining-sector-current-trends-challenges-and-strategic-opportunities/</w:t>
      </w:r>
    </w:p>
    <w:p>
      <w:pPr>
        <w:spacing w:line="288" w:lineRule="auto"/>
        <w:ind w:firstLine="480" w:firstLineChars="200"/>
        <w:jc w:val="both"/>
      </w:pPr>
      <w:r>
        <w:rPr>
          <w:rFonts w:hint="eastAsia" w:ascii="微软雅黑" w:hAnsi="微软雅黑" w:eastAsia="微软雅黑"/>
          <w:noProof/>
          <w:sz w:val="24"/>
        </w:rPr>
        <w:t xml:space="preserve">[39] Minerals Council sets new goals for health and safety - VUKA Group https://wearevuka.com/insights/critical-minerals/minerals-council-sets-new-goals-for-health-and-safety/</w:t>
      </w:r>
    </w:p>
    <w:p>
      <w:pPr>
        <w:spacing w:line="288" w:lineRule="auto"/>
        <w:ind w:firstLine="480" w:firstLineChars="200"/>
        <w:jc w:val="both"/>
      </w:pPr>
      <w:r>
        <w:rPr>
          <w:rFonts w:hint="eastAsia" w:ascii="微软雅黑" w:hAnsi="微软雅黑" w:eastAsia="微软雅黑"/>
          <w:noProof/>
          <w:sz w:val="24"/>
        </w:rPr>
        <w:t xml:space="preserve">[40] Mining Industry in South Africa: Trends &amp; Future https://www.miningsafety.co.za/news/mining-industry-in-south-africa-trends-future/</w:t>
      </w:r>
    </w:p>
    <w:p>
      <w:pPr>
        <w:spacing w:line="288" w:lineRule="auto"/>
        <w:ind w:firstLine="480" w:firstLineChars="200"/>
        <w:jc w:val="both"/>
      </w:pPr>
      <w:r>
        <w:rPr>
          <w:rFonts w:hint="eastAsia" w:ascii="微软雅黑" w:hAnsi="微软雅黑" w:eastAsia="微软雅黑"/>
          <w:noProof/>
          <w:sz w:val="24"/>
        </w:rPr>
        <w:t xml:space="preserve">[41] Health &amp; Safety Officer Salary in South Africa (2026) https://www.erieri.com/salary/job/health-and-safety-officer/south-africa</w:t>
      </w:r>
    </w:p>
    <w:p>
      <w:pPr>
        <w:spacing w:line="288" w:lineRule="auto"/>
        <w:ind w:firstLine="480" w:firstLineChars="200"/>
        <w:jc w:val="both"/>
      </w:pPr>
      <w:r>
        <w:rPr>
          <w:rFonts w:hint="eastAsia" w:ascii="微软雅黑" w:hAnsi="微软雅黑" w:eastAsia="微软雅黑"/>
          <w:noProof/>
          <w:sz w:val="24"/>
        </w:rPr>
        <w:t xml:space="preserve">[43] SARF Courses 2026 - South African Road Federation – SARF https://sarf.org.za/sarf-course/</w:t>
      </w:r>
    </w:p>
    <w:p>
      <w:pPr>
        <w:spacing w:line="288" w:lineRule="auto"/>
        <w:ind w:firstLine="480" w:firstLineChars="200"/>
        <w:jc w:val="both"/>
      </w:pPr>
      <w:r>
        <w:rPr>
          <w:rFonts w:hint="eastAsia" w:ascii="微软雅黑" w:hAnsi="微软雅黑" w:eastAsia="微软雅黑"/>
          <w:noProof/>
          <w:sz w:val="24"/>
        </w:rPr>
        <w:t xml:space="preserve">[44] Want to start a career in Occupational Health and Safety in South ... https://www.instagram.com/reel/DVdY9C0APgw/</w:t>
      </w:r>
    </w:p>
    <w:p>
      <w:pPr>
        <w:spacing w:line="288" w:lineRule="auto"/>
        <w:ind w:firstLine="480" w:firstLineChars="200"/>
        <w:jc w:val="both"/>
      </w:pPr>
      <w:r>
        <w:rPr>
          <w:rFonts w:hint="eastAsia" w:ascii="微软雅黑" w:hAnsi="微软雅黑" w:eastAsia="微软雅黑"/>
          <w:noProof/>
          <w:sz w:val="24"/>
        </w:rPr>
        <w:t xml:space="preserve">[45] 31 July 2026</w:t>
      </w:r>
      <w:r>
        <w:rPr>
          <w:rFonts w:hint="eastAsia" w:ascii="微软雅黑" w:hAnsi="微软雅黑" w:eastAsia="微软雅黑"/>
          <w:b/>
          <w:noProof/>
          <w:sz w:val="24"/>
        </w:rPr>
        <w:t xml:space="preserve"> WhatsApp: </w:t>
      </w:r>
      <w:r>
        <w:rPr>
          <w:rFonts w:hint="eastAsia" w:ascii="微软雅黑" w:hAnsi="微软雅黑" w:eastAsia="微软雅黑"/>
          <w:noProof/>
          <w:sz w:val="24"/>
        </w:rPr>
        <w:t xml:space="preserve">060 982 6719** 20 Second ... - Facebook https://www.facebook.com/XtreamSafety/posts/-july-2026-training-specials-are-here-ready-to-upgrade-your-skills-and-invest-in/1666010281639492/</w:t>
      </w:r>
    </w:p>
    <w:p>
      <w:pPr>
        <w:spacing w:line="288" w:lineRule="auto"/>
        <w:ind w:firstLine="480" w:firstLineChars="200"/>
        <w:jc w:val="both"/>
      </w:pPr>
      <w:r>
        <w:rPr>
          <w:rFonts w:hint="eastAsia" w:ascii="微软雅黑" w:hAnsi="微软雅黑" w:eastAsia="微软雅黑"/>
          <w:noProof/>
          <w:sz w:val="24"/>
        </w:rPr>
        <w:t xml:space="preserve">[47] 133 safety officer Jobs in South Africa, June 2026 | Glassdoor https://www.glassdoor.com/Job/south-africa-safety-officer-jobs-SRCH_IL.0,12_IN211_KO13,27.htm</w:t>
      </w:r>
    </w:p>
    <w:p>
      <w:pPr>
        <w:spacing w:line="288" w:lineRule="auto"/>
        <w:ind w:firstLine="480" w:firstLineChars="200"/>
        <w:jc w:val="both"/>
      </w:pPr>
      <w:r>
        <w:rPr>
          <w:rFonts w:hint="eastAsia" w:ascii="微软雅黑" w:hAnsi="微软雅黑" w:eastAsia="微软雅黑"/>
          <w:noProof/>
          <w:sz w:val="24"/>
        </w:rPr>
        <w:t xml:space="preserve">[48] Safety Officer Salary Jobs - 29 June 2026 | Indeed South Africa https://za.indeed.com/q-safety-officer-salary-jobs.html</w:t>
      </w:r>
    </w:p>
    <w:p>
      <w:pPr>
        <w:spacing w:line="288" w:lineRule="auto"/>
        <w:ind w:firstLine="480" w:firstLineChars="200"/>
        <w:jc w:val="both"/>
      </w:pPr>
      <w:r>
        <w:rPr>
          <w:rFonts w:hint="eastAsia" w:ascii="微软雅黑" w:hAnsi="微软雅黑" w:eastAsia="微软雅黑"/>
          <w:noProof/>
          <w:sz w:val="24"/>
        </w:rPr>
        <w:t xml:space="preserve">[49] Safety Officer Salary in South Africa - TikTok https://www.tiktok.com/@liferesetwithboni/video/7306869843578408197</w:t>
      </w:r>
    </w:p>
    <w:p>
      <w:pPr>
        <w:spacing w:line="288" w:lineRule="auto"/>
        <w:ind w:firstLine="480" w:firstLineChars="200"/>
        <w:jc w:val="both"/>
      </w:pPr>
      <w:r>
        <w:rPr>
          <w:rFonts w:hint="eastAsia" w:ascii="微软雅黑" w:hAnsi="微软雅黑" w:eastAsia="微软雅黑"/>
          <w:noProof/>
          <w:sz w:val="24"/>
        </w:rPr>
        <w:t xml:space="preserve">[50] Safety Security Officer Salary in South Africa (2026) - ERI SalaryExpert https://www.salaryexpert.com/salary/job/safety-security-officer/south-africa</w:t>
      </w:r>
    </w:p>
    <w:p>
      <w:pPr>
        <w:spacing w:line="288" w:lineRule="auto"/>
        <w:ind w:firstLine="480" w:firstLineChars="200"/>
        <w:jc w:val="both"/>
      </w:pPr>
      <w:r>
        <w:rPr>
          <w:rFonts w:hint="eastAsia" w:ascii="微软雅黑" w:hAnsi="微软雅黑" w:eastAsia="微软雅黑"/>
          <w:noProof/>
          <w:sz w:val="24"/>
        </w:rPr>
        <w:t xml:space="preserve">[53] Report: Top 5 Public Safety Workforce Trends of 2026 - PowerDMS https://simplify.powerdms.com/public-safety-trends-report</w:t>
      </w:r>
    </w:p>
    <w:p>
      <w:pPr>
        <w:spacing w:line="288" w:lineRule="auto"/>
        <w:ind w:firstLine="480" w:firstLineChars="200"/>
        <w:jc w:val="both"/>
      </w:pPr>
      <w:r>
        <w:rPr>
          <w:rFonts w:hint="eastAsia" w:ascii="微软雅黑" w:hAnsi="微软雅黑" w:eastAsia="微软雅黑"/>
          <w:noProof/>
          <w:sz w:val="24"/>
        </w:rPr>
        <w:t xml:space="preserve">[54] Understanding Trends in Law Enforcement Staffing https://www.ppic.org/publication/understanding-trends-in-law-enforcement-staffing/</w:t>
      </w:r>
    </w:p>
    <w:p>
      <w:pPr>
        <w:spacing w:line="288" w:lineRule="auto"/>
        <w:ind w:firstLine="480" w:firstLineChars="200"/>
        <w:jc w:val="both"/>
      </w:pPr>
      <w:r>
        <w:rPr>
          <w:rFonts w:hint="eastAsia" w:ascii="微软雅黑" w:hAnsi="微软雅黑" w:eastAsia="微软雅黑"/>
          <w:noProof/>
          <w:sz w:val="24"/>
        </w:rPr>
        <w:t xml:space="preserve">[55] Safety Officer - GovernmentJobs.com https://www.governmentjobs.com/careers/marincounty/jobs/newprint/5228867</w:t>
      </w:r>
    </w:p>
    <w:p>
      <w:pPr>
        <w:spacing w:line="288" w:lineRule="auto"/>
        <w:ind w:firstLine="480" w:firstLineChars="200"/>
        <w:jc w:val="both"/>
      </w:pPr>
      <w:r>
        <w:rPr>
          <w:rFonts w:hint="eastAsia" w:ascii="微软雅黑" w:hAnsi="微软雅黑" w:eastAsia="微软雅黑"/>
          <w:noProof/>
          <w:sz w:val="24"/>
        </w:rPr>
        <w:t xml:space="preserve">[56] 2026 Mining and Metals Industry Outlook | Deloitte Insights https://www.deloitte.com/us/en/insights/industry/mining-metals/mining-and-metals-industry-outlook.html</w:t>
      </w:r>
    </w:p>
    <w:p>
      <w:pPr>
        <w:spacing w:line="288" w:lineRule="auto"/>
        <w:ind w:firstLine="480" w:firstLineChars="200"/>
        <w:jc w:val="both"/>
      </w:pPr>
      <w:r>
        <w:rPr>
          <w:rFonts w:hint="eastAsia" w:ascii="微软雅黑" w:hAnsi="微软雅黑" w:eastAsia="微软雅黑"/>
          <w:noProof/>
          <w:sz w:val="24"/>
        </w:rPr>
        <w:t xml:space="preserve">[57] Ten major mining tech trends in 2026: Part 2 | Resourcing Tomorrow https://resourcingtomorrow.com/news/industry/ten-major-mining-tech-trends-in-2026-part-2</w:t>
      </w:r>
    </w:p>
    <w:p>
      <w:pPr>
        <w:spacing w:line="288" w:lineRule="auto"/>
        <w:ind w:firstLine="480" w:firstLineChars="200"/>
        <w:jc w:val="both"/>
      </w:pPr>
      <w:r>
        <w:rPr>
          <w:rFonts w:hint="eastAsia" w:ascii="微软雅黑" w:hAnsi="微软雅黑" w:eastAsia="微软雅黑"/>
          <w:noProof/>
          <w:sz w:val="24"/>
        </w:rPr>
        <w:t xml:space="preserve">[58] Three mining industry trends to watch for in 2026 - Seequent https://www.seequent.com/three-mining-industry-trends-to-watch-for-in-2026/</w:t>
      </w:r>
    </w:p>
    <w:p>
      <w:pPr>
        <w:spacing w:line="288" w:lineRule="auto"/>
        <w:ind w:firstLine="480" w:firstLineChars="200"/>
        <w:jc w:val="both"/>
      </w:pPr>
      <w:r>
        <w:rPr>
          <w:rFonts w:hint="eastAsia" w:ascii="微软雅黑" w:hAnsi="微软雅黑" w:eastAsia="微软雅黑"/>
          <w:noProof/>
          <w:sz w:val="24"/>
        </w:rPr>
        <w:t xml:space="preserve">[59] 2026 Mining Outlook: 7 trends shaping the future of global operations https://minetek.com/en-us/resource-hub/news/7-trends-for-mining-in-2026/</w:t>
      </w:r>
    </w:p>
    <w:p>
      <w:pPr>
        <w:spacing w:line="288" w:lineRule="auto"/>
        <w:ind w:firstLine="480" w:firstLineChars="200"/>
        <w:jc w:val="both"/>
      </w:pPr>
      <w:r>
        <w:rPr>
          <w:rFonts w:hint="eastAsia" w:ascii="微软雅黑" w:hAnsi="微软雅黑" w:eastAsia="微软雅黑"/>
          <w:noProof/>
          <w:sz w:val="24"/>
        </w:rPr>
        <w:t xml:space="preserve">[60] Mining &amp; metals 2026: Adapting to a policy-driven business cycle https://www.whitecase.com/insight-our-thinking/mining-metals-2026-adapting-policy-driven-business-cycle</w:t>
      </w:r>
    </w:p>
    <w:sectPr>
      <w:type w:val="nextPage"/>
      <w:pgSz w:w="11895" w:h="16830" w:orient="portrait"/>
      <w:pgMar w:top="1440" w:right="1800" w:bottom="1440" w:left="1800" w:header="855" w:footer="990" w:gutter="0"/>
    </w:sectPr>
  </w:body>
</w:document>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displayBackgroundShap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charts/chart1.xml" Type="http://schemas.openxmlformats.org/officeDocument/2006/relationships/chart" Id="rId3"/>
    <Relationship Target="charts/chart2.xml" Type="http://schemas.openxmlformats.org/officeDocument/2006/relationships/chart" Id="rId4"/>
    <Relationship Target="charts/chart3.xml" Type="http://schemas.openxmlformats.org/officeDocument/2006/relationships/chart" Id="rId5"/>
</Relationships>

</file>

<file path=word/charts/_rels/chart1.xml.rels><?xml version="1.0" encoding="UTF-8" standalone="yes"?>
<Relationships xmlns="http://schemas.openxmlformats.org/package/2006/relationships">
    <Relationship Target="../embeddings/1.xlsx" Type="http://schemas.openxmlformats.org/officeDocument/2006/relationships/package" Id="rId1"/>
</Relationships>

</file>

<file path=word/charts/_rels/chart2.xml.rels><?xml version="1.0" encoding="UTF-8" standalone="yes"?>
<Relationships xmlns="http://schemas.openxmlformats.org/package/2006/relationships">
    <Relationship Target="../embeddings/2.xlsx" Type="http://schemas.openxmlformats.org/officeDocument/2006/relationships/package" Id="rId1"/>
</Relationships>

</file>

<file path=word/charts/_rels/chart3.xml.rels><?xml version="1.0" encoding="UTF-8" standalone="yes"?>
<Relationships xmlns="http://schemas.openxmlformats.org/package/2006/relationships">
    <Relationship Target="../embeddings/3.xlsx" Type="http://schemas.openxmlformats.org/officeDocument/2006/relationships/package" Id="rId1"/>
</Relationships>

</file>

<file path=word/charts/chart1.xml><?xml version="1.0" encoding="utf-8"?>
<c:chartSpace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c:chart>
    <c:plotArea>
      <c:pieChart>
        <c:ser>
          <c:idx val="0"/>
          <c:order val="0"/>
          <c:tx>
            <c:strRef>
              <c:f>Sheet1!$B$1</c:f>
              <c:strCache>
                <c:ptCount val="1"/>
                <c:pt idx="0">
                  <c:v>Market+Share+(%)</c:v>
                </c:pt>
              </c:strCache>
            </c:strRef>
          </c:tx>
          <c:dPt>
            <c:idx val="0"/>
            <c:bubble3D val="false"/>
            <c:spPr>
              <a:solidFill>
                <a:srgbClr val="FF7733"/>
              </a:solidFill>
            </c:spPr>
          </c:dPt>
          <c:dPt>
            <c:idx val="1"/>
            <c:bubble3D val="false"/>
            <c:spPr>
              <a:solidFill>
                <a:srgbClr val="F8D256"/>
              </a:solidFill>
            </c:spPr>
          </c:dPt>
          <c:dPt>
            <c:idx val="2"/>
            <c:bubble3D val="false"/>
            <c:spPr>
              <a:solidFill>
                <a:srgbClr val="FF9D6C"/>
              </a:solidFill>
            </c:spPr>
          </c:dPt>
          <c:dPt>
            <c:idx val="3"/>
            <c:bubble3D val="false"/>
            <c:spPr>
              <a:solidFill>
                <a:srgbClr val="F5C1A0"/>
              </a:solidFill>
            </c:spPr>
          </c:dPt>
          <c:dLbls>
            <c:dLblPos val="outEnd"/>
            <c:showVal val="true"/>
            <c:showCatName val="true"/>
            <c:showSerName val="false"/>
            <c:showPercent val="false"/>
            <c:showBubbleSize val="false"/>
            <c:showLeaderLines val="true"/>
            <c:leaderLines>
              <c:spPr>
                <a:ln>
                  <a:solidFill>
                    <a:srgbClr val="FF7733"/>
                  </a:solidFill>
                </a:ln>
              </c:spPr>
            </c:leaderLines>
          </c:dLbls>
          <c:cat>
            <c:strRef>
              <c:f>Sheet1!$A$2:$A$5</c:f>
              <c:strCache>
                <c:ptCount val="4"/>
                <c:pt idx="0">
                  <c:v>Provider+A</c:v>
                </c:pt>
                <c:pt idx="1">
                  <c:v>Provider+B</c:v>
                </c:pt>
                <c:pt idx="2">
                  <c:v>Provider+C</c:v>
                </c:pt>
                <c:pt idx="3">
                  <c:v>Others</c:v>
                </c:pt>
              </c:strCache>
            </c:strRef>
          </c:cat>
          <c:val>
            <c:numRef>
              <c:f>Sheet1!$B$2:$B$5</c:f>
              <c:numCache>
                <c:ptCount val="4"/>
                <c:pt idx="0">
                  <c:v>35</c:v>
                </c:pt>
                <c:pt idx="1">
                  <c:v>25</c:v>
                </c:pt>
                <c:pt idx="2">
                  <c:v>15</c:v>
                </c:pt>
                <c:pt idx="3">
                  <c:v>25</c:v>
                </c:pt>
              </c:numCache>
            </c:numRef>
          </c:val>
        </c:ser>
      </c:pieChart>
      <c:spPr>
        <a:solidFill>
          <a:srgbClr val="F7F8FA"/>
        </a:solidFill>
      </c:spPr>
    </c:plotArea>
    <c:legend>
      <c:legendPos val="t"/>
      <c:overlay val="false"/>
    </c:legend>
  </c:chart>
  <c:spPr>
    <a:solidFill>
      <a:srgbClr val="F7F8FA"/>
    </a:solidFill>
    <a:ln>
      <a:noFill/>
    </a:ln>
  </c:spPr>
  <c:externalData r:id="rId1">
    <c:autoUpdate val="true"/>
  </c:externalData>
</c:chartSpace>
</file>

<file path=word/charts/chart2.xml><?xml version="1.0" encoding="utf-8"?>
<c:chartSpace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c:chart>
    <c:plotArea>
      <c:barChart>
        <c:barDir val="col"/>
        <c:grouping val="clustered"/>
        <c:ser>
          <c:idx val="0"/>
          <c:order val="0"/>
          <c:tx>
            <c:strRef>
              <c:f>Sheet1!$B$1</c:f>
              <c:strCache>
                <c:ptCount val="1"/>
                <c:pt idx="0">
                  <c:v>Adoption+Rate+(%)</c:v>
                </c:pt>
              </c:strCache>
            </c:strRef>
          </c:tx>
          <c:spPr>
            <a:solidFill>
              <a:srgbClr val="FF7733"/>
            </a:solidFill>
            <a:ln>
              <a:solidFill>
                <a:srgbClr val="FF7733"/>
              </a:solidFill>
            </a:ln>
          </c:spPr>
          <c:invertIfNegative val="false"/>
          <c:cat>
            <c:strRef>
              <c:f>Sheet1!$A$2:$A$5</c:f>
              <c:strCache>
                <c:ptCount val="4"/>
                <c:pt idx="0">
                  <c:v>ISO+9001+(Quality+Management)</c:v>
                </c:pt>
                <c:pt idx="1">
                  <c:v>ISO+45001+(Occupational+Health+&amp;+Safety)</c:v>
                </c:pt>
                <c:pt idx="2">
                  <c:v>ISO+14001+(Environmental+Management)</c:v>
                </c:pt>
                <c:pt idx="3">
                  <c:v>NOSA+(National+Occupational+Safety+Association)</c:v>
                </c:pt>
              </c:strCache>
            </c:strRef>
          </c:cat>
          <c:val>
            <c:numRef>
              <c:f>Sheet1!$B$2:$B$5</c:f>
              <c:numCache>
                <c:ptCount val="4"/>
                <c:pt idx="0">
                  <c:v>82</c:v>
                </c:pt>
                <c:pt idx="1">
                  <c:v>78</c:v>
                </c:pt>
                <c:pt idx="2">
                  <c:v>65</c:v>
                </c:pt>
                <c:pt idx="3">
                  <c:v>55</c:v>
                </c:pt>
              </c:numCache>
            </c:numRef>
          </c:val>
        </c:ser>
        <c:gapWidth val="125"/>
        <c:axId val="7366606"/>
        <c:axId val="6000124"/>
      </c:barChart>
      <c:catAx>
        <c:axId val="7366606"/>
        <c:scaling>
          <c:orientation val="minMax"/>
        </c:scaling>
        <c:delete val="false"/>
        <c:axPos val="b"/>
        <c:numFmt formatCode="General" sourceLinked="true"/>
        <c:majorTickMark val="out"/>
        <c:minorTickMark val="none"/>
        <c:tickLblPos val="low"/>
        <c:txPr>
          <a:bodyPr/>
          <a:lstStyle/>
          <a:p>
            <a:pPr>
              <a:defRPr>
                <a:solidFill>
                  <a:srgbClr val="999999"/>
                </a:solidFill>
              </a:defRPr>
            </a:pPr>
            <a:endParaRPr/>
          </a:p>
        </c:txPr>
        <c:crossAx val="6000124"/>
        <c:crosses val="autoZero"/>
      </c:catAx>
      <c:valAx>
        <c:axId val="6000124"/>
        <c:scaling>
          <c:orientation val="minMax"/>
        </c:scaling>
        <c:delete val="false"/>
        <c:axPos val="b"/>
        <c:majorGridlines>
          <c:spPr>
            <a:ln>
              <a:solidFill>
                <a:srgbClr val="E7E7E7"/>
              </a:solidFill>
              <a:prstDash val="dash"/>
            </a:ln>
          </c:spPr>
        </c:majorGridlines>
        <c:numFmt formatCode="General" sourceLinked="true"/>
        <c:majorTickMark val="none"/>
        <c:minorTickMark val="none"/>
        <c:spPr>
          <a:ln>
            <a:noFill/>
          </a:ln>
        </c:spPr>
        <c:txPr>
          <a:bodyPr/>
          <a:lstStyle/>
          <a:p>
            <a:pPr>
              <a:defRPr>
                <a:solidFill>
                  <a:srgbClr val="999999"/>
                </a:solidFill>
              </a:defRPr>
            </a:pPr>
            <a:endParaRPr/>
          </a:p>
        </c:txPr>
        <c:crossAx val="7366606"/>
        <c:crosses val="autoZero"/>
        <c:crossBetween val="between"/>
      </c:valAx>
      <c:spPr>
        <a:solidFill>
          <a:srgbClr val="F7F8FA"/>
        </a:solidFill>
      </c:spPr>
    </c:plotArea>
    <c:legend>
      <c:legendPos val="t"/>
      <c:overlay val="false"/>
    </c:legend>
  </c:chart>
  <c:spPr>
    <a:solidFill>
      <a:srgbClr val="F7F8FA"/>
    </a:solidFill>
    <a:ln>
      <a:noFill/>
    </a:ln>
  </c:spPr>
  <c:externalData r:id="rId1">
    <c:autoUpdate val="true"/>
  </c:externalData>
</c:chartSpace>
</file>

<file path=word/charts/chart3.xml><?xml version="1.0" encoding="utf-8"?>
<c:chartSpace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c:chart>
    <c:plotArea>
      <c:lineChart>
        <c:grouping val="standard"/>
        <c:varyColors val="false"/>
        <c:ser>
          <c:idx val="0"/>
          <c:order val="0"/>
          <c:tx>
            <c:strRef>
              <c:f>Sheet1!$B$1</c:f>
              <c:strCache>
                <c:ptCount val="1"/>
                <c:pt idx="0">
                  <c:v>Demand</c:v>
                </c:pt>
              </c:strCache>
            </c:strRef>
          </c:tx>
          <c:spPr>
            <a:ln>
              <a:solidFill>
                <a:srgbClr val="FF7733"/>
              </a:solidFill>
            </a:ln>
          </c:spPr>
          <c:marker>
            <c:symbol val="circle"/>
            <c:size val="4"/>
            <c:spPr>
              <a:noFill/>
              <a:ln>
                <a:solidFill>
                  <a:srgbClr val="FF7733"/>
                </a:solidFill>
              </a:ln>
            </c:spPr>
          </c:marker>
          <c:cat>
            <c:strRef>
              <c:f>Sheet1!$A$2:$A$6</c:f>
              <c:strCache>
                <c:ptCount val="5"/>
                <c:pt idx="0">
                  <c:v>2020</c:v>
                </c:pt>
                <c:pt idx="1">
                  <c:v>2021</c:v>
                </c:pt>
                <c:pt idx="2">
                  <c:v>2022</c:v>
                </c:pt>
                <c:pt idx="3">
                  <c:v>2023</c:v>
                </c:pt>
                <c:pt idx="4">
                  <c:v>2024</c:v>
                </c:pt>
              </c:strCache>
            </c:strRef>
          </c:cat>
          <c:val>
            <c:numRef>
              <c:f>Sheet1!$B$2:$B$6</c:f>
              <c:numCache>
                <c:ptCount val="5"/>
                <c:pt idx="0">
                  <c:v>5000</c:v>
                </c:pt>
                <c:pt idx="1">
                  <c:v>5200</c:v>
                </c:pt>
                <c:pt idx="2">
                  <c:v>5500</c:v>
                </c:pt>
                <c:pt idx="3">
                  <c:v>5800</c:v>
                </c:pt>
                <c:pt idx="4">
                  <c:v>6100</c:v>
                </c:pt>
              </c:numCache>
            </c:numRef>
          </c:val>
          <c:smooth val="false"/>
        </c:ser>
        <c:ser>
          <c:idx val="1"/>
          <c:order val="1"/>
          <c:tx>
            <c:strRef>
              <c:f>Sheet1!$C$1</c:f>
              <c:strCache>
                <c:ptCount val="1"/>
                <c:pt idx="0">
                  <c:v>Supply</c:v>
                </c:pt>
              </c:strCache>
            </c:strRef>
          </c:tx>
          <c:spPr>
            <a:ln>
              <a:solidFill>
                <a:srgbClr val="F8D256"/>
              </a:solidFill>
            </a:ln>
          </c:spPr>
          <c:marker>
            <c:symbol val="circle"/>
            <c:size val="4"/>
            <c:spPr>
              <a:noFill/>
              <a:ln>
                <a:solidFill>
                  <a:srgbClr val="F8D256"/>
                </a:solidFill>
              </a:ln>
            </c:spPr>
          </c:marker>
          <c:cat>
            <c:strRef>
              <c:f>Sheet1!$A$2:$A$6</c:f>
              <c:strCache>
                <c:ptCount val="5"/>
                <c:pt idx="0">
                  <c:v>2020</c:v>
                </c:pt>
                <c:pt idx="1">
                  <c:v>2021</c:v>
                </c:pt>
                <c:pt idx="2">
                  <c:v>2022</c:v>
                </c:pt>
                <c:pt idx="3">
                  <c:v>2023</c:v>
                </c:pt>
                <c:pt idx="4">
                  <c:v>2024</c:v>
                </c:pt>
              </c:strCache>
            </c:strRef>
          </c:cat>
          <c:val>
            <c:numRef>
              <c:f>Sheet1!$C$2:$C$6</c:f>
              <c:numCache>
                <c:ptCount val="5"/>
                <c:pt idx="0">
                  <c:v>4800</c:v>
                </c:pt>
                <c:pt idx="1">
                  <c:v>4900</c:v>
                </c:pt>
                <c:pt idx="2">
                  <c:v>4950</c:v>
                </c:pt>
                <c:pt idx="3">
                  <c:v>5100</c:v>
                </c:pt>
                <c:pt idx="4">
                  <c:v>5300</c:v>
                </c:pt>
              </c:numCache>
            </c:numRef>
          </c:val>
          <c:smooth val="false"/>
        </c:ser>
        <c:smooth val="false"/>
        <c:axId val="5945773"/>
        <c:axId val="9747056"/>
      </c:lineChart>
      <c:catAx>
        <c:axId val="5945773"/>
        <c:scaling>
          <c:orientation val="minMax"/>
        </c:scaling>
        <c:delete val="false"/>
        <c:axPos val="b"/>
        <c:numFmt formatCode="General" sourceLinked="true"/>
        <c:majorTickMark val="out"/>
        <c:minorTickMark val="none"/>
        <c:tickLblPos val="low"/>
        <c:txPr>
          <a:bodyPr/>
          <a:lstStyle/>
          <a:p>
            <a:pPr>
              <a:defRPr>
                <a:solidFill>
                  <a:srgbClr val="999999"/>
                </a:solidFill>
              </a:defRPr>
            </a:pPr>
            <a:endParaRPr/>
          </a:p>
        </c:txPr>
        <c:crossAx val="9747056"/>
        <c:crosses val="autoZero"/>
      </c:catAx>
      <c:valAx>
        <c:axId val="9747056"/>
        <c:scaling>
          <c:orientation val="minMax"/>
        </c:scaling>
        <c:delete val="false"/>
        <c:axPos val="b"/>
        <c:majorGridlines>
          <c:spPr>
            <a:ln>
              <a:solidFill>
                <a:srgbClr val="E7E7E7"/>
              </a:solidFill>
              <a:prstDash val="dash"/>
            </a:ln>
          </c:spPr>
        </c:majorGridlines>
        <c:numFmt formatCode="General" sourceLinked="true"/>
        <c:majorTickMark val="none"/>
        <c:minorTickMark val="none"/>
        <c:spPr>
          <a:ln>
            <a:noFill/>
          </a:ln>
        </c:spPr>
        <c:txPr>
          <a:bodyPr/>
          <a:lstStyle/>
          <a:p>
            <a:pPr>
              <a:defRPr>
                <a:solidFill>
                  <a:srgbClr val="999999"/>
                </a:solidFill>
              </a:defRPr>
            </a:pPr>
            <a:endParaRPr/>
          </a:p>
        </c:txPr>
        <c:crossAx val="5945773"/>
        <c:crosses val="autoZero"/>
        <c:crossBetween val="between"/>
      </c:valAx>
      <c:spPr>
        <a:solidFill>
          <a:srgbClr val="F7F8FA"/>
        </a:solidFill>
      </c:spPr>
    </c:plotArea>
    <c:legend>
      <c:legendPos val="t"/>
      <c:overlay val="false"/>
    </c:legend>
  </c:chart>
  <c:spPr>
    <a:solidFill>
      <a:srgbClr val="F7F8FA"/>
    </a:solidFill>
    <a:ln>
      <a:noFill/>
    </a:ln>
  </c:spPr>
  <c:externalData r:id="rId1">
    <c:autoUpdate val="true"/>
  </c:externalData>
</c:chartSpace>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