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Intelligence Research on Veralogix Drilling &amp; Blasting</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thesis presents a comprehensive market intelligence research report on the contract drilling and blasting sector in South Africa, focusing on Veralogix. The study systematically analyzes the competitive landscape by identifying and profiling key players, detailing their service scope, equipment, market positioning, and unique selling propositions. A critical examination of the explosives and ammonium nitrate supply chain is undertaken, including the identification of major suppliers, an assessment of supply chain risks such as import dependency and price volatility, and a detailed explanation of the complex licensing and SAPS regulation processes governing the industry. Furthermore, the research delves into the tender landscape, identifying crucial tender portals and analyzing the contract structures and CIDB grade requirements typical for large mining programmes. The regulatory and safety framework is thoroughly investigated, outlining essential acts, obligations, standards, certifications, and the roles of key regulatory bodies, alongside an analysis of safety challenges and trends. Finally, the study explores emerging technology and market trends, including automation, remote monitoring, data requirements for optimized operations, environmental pressures towards greener practices, and the impact of market consolidation on the competitive environment. This in-depth analysis provides Veralogix with actionable insights to navigate the South African drilling and blasting market effectively.</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Drilling and blasting, Market intelligence, South Africa, Explosives supply chain, Mining tenders, Regulatory compliance, Technology adoption, Competitive analysis</w:t>
      </w:r>
    </w:p>
    <w:p>
      <w:pPr>
        <w:pStyle w:val="Heading2"/>
        <w:spacing w:line="288" w:lineRule="auto"/>
        <w:ind/>
        <w:jc w:val="left"/>
      </w:pPr>
      <w:r>
        <w:rPr>
          <w:rFonts w:hint="eastAsia" w:ascii="微软雅黑" w:hAnsi="微软雅黑" w:eastAsia="微软雅黑"/>
          <w:b/>
          <w:noProof/>
          <w:sz w:val="36"/>
        </w:rPr>
        <w:t xml:space="preserve">Competitor List</w:t>
      </w:r>
    </w:p>
    <w:p>
      <w:pPr>
        <w:spacing w:line="288" w:lineRule="auto"/>
        <w:ind w:firstLine="480" w:firstLineChars="200"/>
        <w:jc w:val="both"/>
      </w:pPr>
      <w:r>
        <w:rPr>
          <w:rFonts w:hint="eastAsia" w:ascii="微软雅黑" w:hAnsi="微软雅黑" w:eastAsia="微软雅黑"/>
          <w:noProof/>
          <w:sz w:val="24"/>
        </w:rPr>
        <w:t xml:space="preserve">The competitive landscape for contract drilling and blasting services within the Republic of South Africa is characterized by a high degree of concentration at the upper echelon, counterbalanced by a dynamic and fragmented market of smaller, specialized operators. This bifurcated structure presents both significant barriers to entry and unique niche opportunities for new entrants such as Veralogix Drilling &amp; Blasting. The dominant players, often vertically integrated multinational corporations or large domestic industrial groups, leverage economies of scale, extensive capital resources, and long-standing relationships with major mining houses to secure the most lucrative, long-term contracts. Their competitive advantages are rooted in a comprehensive service offering that spans from the manufacturing and supply of explosives to sophisticated down-the-hole (DTH) services, supported by advanced technological integration and robust safety systems. In contrast, the second and third tiers of the market consist of a multitude of smaller, more agile firms that compete on the basis of regional specialization, operational flexibility, cost-effectiveness for smaller-scale projects, and the ability to serve sectors outside of mainstream mining, such as quarrying and civil construction. Understanding this competitive topography is the foundational step for Veralogix to formulate a viable market entry strategy, identify its most direct rivals, and define a compelling unique selling proposition (USP) that resonates with a specific, addressable segment of the market. The analysis of these competitors must extend beyond a mere list of names; it requires a deep dive into their operational capabilities, strategic positioning, technological prowess, and perceived market reputation.</w:t>
      </w:r>
    </w:p>
    <w:p>
      <w:pPr>
        <w:spacing w:line="288" w:lineRule="auto"/>
        <w:ind w:firstLine="480" w:firstLineChars="200"/>
        <w:jc w:val="both"/>
      </w:pPr>
      <w:r>
        <w:rPr>
          <w:rFonts w:hint="eastAsia" w:ascii="微软雅黑" w:hAnsi="微软雅黑" w:eastAsia="微软雅黑"/>
          <w:noProof/>
          <w:sz w:val="24"/>
        </w:rPr>
        <w:t xml:space="preserve">A thorough examination of the top-tier competitors reveals a formidable group of established entities that collectively command a substantial share of the South African market. Leading this pack is </w:t>
      </w:r>
      <w:r>
        <w:rPr>
          <w:rFonts w:hint="eastAsia" w:ascii="微软雅黑" w:hAnsi="微软雅黑" w:eastAsia="微软雅黑"/>
          <w:b/>
          <w:noProof/>
          <w:sz w:val="24"/>
        </w:rPr>
        <w:t xml:space="preserve">AEL Intelligent Blasting</w:t>
      </w:r>
      <w:r>
        <w:rPr>
          <w:rFonts w:hint="eastAsia" w:ascii="微软雅黑" w:hAnsi="微软雅黑" w:eastAsia="微软雅黑"/>
          <w:noProof/>
          <w:sz w:val="24"/>
        </w:rPr>
        <w:t xml:space="preserve">, a member of the JSE-listed AECI Group, which stands as a quintessential example of a vertically integrated powerhouse. AEL’s service scope is all-encompassing, beginning with the large-scale manufacturing of commercial explosives and initiating systems, including their world-renowned electronic detonators, and extending to full-service, on-site blasting solutions. The company serves the full spectrum of mining sectors, including the deep-level gold and platinum mines in the Witwatersrand and Bushveld Igneous Complex, the extensive coal fields of Mpumalanga, and the iron ore and manganese operations in the Northern Cape. Their equipment fleet is state-of-the-art, often featuring customized Mobile Manufacturing Units (MMUs) for bulk explosives delivery and advanced monitoring equipment for blast optimization. A key unique selling point is their technological leadership, particularly in electronic initiation systems, which offer clients enhanced safety, precision, and fragmentation control. Recent contracts frequently involve long-term partnerships with mining giants like Anglo American and Sibanye-Stillwater, where AEL is deeply embedded in the mine planning and production cycle, showcasing a competitive advantage built on technological superiority and entrenched client relationships.</w:t>
      </w:r>
    </w:p>
    <w:p>
      <w:pPr>
        <w:spacing w:line="288" w:lineRule="auto"/>
        <w:ind w:firstLine="480" w:firstLineChars="200"/>
        <w:jc w:val="both"/>
      </w:pPr>
      <w:r>
        <w:rPr>
          <w:rFonts w:hint="eastAsia" w:ascii="微软雅黑" w:hAnsi="微软雅黑" w:eastAsia="微软雅黑"/>
          <w:noProof/>
          <w:sz w:val="24"/>
        </w:rPr>
        <w:t xml:space="preserve">Another dominant force is </w:t>
      </w:r>
      <w:r>
        <w:rPr>
          <w:rFonts w:hint="eastAsia" w:ascii="微软雅黑" w:hAnsi="微软雅黑" w:eastAsia="微软雅黑"/>
          <w:b/>
          <w:noProof/>
          <w:sz w:val="24"/>
        </w:rPr>
        <w:t xml:space="preserve">BME (Blasting and Mining Equipment)</w:t>
      </w:r>
      <w:r>
        <w:rPr>
          <w:rFonts w:hint="eastAsia" w:ascii="微软雅黑" w:hAnsi="微软雅黑" w:eastAsia="微软雅黑"/>
          <w:noProof/>
          <w:sz w:val="24"/>
        </w:rPr>
        <w:t xml:space="preserve">, a division of the Omnia Group. BME competes directly with AEL across all major mining commodities and has built its market position on a platform of integrated service and digital innovation. Similar to AEL, BME provides a complete "rock on ground" solution, from explosives supply to blast execution. The company has a strong presence in the opencast mining sector, particularly in coal and iron ore, where its bulk emulsion explosives are widely utilized. BME’s equipment arsenal includes a large fleet of MMUs and support vehicles, and they have invested heavily in proprietary software solutions, such as their BLASTMAP™ design and AXXIS™ electronic detonation system. Their primary competitive advantage lies in the integration of their chemical and technological offerings, providing clients with a holistic system for blast optimization that promises efficiency gains and cost reductions. BME's market positioning is that of a technology-driven partner, and they often win contracts based on their ability to demonstrate tangible improvements in key performance indicators like muckpile profile, ore dilution, and overall comminution costs. Their contracts with major players like Exxaro Resources and Kumba Iron Ore underscore their status as a preferred supplier for large-scale, technologically demanding operations.</w:t>
      </w:r>
    </w:p>
    <w:p>
      <w:pPr>
        <w:spacing w:line="288" w:lineRule="auto"/>
        <w:ind w:firstLine="480" w:firstLineChars="200"/>
        <w:jc w:val="both"/>
      </w:pPr>
      <w:r>
        <w:rPr>
          <w:rFonts w:hint="eastAsia" w:ascii="微软雅黑" w:hAnsi="微软雅黑" w:eastAsia="微软雅黑"/>
          <w:noProof/>
          <w:sz w:val="24"/>
        </w:rPr>
        <w:t xml:space="preserve">The competitive landscape also includes other significant players such as </w:t>
      </w:r>
      <w:r>
        <w:rPr>
          <w:rFonts w:hint="eastAsia" w:ascii="微软雅黑" w:hAnsi="微软雅黑" w:eastAsia="微软雅黑"/>
          <w:b/>
          <w:noProof/>
          <w:sz w:val="24"/>
        </w:rPr>
        <w:t xml:space="preserve">Protea Mining Chemicals</w:t>
      </w:r>
      <w:r>
        <w:rPr>
          <w:rFonts w:hint="eastAsia" w:ascii="微软雅黑" w:hAnsi="微软雅黑" w:eastAsia="微软雅黑"/>
          <w:noProof/>
          <w:sz w:val="24"/>
        </w:rPr>
        <w:t xml:space="preserve">, part of the Protea Chemicals Group, which, while perhaps less vertically integrated into blasting services compared to AEL and BME, is a crucial supplier of chemicals and raw materials to the explosives industry. Their role is often more that of a strategic supplier rather than a direct competitor in contract blasting, but their influence on the supply chain is immense. A more direct competitor in the contract services space is </w:t>
      </w:r>
      <w:r>
        <w:rPr>
          <w:rFonts w:hint="eastAsia" w:ascii="微软雅黑" w:hAnsi="微软雅黑" w:eastAsia="微软雅黑"/>
          <w:b/>
          <w:noProof/>
          <w:sz w:val="24"/>
        </w:rPr>
        <w:t xml:space="preserve">Enaex Africa</w:t>
      </w:r>
      <w:r>
        <w:rPr>
          <w:rFonts w:hint="eastAsia" w:ascii="微软雅黑" w:hAnsi="微软雅黑" w:eastAsia="微软雅黑"/>
          <w:noProof/>
          <w:sz w:val="24"/>
        </w:rPr>
        <w:t xml:space="preserve">, a joint venture between Enaex (a major Chilean explosives manufacturer) and Sasol. This entity leverages Sasol’s extensive ammonium nitrate production capacity and Enaex’s global expertise in blasting solutions. Their service scope is comprehensive, targeting large opencast mines in the coal and metals sectors. The key equipment they utilize includes advanced bulk delivery systems, and their unique selling point is the security of supply chain provided by the direct link to Sasol, a major primary producer of ammonium nitrate. This strategic partnership gives them a powerful competitive edge in terms of cost control and raw material availability, positioning them as a highly reliable and cost-competitive option for mining houses concerned with supply chain stability.</w:t>
      </w:r>
    </w:p>
    <w:p>
      <w:pPr>
        <w:spacing w:line="288" w:lineRule="auto"/>
        <w:ind w:firstLine="480" w:firstLineChars="200"/>
        <w:jc w:val="both"/>
      </w:pPr>
      <w:r>
        <w:rPr>
          <w:rFonts w:hint="eastAsia" w:ascii="微软雅黑" w:hAnsi="微软雅黑" w:eastAsia="微软雅黑"/>
          <w:noProof/>
          <w:sz w:val="24"/>
        </w:rPr>
        <w:t xml:space="preserve">Beyond these giants, a vibrant ecosystem of Tier 2 and niche competitors carves out sustainable market positions. Companies like </w:t>
      </w:r>
      <w:r>
        <w:rPr>
          <w:rFonts w:hint="eastAsia" w:ascii="微软雅黑" w:hAnsi="微软雅黑" w:eastAsia="微软雅黑"/>
          <w:b/>
          <w:noProof/>
          <w:sz w:val="24"/>
        </w:rPr>
        <w:t xml:space="preserve">JEF Drill &amp; Blast</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Consolidated Drill &amp; Blast (CDB)</w:t>
      </w:r>
      <w:r>
        <w:rPr>
          <w:rFonts w:hint="eastAsia" w:ascii="微软雅黑" w:hAnsi="微软雅黑" w:eastAsia="微软雅黑"/>
          <w:noProof/>
          <w:sz w:val="24"/>
        </w:rPr>
        <w:t xml:space="preserve"> represent this segment. These firms typically operate with greater agility and lower overheads, making them highly competitive for small to medium-sized mining operations, quarries, and civil engineering projects. JEF Drill &amp; Blast, for instance, has a strong reputation in the Northern Cape and Limpopo provinces, serving not only major mining houses on smaller or specialized projects but also a broad base of junior miners and aggregate producers. Their service scope is focused purely on the operational aspect of drilling and blasting, often using explosives supplied by the major manufacturers. Their key equipment includes a versatile fleet of drill rigs suitable for various rock types and project scales. Their USP is often a combination of responsiveness, personalized service, and cost-effectiveness. They win contracts based on their ability to mobilize quickly and execute projects efficiently without the extensive corporate structure of their larger rivals.</w:t>
      </w:r>
    </w:p>
    <w:p>
      <w:pPr>
        <w:spacing w:line="288" w:lineRule="auto"/>
        <w:ind w:firstLine="480" w:firstLineChars="200"/>
        <w:jc w:val="both"/>
      </w:pPr>
      <w:r>
        <w:rPr>
          <w:rFonts w:hint="eastAsia" w:ascii="微软雅黑" w:hAnsi="微软雅黑" w:eastAsia="微软雅黑"/>
          <w:noProof/>
          <w:sz w:val="24"/>
        </w:rPr>
        <w:t xml:space="preserve">Similarly, companies such as </w:t>
      </w:r>
      <w:r>
        <w:rPr>
          <w:rFonts w:hint="eastAsia" w:ascii="微软雅黑" w:hAnsi="微软雅黑" w:eastAsia="微软雅黑"/>
          <w:b/>
          <w:noProof/>
          <w:sz w:val="24"/>
        </w:rPr>
        <w:t xml:space="preserve">Action Drill &amp; Blast</w:t>
      </w:r>
      <w:r>
        <w:rPr>
          <w:rFonts w:hint="eastAsia" w:ascii="微软雅黑" w:hAnsi="微软雅黑" w:eastAsia="微软雅黑"/>
          <w:noProof/>
          <w:sz w:val="24"/>
        </w:rPr>
        <w:t xml:space="preserve"> and regional specialists like </w:t>
      </w:r>
      <w:r>
        <w:rPr>
          <w:rFonts w:hint="eastAsia" w:ascii="微软雅黑" w:hAnsi="微软雅黑" w:eastAsia="微软雅黑"/>
          <w:b/>
          <w:noProof/>
          <w:sz w:val="24"/>
        </w:rPr>
        <w:t xml:space="preserve">Zululand Anthracite Colliery (ZAC)</w:t>
      </w:r>
      <w:r>
        <w:rPr>
          <w:rFonts w:hint="eastAsia" w:ascii="微软雅黑" w:hAnsi="微软雅黑" w:eastAsia="微软雅黑"/>
          <w:noProof/>
          <w:sz w:val="24"/>
        </w:rPr>
        <w:t xml:space="preserve">, which may have its own in-house or contracted teams, illustrate the diversity within the market. These entities thrive by focusing on specific geographic areas or commodity niches. Their competitive advantage is deep local knowledge, established community relationships, and a lean operational model. For civil construction projects, which require blasting for road cuttings, dam foundations, and site leveling, companies like </w:t>
      </w:r>
      <w:r>
        <w:rPr>
          <w:rFonts w:hint="eastAsia" w:ascii="微软雅黑" w:hAnsi="微软雅黑" w:eastAsia="微软雅黑"/>
          <w:b/>
          <w:noProof/>
          <w:sz w:val="24"/>
        </w:rPr>
        <w:t xml:space="preserve">Blasting &amp; Excavating (Pty) Ltd</w:t>
      </w:r>
      <w:r>
        <w:rPr>
          <w:rFonts w:hint="eastAsia" w:ascii="微软雅黑" w:hAnsi="微软雅黑" w:eastAsia="微软雅黑"/>
          <w:noProof/>
          <w:sz w:val="24"/>
        </w:rPr>
        <w:t xml:space="preserve"> are prominent. Their expertise is tailored to the unique challenges of blasting in proximity to infrastructure and communities, requiring precise control over vibration and fly-rock. Their market positioning is that of a specialist whose technical skills in controlled blasting are paramount. The analysis of these diverse competitors demonstrates that the market is not monolithic. While the major contracts are dominated by the top-tier players, significant revenue streams exist in segments where flexibility, specialization, and cost structure provide a winning formula. For Veralogix, this suggests that a successful entry strategy may not involve direct, head-to-head competition with AEL or BME from the outset, but rather a targeted approach aimed at underserved regions, commodities, or project sizes where its own unique strengths can be most effectively leveraged. The synthesis of this competitive analysis reveals that market success hinges on a clearly defined strategy that aligns capabilities with a specific market need, whether that be technological sophistication for Tier 1 clients or agile, cost-effective service for the broader market. This understanding directly informs the subsequent need to analyze the foundational supply chain that all these competitors rely upon.</w:t>
      </w:r>
    </w:p>
    <w:p>
      <w:pPr>
        <w:pStyle w:val="Heading2"/>
        <w:spacing w:line="288" w:lineRule="auto"/>
        <w:ind/>
        <w:jc w:val="left"/>
      </w:pPr>
      <w:r>
        <w:rPr>
          <w:rFonts w:hint="eastAsia" w:ascii="微软雅黑" w:hAnsi="微软雅黑" w:eastAsia="微软雅黑"/>
          <w:b/>
          <w:noProof/>
          <w:sz w:val="36"/>
        </w:rPr>
        <w:t xml:space="preserve">Explosives &amp; Ammonium Nitrate Supply Chain</w:t>
      </w:r>
    </w:p>
    <w:p>
      <w:pPr>
        <w:spacing w:line="288" w:lineRule="auto"/>
        <w:ind w:firstLine="480" w:firstLineChars="200"/>
        <w:jc w:val="both"/>
      </w:pPr>
      <w:r>
        <w:rPr>
          <w:rFonts w:hint="eastAsia" w:ascii="微软雅黑" w:hAnsi="微软雅黑" w:eastAsia="微软雅黑"/>
          <w:noProof/>
          <w:sz w:val="24"/>
        </w:rPr>
        <w:t xml:space="preserve">The supply chain for explosives and their primary precursor, ammonium nitrate (AN), represents the arterial system of the South African drilling and blasting industry. Its structure, risks, and regulatory framework are critical determinants of competitive advantage and operational viability. For any participant, from a multinational giant to a new entrant like Veralogix, mastery of this supply chain is not merely a logistical function but a core strategic competency. The chain begins with the sourcing or manufacturing of AN, progresses through the production of various explosive compositions (such as emulsions and ANFO), involves complex and highly regulated transportation and storage logistics, and culminates in the delivery of the product into the blast hole at the client's site. The inherent nature of these materials—being both essential production inputs and hazardous substances with potential for misuse—imposes a layer of complexity and risk that is unparalleled in most other industrial supply chains. Understanding the key players, logistical choke points, price volatility mechanisms, and the labyrinthine regulatory requirements is therefore fundamental to formulating a robust business strategy for Veralogix. The stability and cost-effectiveness of a contractor's operations are directly tethered to the efficiency and resilience of its explosives supply chain.</w:t>
      </w:r>
    </w:p>
    <w:p>
      <w:pPr>
        <w:spacing w:line="288" w:lineRule="auto"/>
        <w:ind w:firstLine="480" w:firstLineChars="200"/>
        <w:jc w:val="both"/>
      </w:pPr>
      <w:r>
        <w:rPr>
          <w:rFonts w:hint="eastAsia" w:ascii="微软雅黑" w:hAnsi="微软雅黑" w:eastAsia="微软雅黑"/>
          <w:noProof/>
          <w:sz w:val="24"/>
        </w:rPr>
        <w:t xml:space="preserve">At the apex of the supply chain in South Africa are a few dominant players who control the majority of manufacturing and distribution. The two most significant are </w:t>
      </w:r>
      <w:r>
        <w:rPr>
          <w:rFonts w:hint="eastAsia" w:ascii="微软雅黑" w:hAnsi="微软雅黑" w:eastAsia="微软雅黑"/>
          <w:b/>
          <w:noProof/>
          <w:sz w:val="24"/>
        </w:rPr>
        <w:t xml:space="preserve">AECI Mining Explosives (through AEL Intelligent Blasting)</w:t>
      </w:r>
      <w:r>
        <w:rPr>
          <w:rFonts w:hint="eastAsia" w:ascii="微软雅黑" w:hAnsi="微软雅黑" w:eastAsia="微软雅黑"/>
          <w:noProof/>
          <w:sz w:val="24"/>
        </w:rPr>
        <w:t xml:space="preserve"> and the </w:t>
      </w:r>
      <w:r>
        <w:rPr>
          <w:rFonts w:hint="eastAsia" w:ascii="微软雅黑" w:hAnsi="微软雅黑" w:eastAsia="微软雅黑"/>
          <w:b/>
          <w:noProof/>
          <w:sz w:val="24"/>
        </w:rPr>
        <w:t xml:space="preserve">Omnia Group (through BME)</w:t>
      </w:r>
      <w:r>
        <w:rPr>
          <w:rFonts w:hint="eastAsia" w:ascii="微软雅黑" w:hAnsi="微软雅黑" w:eastAsia="微软雅黑"/>
          <w:noProof/>
          <w:sz w:val="24"/>
        </w:rPr>
        <w:t xml:space="preserve">. These companies are extensively vertically integrated, meaning they not only provide blasting services but also manufacture the explosives they use. AECI, for instance, operates world-scale manufacturing plants for explosives and initiating systems, giving it immense control over its supply, quality, and cost structure. Similarly, Omnia’s BME has significant production capacity, which supports its extensive service network across Southern Africa. A third critical player is </w:t>
      </w:r>
      <w:r>
        <w:rPr>
          <w:rFonts w:hint="eastAsia" w:ascii="微软雅黑" w:hAnsi="微软雅黑" w:eastAsia="微软雅黑"/>
          <w:b/>
          <w:noProof/>
          <w:sz w:val="24"/>
        </w:rPr>
        <w:t>Sasol</w:t>
      </w:r>
      <w:r>
        <w:rPr>
          <w:rFonts w:hint="eastAsia" w:ascii="微软雅黑" w:hAnsi="微软雅黑" w:eastAsia="微软雅黑"/>
          <w:noProof/>
          <w:sz w:val="24"/>
        </w:rPr>
        <w:t xml:space="preserve">, which, while not a service provider in the same vein, is a primary manufacturer of ammonium nitrate, the key raw material. Sasol's production facilities, particularly its Sasolburg complex, are a cornerstone of the entire national supply chain, supplying AN not only to its joint venture partner Enaex Africa but also to other competitors on a commercial basis. The market share of these entities is substantial, with AECI and Omnia collectively accounting for a vast majority of the explosives market. Their geographic coverage is comprehensive, with established distribution networks, storage depots, and on-site manufacturing capabilities (via Mobile Manufacturing Units) in all of South Africa's key mining regions, from the Mpumalanga coalfields to the platinum belt in the North West and the iron ore mines of the Northern Cape. This concentration of power means that new entrants must either establish a supply agreement with one of these giants, which can be challenging, or find alternative sourcing routes, which are fraught with their own complexities.</w:t>
      </w:r>
    </w:p>
    <w:p>
      <w:pPr>
        <w:spacing w:line="288" w:lineRule="auto"/>
        <w:ind w:firstLine="480" w:firstLineChars="200"/>
        <w:jc w:val="both"/>
      </w:pPr>
      <w:r>
        <w:rPr>
          <w:rFonts w:hint="eastAsia" w:ascii="微软雅黑" w:hAnsi="微软雅黑" w:eastAsia="微软雅黑"/>
          <w:noProof/>
          <w:sz w:val="24"/>
        </w:rPr>
        <w:t xml:space="preserve">The strategic importance of this supply chain is matched by the significant risks inherent within it. Transportation challenges are a primary concern. Explosives and AN are classified as dangerous goods, requiring specialized vehicles, certified drivers, and approved transport routes, which are often subject to restrictions and require permits from the South African Police Service (SAPS). The logistical network relies heavily on South Africa’s road infrastructure, which can be variable in quality and subject to disruptions, from protests to accidents, leading to delivery delays that can halt mining production. Security is another paramount risk; the high value of explosives on the illicit market, particularly for illegal mining (zama-zama) activities, necessitates stringent security protocols during transport and storage, adding significant costs. Furthermore, there is a notable dependency on imports for certain specialized components or even for supplementary AN during periods of high demand or local production outages. This dependency exposes the supply chain to global geopolitical risks, currency fluctuations, and international shipping volatility. For example, global events suchas the conflict in Ukraine have had a profound impact on the price of natural gas, a primary feedstock for ammonia (the precursor to AN), leading to unprecedented price volatility for AN globally. A contractor with a fixed-price blasting contract can see its margins completely eroded by such unpredictable surges in raw material costs, highlighting the critical importance of sophisticated procurement strategies and risk hedging.</w:t>
      </w:r>
    </w:p>
    <w:p>
      <w:pPr>
        <w:spacing w:line="288" w:lineRule="auto"/>
        <w:ind w:firstLine="480" w:firstLineChars="200"/>
        <w:jc w:val="both"/>
      </w:pPr>
      <w:r>
        <w:rPr>
          <w:rFonts w:hint="eastAsia" w:ascii="微软雅黑" w:hAnsi="微软雅黑" w:eastAsia="微软雅黑"/>
          <w:noProof/>
          <w:sz w:val="24"/>
        </w:rPr>
        <w:t xml:space="preserve">Counterarguments often suggest that the South African explosives supply chain possesses a high degree of inherent resilience, mitigating some of these risks. Proponents of this view point to the substantial domestic manufacturing capacity for both AN (at Sasol) and finished explosives (at AECI and Omnia), which insulates the country from the worst of international supply disruptions. They also highlight the prevalence of long-term, formula-based supply agreements between the major suppliers and the large mining houses, which smooth out price volatility and ensure a degree of supply security. Furthermore, the establishment of on-site emulsion plants and strategic regional depots by the major players creates a buffer stock that can absorb short-term logistical delays. However, this perspective on resilience must be critically examined. This resilience is largely concentrated within the ecosystem of the major suppliers and their Tier 1 clients. A new or smaller entrant like Veralogix would likely not have the leverage to secure such favorable long-term agreements and would be more exposed to the spot market for AN, where price volatility is most extreme. Moreover, access to the "resilient" infrastructure of the major players is not guaranteed and can be used as a competitive lever, potentially disadvantaging smaller rivals. The security and logistical infrastructure, while robust for the incumbents, represents a significant capital and regulatory barrier for new players seeking to build their own parallel systems.</w:t>
      </w:r>
    </w:p>
    <w:p>
      <w:pPr>
        <w:spacing w:line="288" w:lineRule="auto"/>
        <w:ind w:firstLine="480" w:firstLineChars="200"/>
        <w:jc w:val="both"/>
      </w:pPr>
      <w:r>
        <w:rPr>
          <w:rFonts w:hint="eastAsia" w:ascii="微软雅黑" w:hAnsi="微软雅黑" w:eastAsia="微软雅黑"/>
          <w:noProof/>
          <w:sz w:val="24"/>
        </w:rPr>
        <w:t xml:space="preserve">Navigating this supply chain requires strict adherence to a complex web of licensing and compliance requirements. Every entity that touches the product—from manufacturer to transporter to end-user—must be appropriately licensed under the Explosives Act 15 of 2003 and its accompanying regulations. For a company like Veralogix, this means obtaining multiple permits. A primary requirement is an Explosives License, which can specify permissions to purchase, possess, store, and use explosives. This is not a single, simple permit but a portfolio of authorizations tailored to the company's operations. For instance, storing explosives on a mine site requires a separate magazine license, which involves the construction of a storage facility that meets stringent SANS (South African National Standards) specifications for security, location, and design. Transporting explosives requires permits for the vehicles and certification for the drivers. Furthermore, all key personnel involved in handling explosives, from procurement managers to the blasters themselves, must be declared "competent persons," which involves rigorous background checks by the SAPS and appropriate qualifications from the Mining Qualifications Authority (MQA) or a similar body. These certifications, such as a Blasting Ticket, are non-negotiable legal requirements.</w:t>
      </w:r>
    </w:p>
    <w:p>
      <w:pPr>
        <w:spacing w:line="288" w:lineRule="auto"/>
        <w:ind w:firstLine="480" w:firstLineChars="200"/>
        <w:jc w:val="both"/>
      </w:pPr>
      <w:r>
        <w:rPr>
          <w:rFonts w:hint="eastAsia" w:ascii="微软雅黑" w:hAnsi="微软雅黑" w:eastAsia="微软雅黑"/>
          <w:noProof/>
          <w:sz w:val="24"/>
        </w:rPr>
        <w:t xml:space="preserve">The central role of the South African Police Service (SAPS), specifically its Explosives Control Division, cannot be overstated in this regulatory process. The SAPS regulation process is notoriously detailed, time-consuming, and can be a significant source of operational delays. For Veralogix to become operational, it must successfully navigate this multi-step process. The first step involves the formal application for the necessary licenses and permits, which requires extensive documentation about the company, its directors, its intended operations, and its safety and security procedures. This is followed by a rigorous vetting process, where the SAPS conducts thorough background and security clearance checks on all directors and responsible employees to ensure they are "fit and proper" persons to handle explosives. Concurrently, the SAPS will conduct physical inspections of any proposed facilities, most critically the explosives magazines, to ensure they comply with every detail of the legal and technical standards. They will also need to approve the specific routes planned for the transportation of explosives. The duration of this process is a significant business risk; it can take anywhere from six months to well over a year, depending on the complexity of the application and the administrative capacity of the relevant SAPS offices. The associated costs are both direct, in the form of application fees and the high capital cost of building compliant facilities, and indirect, through the opportunity cost of delayed market entry and the extensive administrative resources required to manage the application process.</w:t>
      </w:r>
    </w:p>
    <w:p>
      <w:pPr>
        <w:spacing w:line="288" w:lineRule="auto"/>
        <w:ind w:firstLine="480" w:firstLineChars="200"/>
        <w:jc w:val="both"/>
      </w:pPr>
      <w:r>
        <w:rPr>
          <w:rFonts w:hint="eastAsia" w:ascii="微软雅黑" w:hAnsi="微软雅黑" w:eastAsia="微软雅黑"/>
          <w:noProof/>
          <w:sz w:val="24"/>
        </w:rPr>
        <w:t xml:space="preserve">The intricate details of the SAPS permit application process underscore its function as a major barrier to entry. For example, obtaining a permit to use explosives on a specific mine site is not a blanket authorization. It is often tied to the specific contract with that mine. This means a contractor might need to apply for new or amended permits for each new project, introducing potential delays between winning a tender and being able to commence work. The application requires detailed blast designs, risk assessments, and emergency response plans specific to that site. Any change in personnel, equipment, or even the type of explosive used may require a formal amendment to the permit, adding another layer of administrative burden. The process is designed to be meticulous to prevent the diversion of explosives and ensure public safety, but for a business, this translates into a need for a dedicated compliance team and a strategic approach to managing regulatory timelines. A failure to secure the correct permits in a timely fashion can lead to contractual penalties, loss of business, and severe legal consequences, including fines and imprisonment.</w:t>
      </w:r>
    </w:p>
    <w:p>
      <w:pPr>
        <w:spacing w:line="288" w:lineRule="auto"/>
        <w:ind w:firstLine="480" w:firstLineChars="200"/>
        <w:jc w:val="both"/>
      </w:pPr>
      <w:r>
        <w:rPr>
          <w:rFonts w:hint="eastAsia" w:ascii="微软雅黑" w:hAnsi="微软雅黑" w:eastAsia="微软雅黑"/>
          <w:noProof/>
          <w:sz w:val="24"/>
        </w:rPr>
        <w:t xml:space="preserve">The procurement of ammonium nitrate itself is subject to these stringent controls. As a key ingredient in improvised explosive devices, AN is a highly controlled substance. A buyer like Veralogix cannot simply purchase AN from a supplier. It must hold the appropriate SAPS permit that authorizes the purchase of a specific quantity of AN for a specified purpose and for storage at a licensed facility. The supplier, in turn, is legally obligated to verify the buyer's permit before completing the sale and must maintain meticulous records of every transaction, which are subject to audit by the SAPS. This creates a tightly controlled, closed-loop system where every kilogram of the product is tracked from its point of manufacture to its final use. For Veralogix, this means that its ability to procure raw materials is directly contingent on its success in navigating the SAPS regulatory process. Any delay in permit approvals directly translates into an inability to purchase the fundamental input for its services.</w:t>
      </w:r>
    </w:p>
    <w:p>
      <w:pPr>
        <w:spacing w:line="288" w:lineRule="auto"/>
        <w:ind w:firstLine="480" w:firstLineChars="200"/>
        <w:jc w:val="both"/>
      </w:pPr>
      <w:r>
        <w:rPr>
          <w:rFonts w:hint="eastAsia" w:ascii="微软雅黑" w:hAnsi="微软雅黑" w:eastAsia="微软雅黑"/>
          <w:noProof/>
          <w:sz w:val="24"/>
        </w:rPr>
        <w:t xml:space="preserve">In synthesizing the dynamics of the explosives and ammonium nitrate supply chain, it becomes clear that it is a domain defined by concentrated market power, significant logistical and price risks, and an exceptionally stringent regulatory environment. The major players have built their dominance not only on operational scale but also on their mastery of this complex ecosystem, using their integrated supply chains and regulatory expertise as formidable competitive moats. For Veralogix, a successful strategy cannot be premised on the assumption of easy access to materials. It must involve a proactive and sophisticated approach to supply chain management, incorporating robust risk mitigation for price volatility, contingency planning for logistical disruptions, and, most critically, a dedicated and expert-led effort to navigate the labyrinthine licensing and compliance requirements enforced by the SAPS and other bodies. The ability to secure a reliable, cost-effective, and fully compliant supply of explosives is not an operational detail; it is a foundational pillar for market entry and survival. This reality, where securing inputs is as challenging as securing clients, leads logically to an investigation of the tender landscape, the formal process through which work is won and contracts are awarded.</w:t>
      </w:r>
    </w:p>
    <w:p>
      <w:pPr>
        <w:pStyle w:val="Heading2"/>
        <w:spacing w:line="288" w:lineRule="auto"/>
        <w:ind/>
        <w:jc w:val="left"/>
      </w:pPr>
      <w:r>
        <w:rPr>
          <w:rFonts w:hint="eastAsia" w:ascii="微软雅黑" w:hAnsi="微软雅黑" w:eastAsia="微软雅黑"/>
          <w:b/>
          <w:noProof/>
          <w:sz w:val="36"/>
        </w:rPr>
        <w:t xml:space="preserve">Tender Landscape</w:t>
      </w:r>
    </w:p>
    <w:p>
      <w:pPr>
        <w:spacing w:line="288" w:lineRule="auto"/>
        <w:ind w:firstLine="480" w:firstLineChars="200"/>
        <w:jc w:val="both"/>
      </w:pPr>
      <w:r>
        <w:rPr>
          <w:rFonts w:hint="eastAsia" w:ascii="微软雅黑" w:hAnsi="微软雅黑" w:eastAsia="微软雅黑"/>
          <w:noProof/>
          <w:sz w:val="24"/>
        </w:rPr>
        <w:t xml:space="preserve">The tender landscape for contract drill-and-blast services in South Africa constitutes the primary gateway for securing substantial and sustainable revenue streams, particularly within the formal mining sector. It is a highly structured and increasingly formalized environment, governed by principles of corporate governance, stringent compliance requirements, and the transformative imperatives of Broad-Based Black Economic Empowerment (B-BBEE). The era of securing multi-million rand contracts purely through informal relationships or a handshake has largely been supplanted by sophisticated procurement systems designed to enhance transparency, drive value, and manage risk. For a prospective service provider like Veralogix, understanding the intricacies of this landscape—from identifying opportunities on various portals to deciphering the nuanced evaluation criteria of different mining houses and meeting the prerequisite construction industry gradings—is as critical as possessing the technical expertise to execute the work itself. This ecosystem represents a complex interplay of formal procedures, strategic positioning, and demonstrated capability, where success is determined long before the first drill rig arrives on site. A deep analysis of this process is therefore essential for developing a successful bidding strategy and positioning Veralogix as a credible and competitive player.</w:t>
      </w:r>
    </w:p>
    <w:p>
      <w:pPr>
        <w:spacing w:line="288" w:lineRule="auto"/>
        <w:ind w:firstLine="480" w:firstLineChars="200"/>
        <w:jc w:val="both"/>
      </w:pPr>
      <w:r>
        <w:rPr>
          <w:rFonts w:hint="eastAsia" w:ascii="微软雅黑" w:hAnsi="微软雅黑" w:eastAsia="微软雅黑"/>
          <w:noProof/>
          <w:sz w:val="24"/>
        </w:rPr>
        <w:t xml:space="preserve">The initial step in engaging with the tender landscape is the identification of opportunities, which primarily occurs through a combination of public and private tender portals. Major mining houses, such as </w:t>
      </w:r>
      <w:r>
        <w:rPr>
          <w:rFonts w:hint="eastAsia" w:ascii="微软雅黑" w:hAnsi="微软雅黑" w:eastAsia="微软雅黑"/>
          <w:b/>
          <w:noProof/>
          <w:sz w:val="24"/>
        </w:rPr>
        <w:t xml:space="preserve">Anglo American</w:t>
      </w:r>
      <w:r>
        <w:rPr>
          <w:rFonts w:hint="eastAsia" w:ascii="微软雅黑" w:hAnsi="微软雅黑" w:eastAsia="微软雅黑"/>
          <w:noProof/>
          <w:sz w:val="24"/>
        </w:rPr>
        <w:t xml:space="preserve">, </w:t>
      </w:r>
      <w:r>
        <w:rPr>
          <w:rFonts w:hint="eastAsia" w:ascii="微软雅黑" w:hAnsi="微软雅黑" w:eastAsia="微软雅黑"/>
          <w:b/>
          <w:noProof/>
          <w:sz w:val="24"/>
        </w:rPr>
        <w:t>Sibanye-Stillwater</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Exxaro Resources</w:t>
      </w:r>
      <w:r>
        <w:rPr>
          <w:rFonts w:hint="eastAsia" w:ascii="微软雅黑" w:hAnsi="微软雅黑" w:eastAsia="微软雅黑"/>
          <w:noProof/>
          <w:sz w:val="24"/>
        </w:rPr>
        <w:t xml:space="preserve">, and </w:t>
      </w:r>
      <w:r>
        <w:rPr>
          <w:rFonts w:hint="eastAsia" w:ascii="微软雅黑" w:hAnsi="微软雅黑" w:eastAsia="微软雅黑"/>
          <w:b/>
          <w:noProof/>
          <w:sz w:val="24"/>
        </w:rPr>
        <w:t>Glencore</w:t>
      </w:r>
      <w:r>
        <w:rPr>
          <w:rFonts w:hint="eastAsia" w:ascii="微软雅黑" w:hAnsi="微软雅黑" w:eastAsia="微软雅黑"/>
          <w:noProof/>
          <w:sz w:val="24"/>
        </w:rPr>
        <w:t xml:space="preserve">, have largely moved their procurement processes onto sophisticated e-procurement platforms. For example, Anglo American utilizes the SAP Ariba network, where potential suppliers must first undergo a rigorous pre-qualification and registration process to become an approved vendor. This registration often requires the submission of extensive company information, including financials, safety records, B-BBEE certification, and evidence of technical capabilities. Only once a company is registered and vetted can it become visible to the mining house's procurement teams and be invited to participate in relevant tenders. These private portals are often 'invite-only,' meaning that proactive marketing and relationship-building are still necessary to get onto the initial invitation list. Accessibility is therefore a significant hurdle; a new company cannot simply browse for opportunities but must first successfully navigate the gatekeeping function of vendor registration. This process itself can be time-consuming and resource-intensive, acting as an initial filter that weeds out unprepared or non-compliant firms.</w:t>
      </w:r>
    </w:p>
    <w:p>
      <w:pPr>
        <w:spacing w:line="288" w:lineRule="auto"/>
        <w:ind w:firstLine="480" w:firstLineChars="200"/>
        <w:jc w:val="both"/>
      </w:pPr>
      <w:r>
        <w:rPr>
          <w:rFonts w:hint="eastAsia" w:ascii="微软雅黑" w:hAnsi="微软雅黑" w:eastAsia="微软雅黑"/>
          <w:noProof/>
          <w:sz w:val="24"/>
        </w:rPr>
        <w:t xml:space="preserve">In addition to the private portals of individual mining houses, there are also government-run and subscription-based aggregator portals that consolidate tenders from various sources, including smaller mines, state-owned enterprises, and municipalities (for quarrying or civil works). The National Treasury's eTender Publication Portal is one such platform, although it is more focused on public sector procurement. Commercial subscription services, such as Leads 2 Business or Sabinet, actively monitor hundreds of sources and provide consolidated alerts to their clients, categorizing opportunities by sector and service type. While these platforms enhance visibility, their value is often in capturing opportunities from Tier 2 and Tier 3 clients. The most significant contracts from major mining corporations will almost exclusively be managed through their internal, private systems. Therefore, a dual strategy is necessary for Veralogix: diligent monitoring of public and aggregator portals for smaller, more accessible contracts that can build a track record, coupled with a concerted, strategic effort to achieve vendor status on the private portals of the key mining houses that represent the largest share of the market. Registration on these private portals is not merely an administrative step but a strategic objective that signals a certain level of corporate maturity and compliance readiness.</w:t>
      </w:r>
    </w:p>
    <w:p>
      <w:pPr>
        <w:spacing w:line="288" w:lineRule="auto"/>
        <w:ind w:firstLine="480" w:firstLineChars="200"/>
        <w:jc w:val="both"/>
      </w:pPr>
      <w:r>
        <w:rPr>
          <w:rFonts w:hint="eastAsia" w:ascii="微软雅黑" w:hAnsi="微软雅黑" w:eastAsia="微软雅黑"/>
          <w:noProof/>
          <w:sz w:val="24"/>
        </w:rPr>
        <w:t xml:space="preserve">Beyond identifying the opportunity, it is crucial to understand the procurement philosophies and typical contract structures of the mining houses that issue these tenders. The large, multinational mining corporations, often referred to as "the majors," have highly developed procurement strategies. Their tenders for drill-and-blast services are typically for long-term contracts, often spanning three to five years, as this ensures operational continuity and allows for investment in site-specific equipment and processes. The contract structures vary significantly and are a key point of analysis. Some may use a </w:t>
      </w:r>
      <w:r>
        <w:rPr>
          <w:rFonts w:hint="eastAsia" w:ascii="微软雅黑" w:hAnsi="微软雅黑" w:eastAsia="微软雅黑"/>
          <w:b/>
          <w:noProof/>
          <w:sz w:val="24"/>
        </w:rPr>
        <w:t>schedule-of-rates</w:t>
      </w:r>
      <w:r>
        <w:rPr>
          <w:rFonts w:hint="eastAsia" w:ascii="微软雅黑" w:hAnsi="微软雅黑" w:eastAsia="微软雅黑"/>
          <w:noProof/>
          <w:sz w:val="24"/>
        </w:rPr>
        <w:t xml:space="preserve"> contract, where the contractor is paid a fixed price per meter drilled and per kilogram of explosives used. This is a relatively simple model but places the volume risk on the mining house. Increasingly common, however, are more sophisticated </w:t>
      </w:r>
      <w:r>
        <w:rPr>
          <w:rFonts w:hint="eastAsia" w:ascii="微软雅黑" w:hAnsi="微软雅黑" w:eastAsia="微软雅黑"/>
          <w:b/>
          <w:noProof/>
          <w:sz w:val="24"/>
        </w:rPr>
        <w:t>performance-based</w:t>
      </w:r>
      <w:r>
        <w:rPr>
          <w:rFonts w:hint="eastAsia" w:ascii="微软雅黑" w:hAnsi="微软雅黑" w:eastAsia="微软雅黑"/>
          <w:noProof/>
          <w:sz w:val="24"/>
        </w:rPr>
        <w:t xml:space="preserve"> or </w:t>
      </w:r>
      <w:r>
        <w:rPr>
          <w:rFonts w:hint="eastAsia" w:ascii="微软雅黑" w:hAnsi="微软雅黑" w:eastAsia="微软雅黑"/>
          <w:b/>
          <w:noProof/>
          <w:sz w:val="24"/>
        </w:rPr>
        <w:t xml:space="preserve">incentivized contracts</w:t>
      </w:r>
      <w:r>
        <w:rPr>
          <w:rFonts w:hint="eastAsia" w:ascii="微软雅黑" w:hAnsi="微软雅黑" w:eastAsia="微软雅黑"/>
          <w:noProof/>
          <w:sz w:val="24"/>
        </w:rPr>
        <w:t xml:space="preserve">. In this model, the contractor's remuneration is linked to achieving specific Key Performance Indicators (KPIs). These KPIs could include blast fragmentation size (which impacts the efficiency of downstream loading and crushing), muckpile shape (for efficient digging), adherence to design (minimizing ore dilution), and control of environmental factors like vibration and fly-rock. This structure aligns the contractor's objectives with the mine's overall production goals, transforming the relationship from a simple service provision to a strategic partnership. For Veralogix, this means that a winning bid is not just about the lowest price but about presenting a technical solution that can demonstrably improve the client's operational efficiency.</w:t>
      </w:r>
    </w:p>
    <w:p>
      <w:pPr>
        <w:spacing w:line="288" w:lineRule="auto"/>
        <w:ind w:firstLine="480" w:firstLineChars="200"/>
        <w:jc w:val="both"/>
      </w:pPr>
      <w:r>
        <w:rPr>
          <w:rFonts w:hint="eastAsia" w:ascii="微软雅黑" w:hAnsi="微软雅黑" w:eastAsia="微软雅黑"/>
          <w:noProof/>
          <w:sz w:val="24"/>
        </w:rPr>
        <w:t xml:space="preserve">The evaluation criteria used by these large mining programmes are multi-faceted and extend far beyond the commercial offer. While price is always a factor, it is often weighted alongside several other critical components. </w:t>
      </w:r>
      <w:r>
        <w:rPr>
          <w:rFonts w:hint="eastAsia" w:ascii="微软雅黑" w:hAnsi="微软雅黑" w:eastAsia="微软雅黑"/>
          <w:b/>
          <w:noProof/>
          <w:sz w:val="24"/>
        </w:rPr>
        <w:t xml:space="preserve">Safety performance</w:t>
      </w:r>
      <w:r>
        <w:rPr>
          <w:rFonts w:hint="eastAsia" w:ascii="微软雅黑" w:hAnsi="微软雅黑" w:eastAsia="微软雅黑"/>
          <w:noProof/>
          <w:sz w:val="24"/>
        </w:rPr>
        <w:t xml:space="preserve"> is paramount; a tenderer will be required to submit detailed safety statistics, management systems (ideally certified to a standard like ISO 45001), and a comprehensive, site-specific safety plan. A poor safety record is an immediate disqualifier, regardless of price. </w:t>
      </w:r>
      <w:r>
        <w:rPr>
          <w:rFonts w:hint="eastAsia" w:ascii="微软雅黑" w:hAnsi="微软雅黑" w:eastAsia="微软雅黑"/>
          <w:b/>
          <w:noProof/>
          <w:sz w:val="24"/>
        </w:rPr>
        <w:t xml:space="preserve">Technical capability</w:t>
      </w:r>
      <w:r>
        <w:rPr>
          <w:rFonts w:hint="eastAsia" w:ascii="微软雅黑" w:hAnsi="微软雅黑" w:eastAsia="微软雅黑"/>
          <w:noProof/>
          <w:sz w:val="24"/>
        </w:rPr>
        <w:t xml:space="preserve"> is another key criterion, where the bidder must demonstrate its understanding of the mine's specific geology and operational challenges, proposing a tailored drilling and blasting methodology, appropriate equipment, and qualified personnel. The third, and increasingly important, pillar is the company’s </w:t>
      </w:r>
      <w:r>
        <w:rPr>
          <w:rFonts w:hint="eastAsia" w:ascii="微软雅黑" w:hAnsi="微软雅黑" w:eastAsia="微软雅黑"/>
          <w:b/>
          <w:noProof/>
          <w:sz w:val="24"/>
        </w:rPr>
        <w:t xml:space="preserve">Broad-Based Black Economic Empowerment (B-BBEE)</w:t>
      </w:r>
      <w:r>
        <w:rPr>
          <w:rFonts w:hint="eastAsia" w:ascii="微软雅黑" w:hAnsi="微软雅黑" w:eastAsia="微软雅黑"/>
          <w:noProof/>
          <w:sz w:val="24"/>
        </w:rPr>
        <w:t xml:space="preserve"> status. Mining houses operate under the strictures of the Mining Charter, which mandates specific targets for procurement from black-owned and managed businesses. A company's B-BBEE contribution level, verified by an official certificate, is a critical component of the tender adjudication scorecard. A higher B-BBEE level (e.g., Level 1 or 2) provides a significant competitive advantage, and in some cases, certain tenders are exclusively set aside for companies with a specific minimum B-BBEE status. For Veralogix, achieving a strong B-BBEE score is not an optional extra; it is a fundamental prerequisite for competing effectively in the modern South African mining sector.</w:t>
      </w:r>
    </w:p>
    <w:p>
      <w:pPr>
        <w:spacing w:line="288" w:lineRule="auto"/>
        <w:ind w:firstLine="480" w:firstLineChars="200"/>
        <w:jc w:val="both"/>
      </w:pPr>
      <w:r>
        <w:rPr>
          <w:rFonts w:hint="eastAsia" w:ascii="微软雅黑" w:hAnsi="微软雅黑" w:eastAsia="微软雅黑"/>
          <w:noProof/>
          <w:sz w:val="24"/>
        </w:rPr>
        <w:t xml:space="preserve">A pervasive counterargument within the industry posits that despite the formalization of tender processes, the sector remains an "old boys' club" where entrenched relationships between incumbent contractors and mining house management heavily influence contract awards. This view suggests that formal tenders are sometimes merely a procedural formality to justify the retention of a long-standing service provider. It is argued that the deep operational integration, personal trust, and historical performance of an incumbent create a level of inertia that is almost impossible for a new entrant to overcome, regardless of the merits of its bid. According to this perspective, a new company like Veralogix could submit a technologically superior and more cost-effective proposal, only to lose out to a competitor whose primary advantage is its decades-long history with the client. This perception can be disheartening for new entrants and suggests that breaking into the top tier of the market is less about the quality of the tender response and more about penetrating a closed social and professional network.</w:t>
      </w:r>
    </w:p>
    <w:p>
      <w:pPr>
        <w:spacing w:line="288" w:lineRule="auto"/>
        <w:ind w:firstLine="480" w:firstLineChars="200"/>
        <w:jc w:val="both"/>
      </w:pPr>
      <w:r>
        <w:rPr>
          <w:rFonts w:hint="eastAsia" w:ascii="微软雅黑" w:hAnsi="微软雅黑" w:eastAsia="微软雅黑"/>
          <w:noProof/>
          <w:sz w:val="24"/>
        </w:rPr>
        <w:t xml:space="preserve">While there is an element of truth to the importance of established relationships and the trust built over years of reliable service, this "old boys' club" counterargument is increasingly being challenged and rendered less potent by powerful structural forces. The primary rebuttal lies in the ascendancy of corporate governance, risk management, and compliance functions within the mining houses themselves. Procurement decisions are no longer made solely by mine managers but are subject to scrutiny by independent tender committees, financial auditors, and risk officers. These internal governance structures are designed specifically to mitigate the risks of cronyism and ensure that procurement decisions are objective, defensible, and deliver the best overall value to the company. Furthermore, the legislative power of B-BBEE and the Mining Charter cannot be underestimated. Mining companies face significant pressure from the government and society to transform their supply chains. Failing to meet procurement targets for black-owned businesses can jeopardize a mining house's own operating license. This creates a powerful, top-down incentive to actively seek out and onboard new, compliant suppliers, providing a genuine and significant opening for a company like Veralogix, particularly if it possesses a strong B-BBEE credential. The tender process, therefore, becomes a mechanism for these mining houses to discover and empower new entrants that help them meet their transformation goals.</w:t>
      </w:r>
    </w:p>
    <w:p>
      <w:pPr>
        <w:spacing w:line="288" w:lineRule="auto"/>
        <w:ind w:firstLine="480" w:firstLineChars="200"/>
        <w:jc w:val="both"/>
      </w:pPr>
      <w:r>
        <w:rPr>
          <w:rFonts w:hint="eastAsia" w:ascii="微软雅黑" w:hAnsi="微软雅黑" w:eastAsia="微软雅黑"/>
          <w:noProof/>
          <w:sz w:val="24"/>
        </w:rPr>
        <w:t xml:space="preserve">A critical and often overlooked technical requirement in the tender landscape is the role of the </w:t>
      </w:r>
      <w:r>
        <w:rPr>
          <w:rFonts w:hint="eastAsia" w:ascii="微软雅黑" w:hAnsi="微软雅黑" w:eastAsia="微软雅黑"/>
          <w:b/>
          <w:noProof/>
          <w:sz w:val="24"/>
        </w:rPr>
        <w:t xml:space="preserve">Construction Industry Development Board (CIDB)</w:t>
      </w:r>
      <w:r>
        <w:rPr>
          <w:rFonts w:hint="eastAsia" w:ascii="微软雅黑" w:hAnsi="微软雅黑" w:eastAsia="微软雅黑"/>
          <w:noProof/>
          <w:sz w:val="24"/>
        </w:rPr>
        <w:t xml:space="preserve">. The CIDB is a statutory body established to regulate and develop the South African construction industry. While its primary focus is on building and civil engineering, its grading system is frequently invoked in mining tenders, especially those that involve significant earthworks, infrastructure development, or are structured as Engineering, Procurement, and Construction Management (EPCM) projects. Drill-and-blast operations, particularly for large-scale opencast mine development or major pit expansions, are often classified under the 'CE' (Civil Engineering) or 'ME' (Mining Engineering, a sub-class) categories of the CIDB framework. The CIDB assigns contractors a grade from 1 to 9 based on their financial capability and their track record of completed projects. This grade determines the maximum value of a contract that a company is legally permitted to tender for. For instance, a Grade 7 CE contractor might be eligible to bid on projects up to R130 million, while a Grade 9 CE contractor has no upper limit.</w:t>
      </w:r>
    </w:p>
    <w:p>
      <w:pPr>
        <w:spacing w:line="288" w:lineRule="auto"/>
        <w:ind w:firstLine="480" w:firstLineChars="200"/>
        <w:jc w:val="both"/>
      </w:pPr>
      <w:r>
        <w:rPr>
          <w:rFonts w:hint="eastAsia" w:ascii="微软雅黑" w:hAnsi="微软雅黑" w:eastAsia="微软雅黑"/>
          <w:noProof/>
          <w:sz w:val="24"/>
        </w:rPr>
        <w:t xml:space="preserve">The implication of the CIDB grading system for a company like Veralogix is profound and acts as a major strategic hurdle. When a mining house issues a tender for a large-scale, long-term drill-and-blast contract valued at, for example, R200 million, the tender documents will almost certainly specify a minimum required CIDB grade (e.g., Grade 8 CE/ME). Any company that does not hold this grade is automatically disqualified from bidding, regardless of its technical expertise, safety record, or B-BBEE status. For a new company, starting without a track record, it would typically only qualify for a low grade (e.g., Grade 1 or 2), limiting it to very small projects. The process of upgrading a CIDB grade is arduous; it requires the successful completion of projects of a certain size and demonstrating sufficient available capital and financial stability. This creates a classic "chicken-and-egg" problem: to win large contracts, you need a high CIDB grade, but to get a high CIDB grade, you need to have completed large contracts. This structural barrier is one of the most significant challenges for new entrants aspiring to compete for major projects and necessitates a long-term strategy of gradually building a project portfolio to systematically climb the CIDB grading ladder.</w:t>
      </w:r>
    </w:p>
    <w:p>
      <w:pPr>
        <w:spacing w:line="288" w:lineRule="auto"/>
        <w:ind w:firstLine="480" w:firstLineChars="200"/>
        <w:jc w:val="both"/>
      </w:pPr>
      <w:r>
        <w:rPr>
          <w:rFonts w:hint="eastAsia" w:ascii="微软雅黑" w:hAnsi="微软雅黑" w:eastAsia="微软雅黑"/>
          <w:noProof/>
          <w:sz w:val="24"/>
        </w:rPr>
        <w:t xml:space="preserve">In summary, the tender landscape for drill-and-blast services in South Africa is a sophisticated and demanding arena. It requires a multi-pronged strategy that begins with navigating the opaque world of vendor registration on private procurement portals while simultaneously monitoring public platforms for opportunities to build a track record. Success in bidding depends on a holistic value proposition that masterfully balances competitive pricing with impeccable safety credentials, a compelling technical solution, and, critically, a high B-BBEE score. Furthermore, the often-underestimated CIDB grading system imposes a structural pathway that dictates the scale of projects a company can pursue. For Veralogix, entering this landscape requires not just operational readiness but also a deep strategic understanding of these formal and informal rules of engagement. The ability to prepare a compliant, persuasive, and strategically astute tender is the essential bridge between having the capability to do the work and actually winning the contract to do so. This entire process, from tender submission to contract execution, is itself underwritten by a formidable framework of laws and safety standards, which warrants its own detailed examination.</w:t>
      </w:r>
    </w:p>
    <w:p>
      <w:pPr>
        <w:pStyle w:val="Heading2"/>
        <w:spacing w:line="288" w:lineRule="auto"/>
        <w:ind/>
        <w:jc w:val="left"/>
      </w:pPr>
      <w:r>
        <w:rPr>
          <w:rFonts w:hint="eastAsia" w:ascii="微软雅黑" w:hAnsi="微软雅黑" w:eastAsia="微软雅黑"/>
          <w:b/>
          <w:noProof/>
          <w:sz w:val="36"/>
        </w:rPr>
        <w:t xml:space="preserve">Regulatory &amp; Safety Watchlist</w:t>
      </w:r>
    </w:p>
    <w:p>
      <w:pPr>
        <w:spacing w:line="288" w:lineRule="auto"/>
        <w:ind w:firstLine="480" w:firstLineChars="200"/>
        <w:jc w:val="both"/>
      </w:pPr>
      <w:r>
        <w:rPr>
          <w:rFonts w:hint="eastAsia" w:ascii="微软雅黑" w:hAnsi="微软雅黑" w:eastAsia="微软雅黑"/>
          <w:noProof/>
          <w:sz w:val="24"/>
        </w:rPr>
        <w:t xml:space="preserve">The regulatory and safety framework governing the South African mining industry, and by extension contract drill-and-blast operations, is one of the most comprehensive and rigorously enforced in the world. This environment is not a static set of rules but a dynamic ecosystem of legislation, standards, and enforcement actions shaped by a deep and often tragic history of mining accidents, a powerful union movement, and a post-apartheid constitutional commitment to human dignity and safety. For any operator within this sector, and particularly for a new entrant like Veralogix, compliance is not a discretionary activity or a cost center to be minimized; it is the fundamental license to operate. A failure to comprehend and meticulously adhere to this intricate web of regulations poses an existential threat to the business, with consequences ranging from crippling operational stoppages and massive financial penalties to criminal liability for company directors. Therefore, a thorough analysis of the key acts, regulatory bodies, and prevailing safety trends is an indispensable component of market intelligence and strategic planning. This framework defines the non-negotiable operational boundaries within which all competitive activity must take place.</w:t>
      </w:r>
    </w:p>
    <w:p>
      <w:pPr>
        <w:spacing w:line="288" w:lineRule="auto"/>
        <w:ind w:firstLine="480" w:firstLineChars="200"/>
        <w:jc w:val="both"/>
      </w:pPr>
      <w:r>
        <w:rPr>
          <w:rFonts w:hint="eastAsia" w:ascii="微软雅黑" w:hAnsi="微软雅黑" w:eastAsia="微软雅黑"/>
          <w:noProof/>
          <w:sz w:val="24"/>
        </w:rPr>
        <w:t xml:space="preserve">At the heart of this regulatory structure is the </w:t>
      </w:r>
      <w:r>
        <w:rPr>
          <w:rFonts w:hint="eastAsia" w:ascii="微软雅黑" w:hAnsi="微软雅黑" w:eastAsia="微软雅黑"/>
          <w:b/>
          <w:noProof/>
          <w:sz w:val="24"/>
        </w:rPr>
        <w:t xml:space="preserve">Mine Health and Safety Act (MHSA), No. 29 of 1996</w:t>
      </w:r>
      <w:r>
        <w:rPr>
          <w:rFonts w:hint="eastAsia" w:ascii="微软雅黑" w:hAnsi="微软雅黑" w:eastAsia="微软雅黑"/>
          <w:noProof/>
          <w:sz w:val="24"/>
        </w:rPr>
        <w:t xml:space="preserve">. The MHSA represents a paradigm shift from the prescriptive, state-centric regulations of the past to a modern, performance-based system founded on the principle of tripartite cooperation between the state, employers, and organized labor. The Act's core philosophy places the primary responsibility for ensuring a safe working environment squarely on the employer, which explicitly includes any contractor performing work on a mine. A critical obligation under the MHSA is the employer's duty to conduct comprehensive hazard identification and risk assessments (HIRAs) for all work processes. For a drill-and-blast contractor, this means a detailed, documented analysis of every potential risk, from the stability of the drill rig and the handling of explosives to the dangers of fly-rock, misfires, and post-blast fumes. Based on this assessment, the contractor must develop and implement a robust Safety Management System (SMS), including codes of practice (COPs) for all high-risk activities. Furthermore, the MHSA mandates a series of legal appointments, where competent individuals are given legal responsibility for specific aspects of health and safety. For a contractor like Veralogix, this would include appointing a senior manager as the legally responsible person (often termed a Section 4.4 appointee) for the contract work, who can be held personally accountable for any contraventions of the Act.</w:t>
      </w:r>
    </w:p>
    <w:p>
      <w:pPr>
        <w:spacing w:line="288" w:lineRule="auto"/>
        <w:ind w:firstLine="480" w:firstLineChars="200"/>
        <w:jc w:val="both"/>
      </w:pPr>
      <w:r>
        <w:rPr>
          <w:rFonts w:hint="eastAsia" w:ascii="微软雅黑" w:hAnsi="微软雅黑" w:eastAsia="微软雅黑"/>
          <w:noProof/>
          <w:sz w:val="24"/>
        </w:rPr>
        <w:t xml:space="preserve">Complementing the MHSA is the </w:t>
      </w:r>
      <w:r>
        <w:rPr>
          <w:rFonts w:hint="eastAsia" w:ascii="微软雅黑" w:hAnsi="微软雅黑" w:eastAsia="微软雅黑"/>
          <w:b/>
          <w:noProof/>
          <w:sz w:val="24"/>
        </w:rPr>
        <w:t xml:space="preserve">Explosives Act, No. 15 of 2003</w:t>
      </w:r>
      <w:r>
        <w:rPr>
          <w:rFonts w:hint="eastAsia" w:ascii="微软雅黑" w:hAnsi="微软雅黑" w:eastAsia="微软雅黑"/>
          <w:noProof/>
          <w:sz w:val="24"/>
        </w:rPr>
        <w:t xml:space="preserve">, and its associated regulations. While the MHSA governs the 'how' of safety in the mining environment, the Explosives Act governs the 'what'—the explosives themselves. This Act provides the legal framework for the control of all explosives, from manufacture and transport to storage and use, and is primarily enforced by the South African Police Service (SAPS). As previously discussed in the context of the supply chain, this Act establishes the stringent permitting and licensing regime that is a prerequisite for any company to handle explosives. Operationally, on the mine site, the Explosives Act works in tandem with the MHSA. For instance, the design and construction of an explosives magazine on a mine must comply with the technical specifications laid out in the Explosives Regulations and associated South African National Standards (SANS), while the day-to-day management of that magazine, including access control and record-keeping, would fall under the mine's overall safety management system as required by the MHSA. The interplay between these two principal acts creates a dual-layered regulatory burden that requires deep specialist knowledge to navigate effectively.</w:t>
      </w:r>
    </w:p>
    <w:p>
      <w:pPr>
        <w:spacing w:line="288" w:lineRule="auto"/>
        <w:ind w:firstLine="480" w:firstLineChars="200"/>
        <w:jc w:val="both"/>
      </w:pPr>
      <w:r>
        <w:rPr>
          <w:rFonts w:hint="eastAsia" w:ascii="微软雅黑" w:hAnsi="微软雅黑" w:eastAsia="微软雅黑"/>
          <w:noProof/>
          <w:sz w:val="24"/>
        </w:rPr>
        <w:t xml:space="preserve">The legislative web extends further to encompass a range of other critical statutes and standards. The </w:t>
      </w:r>
      <w:r>
        <w:rPr>
          <w:rFonts w:hint="eastAsia" w:ascii="微软雅黑" w:hAnsi="微软雅黑" w:eastAsia="微软雅黑"/>
          <w:b/>
          <w:noProof/>
          <w:sz w:val="24"/>
        </w:rPr>
        <w:t xml:space="preserve">National Environmental Management Act (NEMA), No. 107 of 1998</w:t>
      </w:r>
      <w:r>
        <w:rPr>
          <w:rFonts w:hint="eastAsia" w:ascii="微软雅黑" w:hAnsi="微软雅黑" w:eastAsia="微软雅黑"/>
          <w:noProof/>
          <w:sz w:val="24"/>
        </w:rPr>
        <w:t xml:space="preserve">, is of paramount importance for blasting operations. NEMA and its specific associated acts regulate environmental impacts, including noise, air pollution (dust), and ground vibration. Blasting operations are a significant source of all three, and contractors must demonstrate that their blast designs and execution methods are optimized to minimize these effects and remain within legally permissible or contractually agreed-upon limits. This often requires sophisticated pre-blast modeling and post-blast monitoring, with results reported to both the client and potentially the Department of Forestry, Fisheries and the Environment. For work conducted in workshops or offices off the mine site, the </w:t>
      </w:r>
      <w:r>
        <w:rPr>
          <w:rFonts w:hint="eastAsia" w:ascii="微软雅黑" w:hAnsi="微软雅黑" w:eastAsia="微软雅黑"/>
          <w:b/>
          <w:noProof/>
          <w:sz w:val="24"/>
        </w:rPr>
        <w:t xml:space="preserve">Occupational Health and Safety Act (OHSA), No. 85 of 1993</w:t>
      </w:r>
      <w:r>
        <w:rPr>
          <w:rFonts w:hint="eastAsia" w:ascii="微软雅黑" w:hAnsi="微软雅黑" w:eastAsia="微软雅黑"/>
          <w:noProof/>
          <w:sz w:val="24"/>
        </w:rPr>
        <w:t xml:space="preserve">, applies, creating another set of compliance obligations for the business's non-mining activities. Adherence to various </w:t>
      </w:r>
      <w:r>
        <w:rPr>
          <w:rFonts w:hint="eastAsia" w:ascii="微软雅黑" w:hAnsi="微软雅黑" w:eastAsia="微软雅黑"/>
          <w:b/>
          <w:noProof/>
          <w:sz w:val="24"/>
        </w:rPr>
        <w:t xml:space="preserve">South African National Standards (SANS)</w:t>
      </w:r>
      <w:r>
        <w:rPr>
          <w:rFonts w:hint="eastAsia" w:ascii="微软雅黑" w:hAnsi="微软雅黑" w:eastAsia="微软雅黑"/>
          <w:noProof/>
          <w:sz w:val="24"/>
        </w:rPr>
        <w:t xml:space="preserve"> is also often a legal or contractual requirement. These include standards for the transport of dangerous goods (SANS 10228), the design of explosives facilities (SANS 10263), and quality management systems (ISO 9001, adopted as SANS 9001), which, while not a legal requirement, is often a prerequisite for tendering.</w:t>
      </w:r>
    </w:p>
    <w:p>
      <w:pPr>
        <w:spacing w:line="288" w:lineRule="auto"/>
        <w:ind w:firstLine="480" w:firstLineChars="200"/>
        <w:jc w:val="both"/>
      </w:pPr>
      <w:r>
        <w:rPr>
          <w:rFonts w:hint="eastAsia" w:ascii="微软雅黑" w:hAnsi="微软雅黑" w:eastAsia="微软雅黑"/>
          <w:noProof/>
          <w:sz w:val="24"/>
        </w:rPr>
        <w:t xml:space="preserve">Overseeing this complex regulatory landscape is a set of powerful government bodies with extensive enforcement capabilities. The primary regulator for on-mine activities is the </w:t>
      </w:r>
      <w:r>
        <w:rPr>
          <w:rFonts w:hint="eastAsia" w:ascii="微软雅黑" w:hAnsi="微软雅黑" w:eastAsia="微软雅黑"/>
          <w:b/>
          <w:noProof/>
          <w:sz w:val="24"/>
        </w:rPr>
        <w:t xml:space="preserve">Department of Mineral Resources and Energy (DMRE)</w:t>
      </w:r>
      <w:r>
        <w:rPr>
          <w:rFonts w:hint="eastAsia" w:ascii="微软雅黑" w:hAnsi="微软雅黑" w:eastAsia="微软雅黑"/>
          <w:noProof/>
          <w:sz w:val="24"/>
        </w:rPr>
        <w:t xml:space="preserve">, and specifically its </w:t>
      </w:r>
      <w:r>
        <w:rPr>
          <w:rFonts w:hint="eastAsia" w:ascii="微软雅黑" w:hAnsi="微软雅黑" w:eastAsia="微软雅黑"/>
          <w:b/>
          <w:noProof/>
          <w:sz w:val="24"/>
        </w:rPr>
        <w:t xml:space="preserve">Mine Health and Safety Inspectorate (MHSI)</w:t>
      </w:r>
      <w:r>
        <w:rPr>
          <w:rFonts w:hint="eastAsia" w:ascii="微软雅黑" w:hAnsi="微软雅黑" w:eastAsia="微软雅黑"/>
          <w:noProof/>
          <w:sz w:val="24"/>
        </w:rPr>
        <w:t xml:space="preserve">. The MHSI is staffed by inspectors who have the authority to enter any mine at any time to conduct audits, investigate accidents, and inspect working conditions. Their powers are substantial. If an inspector identifies a condition or practice that they believe poses an immediate danger to the health or safety of any person, they can issue a </w:t>
      </w:r>
      <w:r>
        <w:rPr>
          <w:rFonts w:hint="eastAsia" w:ascii="微软雅黑" w:hAnsi="微软雅黑" w:eastAsia="微软雅黑"/>
          <w:b/>
          <w:noProof/>
          <w:sz w:val="24"/>
        </w:rPr>
        <w:t xml:space="preserve">Section 54 instruction</w:t>
      </w:r>
      <w:r>
        <w:rPr>
          <w:rFonts w:hint="eastAsia" w:ascii="微软雅黑" w:hAnsi="微软雅黑" w:eastAsia="微软雅黑"/>
          <w:noProof/>
          <w:sz w:val="24"/>
        </w:rPr>
        <w:t xml:space="preserve">, which orders the immediate cessation of operations in the affected area. Such a stoppage can be financially devastating for a contractor, as it halts all revenue-generating activity while costs continue to accrue. The inspectorate can also recommend the imposition of administrative fines or, in cases of gross negligence, pursue criminal charges against the employer and its appointed responsible persons. The </w:t>
      </w:r>
      <w:r>
        <w:rPr>
          <w:rFonts w:hint="eastAsia" w:ascii="微软雅黑" w:hAnsi="微软雅黑" w:eastAsia="微软雅黑"/>
          <w:b/>
          <w:noProof/>
          <w:sz w:val="24"/>
        </w:rPr>
        <w:t xml:space="preserve">SAPS Explosives Control Division</w:t>
      </w:r>
      <w:r>
        <w:rPr>
          <w:rFonts w:hint="eastAsia" w:ascii="微软雅黑" w:hAnsi="微软雅黑" w:eastAsia="微软雅黑"/>
          <w:noProof/>
          <w:sz w:val="24"/>
        </w:rPr>
        <w:t xml:space="preserve"> acts as the second key regulator, focused on the security and licensing aspects of explosives. Their role is to prevent the diversion of explosives into illicit channels and to ensure that all entities handling these materials are properly authorized and compliant. Their enforcement powers include the ability to revoke licenses, seize materials, and initiate criminal proceedings for violations of the Explosives Act.</w:t>
      </w:r>
    </w:p>
    <w:p>
      <w:pPr>
        <w:spacing w:line="288" w:lineRule="auto"/>
        <w:ind w:firstLine="480" w:firstLineChars="200"/>
        <w:jc w:val="both"/>
      </w:pPr>
      <w:r>
        <w:rPr>
          <w:rFonts w:hint="eastAsia" w:ascii="微软雅黑" w:hAnsi="微软雅黑" w:eastAsia="微软雅黑"/>
          <w:noProof/>
          <w:sz w:val="24"/>
        </w:rPr>
        <w:t xml:space="preserve">Within this stringent regulatory context, specific safety challenges and trends in drilling and blasting demand constant attention. Historically, the most severe accidents have involved fly-rock (uncontrolled projectiles from a blast), misfires (where part of a charge fails to detonate), and exposure to toxic post-blast fumes like nitrogen oxides (NOx). The industry and its regulators have focused intensely on mitigating these risks. Modern accident prevention measures are increasingly reliant on technology. For example, the use of sophisticated blast design and simulation software allows engineers to accurately model the rock mass response and predict the extent of fly-rock, enabling them to design blasts that contain energy more effectively. The widespread adoption of </w:t>
      </w:r>
      <w:r>
        <w:rPr>
          <w:rFonts w:hint="eastAsia" w:ascii="微软雅黑" w:hAnsi="微软雅黑" w:eastAsia="微软雅黑"/>
          <w:b/>
          <w:noProof/>
          <w:sz w:val="24"/>
        </w:rPr>
        <w:t xml:space="preserve">electronic delay detonators (EDDs)</w:t>
      </w:r>
      <w:r>
        <w:rPr>
          <w:rFonts w:hint="eastAsia" w:ascii="微软雅黑" w:hAnsi="微软雅黑" w:eastAsia="微软雅黑"/>
          <w:noProof/>
          <w:sz w:val="24"/>
        </w:rPr>
        <w:t xml:space="preserve"> has been a game-changer for safety. Unlike traditional pyrotechnic systems, electronic detonators allow for highly precise, programmable timing of individual blast holes. This precision drastically reduces the risk of misfires caused by timing overlaps or cut-offs and allows for complex firing sequences that can control the direction of throw and minimize ground vibration. Furthermore, the trend towards remote and automated equipment, such as tele-remote drill rigs, physically removes the operator from the most hazardous areas of the rock face, representing a fundamental step-change in risk management by eliminating exposure.</w:t>
      </w:r>
    </w:p>
    <w:p>
      <w:pPr>
        <w:spacing w:line="288" w:lineRule="auto"/>
        <w:ind w:firstLine="480" w:firstLineChars="200"/>
        <w:jc w:val="both"/>
      </w:pPr>
      <w:r>
        <w:rPr>
          <w:rFonts w:hint="eastAsia" w:ascii="微软雅黑" w:hAnsi="微软雅黑" w:eastAsia="微软雅黑"/>
          <w:noProof/>
          <w:sz w:val="24"/>
        </w:rPr>
        <w:t xml:space="preserve">A significant critical debate within the safety profession revolves around the distinction between a "compliance culture" and a true "safety culture." A counterargument to the efficacy of the extensive regulatory framework is that it can inadvertently foster a "compliance culture," where a company's primary goal becomes "ticking the boxes" to pass audits and avoid regulatory sanctions. In such a culture, safety is seen as a bureaucratic exercise in paperwork and procedure, rather than a deeply held value that informs every decision and action. This can create a dangerous illusion of safety, where a company may have a perfect set of documented procedures but lacks the on-the-ground, proactive vigilance from its workforce to identify and manage emergent, un-proceduralized risks. The argument is that over-regulation can stifle innovation and critical thinking, leading employees to simply "follow the book" rather than actively thinking about how to make their work safer. This creates a brittle safety system that can shatter in the face of an unexpected event.</w:t>
      </w:r>
    </w:p>
    <w:p>
      <w:pPr>
        <w:spacing w:line="288" w:lineRule="auto"/>
        <w:ind w:firstLine="480" w:firstLineChars="200"/>
        <w:jc w:val="both"/>
      </w:pPr>
      <w:r>
        <w:rPr>
          <w:rFonts w:hint="eastAsia" w:ascii="微软雅黑" w:hAnsi="微软雅黑" w:eastAsia="微软雅黑"/>
          <w:noProof/>
          <w:sz w:val="24"/>
        </w:rPr>
        <w:t xml:space="preserve">However, the modern approach to safety management provides a strong rebuttal to this concern. The evolution from simple rule-based systems to integrated safety management systems (ISMS), particularly those aligned with international standards like </w:t>
      </w:r>
      <w:r>
        <w:rPr>
          <w:rFonts w:hint="eastAsia" w:ascii="微软雅黑" w:hAnsi="微软雅黑" w:eastAsia="微软雅黑"/>
          <w:b/>
          <w:noProof/>
          <w:sz w:val="24"/>
        </w:rPr>
        <w:t xml:space="preserve">ISO 45001 (Occupational Health and Safety)</w:t>
      </w:r>
      <w:r>
        <w:rPr>
          <w:rFonts w:hint="eastAsia" w:ascii="微软雅黑" w:hAnsi="微软雅黑" w:eastAsia="微软雅黑"/>
          <w:noProof/>
          <w:sz w:val="24"/>
        </w:rPr>
        <w:t xml:space="preserve">, directly addresses this issue. These frameworks do not just mandate procedures; they require a holistic approach that embeds safety into the fabric of the organization. Key elements of the ISO 45001 standard, for instance, include a mandatory commitment from top leadership, active participation and consultation with workers, a continuous improvement cycle (Plan-Do-Check-Act), and a focus on managing opportunities as well as risks. When properly implemented, such a system transforms compliance from a reactive, "tick-box" activity into a proactive, dynamic process of continuous learning and improvement. It encourages a culture where every employee feels empowered and responsible for safety, effectively merging the requirements of regulatory compliance with the ethos of a genuine safety culture. The regulations, in this view, provide the minimum baseline, while the management system provides the framework for striving towards "Goal Zero" or zero harm.</w:t>
      </w:r>
    </w:p>
    <w:p>
      <w:pPr>
        <w:spacing w:line="288" w:lineRule="auto"/>
        <w:ind w:firstLine="480" w:firstLineChars="200"/>
        <w:jc w:val="both"/>
      </w:pPr>
      <w:r>
        <w:rPr>
          <w:rFonts w:hint="eastAsia" w:ascii="微软雅黑" w:hAnsi="微软雅黑" w:eastAsia="微软雅黑"/>
          <w:noProof/>
          <w:sz w:val="24"/>
        </w:rPr>
        <w:t xml:space="preserve">Central to the success of any safety system, and a core tenet of the MHSA, is the principle of </w:t>
      </w:r>
      <w:r>
        <w:rPr>
          <w:rFonts w:hint="eastAsia" w:ascii="微软雅黑" w:hAnsi="微软雅黑" w:eastAsia="微软雅黑"/>
          <w:b/>
          <w:noProof/>
          <w:sz w:val="24"/>
        </w:rPr>
        <w:t>competence</w:t>
      </w:r>
      <w:r>
        <w:rPr>
          <w:rFonts w:hint="eastAsia" w:ascii="微软雅黑" w:hAnsi="微软雅黑" w:eastAsia="微软雅黑"/>
          <w:noProof/>
          <w:sz w:val="24"/>
        </w:rPr>
        <w:t xml:space="preserve">. The law requires that any person performing a task that could affect health and safety must be properly trained and declared competent to do so. For drill-and-blast operations, this is of paramount importance. The blaster-in-charge must hold a valid </w:t>
      </w:r>
      <w:r>
        <w:rPr>
          <w:rFonts w:hint="eastAsia" w:ascii="微软雅黑" w:hAnsi="微软雅黑" w:eastAsia="微软雅黑"/>
          <w:b/>
          <w:noProof/>
          <w:sz w:val="24"/>
        </w:rPr>
        <w:t xml:space="preserve">Blasting Ticket</w:t>
      </w:r>
      <w:r>
        <w:rPr>
          <w:rFonts w:hint="eastAsia" w:ascii="微软雅黑" w:hAnsi="微软雅黑" w:eastAsia="微软雅黑"/>
          <w:noProof/>
          <w:sz w:val="24"/>
        </w:rPr>
        <w:t xml:space="preserve">, a certification issued by the DMRE after a rigorous process of theoretical training, practical experience under supervision, and examination. This is the ultimate license for an individual to handle and use explosives. Similarly, drill rig operators, supervisors, and risk assessment facilitators must all undergo specific training and be formally assessed as competent for their roles. This training is typically provided by accredited institutions and is often overseen by the </w:t>
      </w:r>
      <w:r>
        <w:rPr>
          <w:rFonts w:hint="eastAsia" w:ascii="微软雅黑" w:hAnsi="微软雅黑" w:eastAsia="微软雅黑"/>
          <w:b/>
          <w:noProof/>
          <w:sz w:val="24"/>
        </w:rPr>
        <w:t xml:space="preserve">Mining Qualifications Authority (MQA)</w:t>
      </w:r>
      <w:r>
        <w:rPr>
          <w:rFonts w:hint="eastAsia" w:ascii="微软雅黑" w:hAnsi="微软雅黑" w:eastAsia="微软雅黑"/>
          <w:noProof/>
          <w:sz w:val="24"/>
        </w:rPr>
        <w:t xml:space="preserve">, a Sector Education and Training Authority (SETA) dedicated to the mining industry. For a company like Veralogix, this means that a key strategic priority is the recruitment, training, and retention of a verifiably competent workforce. A failure to ensure and document the competence of its employees is a major legal and operational risk, as any incident involving an incompetent person would leave the company severely exposed to prosecution. Ongoing, documented refresher training is also critical to maintain competence and ensure that the workforce is up-to-date with new technologies, procedures, and regulatory changes.</w:t>
      </w:r>
    </w:p>
    <w:p>
      <w:pPr>
        <w:spacing w:line="288" w:lineRule="auto"/>
        <w:ind w:firstLine="480" w:firstLineChars="200"/>
        <w:jc w:val="both"/>
      </w:pPr>
      <w:r>
        <w:rPr>
          <w:rFonts w:hint="eastAsia" w:ascii="微软雅黑" w:hAnsi="微软雅黑" w:eastAsia="微软雅黑"/>
          <w:noProof/>
          <w:sz w:val="24"/>
        </w:rPr>
        <w:t xml:space="preserve">In synthesis, the regulatory and safety environment in South Africa is a defining feature of the drill-and-blast market. It is a complex, multi-layered system of legal obligations, stringent enforcement, and high expectations from clients and society. Navigating this landscape successfully requires more than just a passing familiarity with the law; it demands a dedicated, expert-led compliance function, a significant investment in safety systems and training, and an unwavering organizational commitment to a culture of zero harm. The high barriers to entry created by this regulatory framework serve to filter out unprepared or unscrupulous operators, but for a company like Veralogix that is prepared to meet and exceed these standards, a strong safety record and a sophisticated compliance system can become a powerful competitive advantage. It is a signal to the market, and especially to risk-averse major mining houses, that the company is a mature, reliable, and responsible partner. The continuous evolution of this environment, driven by incidents and innovation, leads directly to the broader technological and market trends that are currently reshaping the industry.</w:t>
      </w:r>
    </w:p>
    <w:p>
      <w:pPr>
        <w:pStyle w:val="Heading2"/>
        <w:spacing w:line="288" w:lineRule="auto"/>
        <w:ind/>
        <w:jc w:val="left"/>
      </w:pPr>
      <w:r>
        <w:rPr>
          <w:rFonts w:hint="eastAsia" w:ascii="微软雅黑" w:hAnsi="微软雅黑" w:eastAsia="微软雅黑"/>
          <w:b/>
          <w:noProof/>
          <w:sz w:val="36"/>
        </w:rPr>
        <w:t xml:space="preserve">Technology &amp; Market Trends</w:t>
      </w:r>
    </w:p>
    <w:p>
      <w:pPr>
        <w:spacing w:line="288" w:lineRule="auto"/>
        <w:ind w:firstLine="480" w:firstLineChars="200"/>
        <w:jc w:val="both"/>
      </w:pPr>
      <w:r>
        <w:rPr>
          <w:rFonts w:hint="eastAsia" w:ascii="微软雅黑" w:hAnsi="微软雅黑" w:eastAsia="微软雅黑"/>
          <w:noProof/>
          <w:sz w:val="24"/>
        </w:rPr>
        <w:t xml:space="preserve">The contract drill-and-blast sector, historically characterized by its conservatism and reliance on established practices, is currently in the throes of a profound transformation driven by a convergence of powerful trends. This shift, often framed within the context of the Fourth Industrial Revolution or "Mining 4.0," is fundamentally altering the bases of competition, the nature of service delivery, and the very definition of operational excellence. The forces at play include the rapid adoption of digital and automation technologies, an escalating demand for data-driven decision-making, mounting environmental and social pressures, and a persistent trend towards market consolidation. For a new entrant like Veralogix Drilling &amp; Blasting, these trends represent both a significant threat and a unique opportunity. Competing against established incumbents on their traditional terms of scale and experience may be a losing proposition. However, by strategically embracing and leveraging these emergent trends, a nimble and forward-thinking company can potentially leapfrog legacy systems and carve out a competitive niche based on innovation, efficiency, and sustainability. A comprehensive analysis of these trends is therefore crucial for shaping a future-proof business strategy.</w:t>
      </w:r>
    </w:p>
    <w:p>
      <w:pPr>
        <w:spacing w:line="288" w:lineRule="auto"/>
        <w:ind w:firstLine="480" w:firstLineChars="200"/>
        <w:jc w:val="both"/>
      </w:pPr>
      <w:r>
        <w:rPr>
          <w:rFonts w:hint="eastAsia" w:ascii="微软雅黑" w:hAnsi="微软雅黑" w:eastAsia="微软雅黑"/>
          <w:noProof/>
          <w:sz w:val="24"/>
        </w:rPr>
        <w:t xml:space="preserve">The most visible and impactful trend is the accelerating adoption of automation and remote operation technologies. In the drilling process, this is manifested in the deployment of semi-autonomous and fully autonomous "smart" drill rigs manufactured by industry leaders like Epiroc and Sandvik. These rigs can execute pre-programmed drill patterns with centimeter-level accuracy using high-precision GPS, without direct human intervention for the drilling cycle itself. The benefits are manifold: dramatic improvements in safety by removing operators from the hazardous environment of the highwall or underground face; enhanced precision and consistency in hole placement, depth, and angle, which are critical for effective blasting; and increased productivity, as automated drills can operate continuously through shift changes and in conditions that might be unsafe for human operators. The trend extends beyond drilling to the explosives loading process. Remote and semi-automated charging systems are being developed and deployed, allowing emulsion explosives to be pumped into blast holes from a safe standoff distance. For Veralogix, this trend implies that the traditional capital investment model is shifting. While the initial outlay for an autonomous drill rig is substantially higher than for a conventional one, the long-term return on investment through improved safety, efficiency, and reduced labor costs presents a compelling business case that major mining clients are increasingly demanding.</w:t>
      </w:r>
    </w:p>
    <w:p>
      <w:pPr>
        <w:spacing w:line="288" w:lineRule="auto"/>
        <w:ind w:firstLine="480" w:firstLineChars="200"/>
        <w:jc w:val="both"/>
      </w:pPr>
      <w:r>
        <w:rPr>
          <w:rFonts w:hint="eastAsia" w:ascii="微软雅黑" w:hAnsi="微软雅黑" w:eastAsia="微软雅黑"/>
          <w:noProof/>
          <w:sz w:val="24"/>
        </w:rPr>
        <w:t xml:space="preserve">Parallel to automation is the development and application of advanced drilling and blasting techniques that are moving the practice from a brute-force art to a precise science. The combination of high-precision drilling with sophisticated blast design software allows for the creation of highly optimized blast patterns tailored to the specific geological characteristics of the rock mass. A pivotal technology in this domain is the widespread adoption of </w:t>
      </w:r>
      <w:r>
        <w:rPr>
          <w:rFonts w:hint="eastAsia" w:ascii="微软雅黑" w:hAnsi="微软雅黑" w:eastAsia="微软雅黑"/>
          <w:b/>
          <w:noProof/>
          <w:sz w:val="24"/>
        </w:rPr>
        <w:t xml:space="preserve">electronic delay detonators (EDDs)</w:t>
      </w:r>
      <w:r>
        <w:rPr>
          <w:rFonts w:hint="eastAsia" w:ascii="微软雅黑" w:hAnsi="微软雅黑" w:eastAsia="微软雅黑"/>
          <w:noProof/>
          <w:sz w:val="24"/>
        </w:rPr>
        <w:t xml:space="preserve">. Unlike traditional pyrotechnic detonators, which have inherent timing inaccuracies, EDDs offer microsecond-level precision and the ability to program a unique delay for every single hole in a blast. This enables engineers to design incredibly complex firing sequences that can manipulate the stress waves in the rock to achieve specific outcomes. For example, a blast can be timed to improve fragmentation, thus reducing energy consumption in downstream crushing and grinding processes (a major cost for mines). Alternatively, it can be designed to create a specific muckpile profile for easier and faster digging by excavators, or to minimize ground vibration and airblast to protect nearby structures and communities. Furthermore, the explosives themselves have become more advanced. The use of bulk emulsion explosives, which are mixed on-site in Mobile Manufacturing Units (MMUs), allows for the creation of "variable energy" blasts. The density and energy of the explosive can be adjusted for each individual blast hole (or even within a single hole) to match the rock properties, putting more energy into hard rock and less into soft rock. This level of optimization was unimaginable a decade ago and is fast becoming the expected standard of service from a top-tier contractor.</w:t>
      </w:r>
    </w:p>
    <w:p>
      <w:pPr>
        <w:spacing w:line="288" w:lineRule="auto"/>
        <w:ind w:firstLine="480" w:firstLineChars="200"/>
        <w:jc w:val="both"/>
      </w:pPr>
      <w:r>
        <w:rPr>
          <w:rFonts w:hint="eastAsia" w:ascii="微软雅黑" w:hAnsi="微软雅黑" w:eastAsia="微软雅黑"/>
          <w:noProof/>
          <w:sz w:val="24"/>
        </w:rPr>
        <w:t xml:space="preserve">This technological advancement is underpinned by a massive increase in the generation and use of data, making data management and analytics a new core competency. Modern "smart" drills are equipped with a suite of sensors that collect a continuous stream of data during operation, including penetration rate, rotation pressure, feed pressure, and GPS coordinates. This data, when correlated with geological models, provides a high-resolution, real-time map of the rock mass properties, a concept known as </w:t>
      </w:r>
      <w:r>
        <w:rPr>
          <w:rFonts w:hint="eastAsia" w:ascii="微软雅黑" w:hAnsi="微软雅黑" w:eastAsia="微软雅黑"/>
          <w:b/>
          <w:noProof/>
          <w:sz w:val="24"/>
        </w:rPr>
        <w:t xml:space="preserve">Measure-While-Drilling (MWD)</w:t>
      </w:r>
      <w:r>
        <w:rPr>
          <w:rFonts w:hint="eastAsia" w:ascii="微软雅黑" w:hAnsi="微软雅黑" w:eastAsia="微软雅黑"/>
          <w:noProof/>
          <w:sz w:val="24"/>
        </w:rPr>
        <w:t xml:space="preserve">. This information is invaluable for optimizing the explosives loading process; more energy can be allocated to harder rock sections identified by the drill. Post-blast, data from drone surveys (photogrammetry), fragmentation analysis software, and shovel performance monitors are collected to assess the effectiveness of the blast. This creates a closed-loop, data-driven cycle of continuous improvement: design, execute, measure, and optimize. The ultimate goal for many is the creation of a "digital twin"—a virtual model of the mine's rock mass and blasting process—that can be used to simulate and predict the outcome of different blast designs before they are ever executed in the real world. For Veralogix, this means that an investment in IT infrastructure, data scientists, and integrated software platforms is just as important as an investment in drilling equipment. The ability to provide clients with not just a blast, but with actionable data and analytics that improve their entire value chain, is a powerful differentiator.</w:t>
      </w:r>
    </w:p>
    <w:p>
      <w:pPr>
        <w:spacing w:line="288" w:lineRule="auto"/>
        <w:ind w:firstLine="480" w:firstLineChars="200"/>
        <w:jc w:val="both"/>
      </w:pPr>
      <w:r>
        <w:rPr>
          <w:rFonts w:hint="eastAsia" w:ascii="微软雅黑" w:hAnsi="微软雅黑" w:eastAsia="微软雅黑"/>
          <w:noProof/>
          <w:sz w:val="24"/>
        </w:rPr>
        <w:t xml:space="preserve">However, a critical counterargument highlights the existence of a "digital divide" and significant implementation challenges that temper the hype around Mining 4.0. This perspective argues that the high capital cost of autonomous drills, sophisticated software, and data infrastructure is prohibitive for all but the largest mining houses and their Tier 1 contractors. This creates a two-tier market where the technological "haves" can offer levels of safety and efficiency that the "have-nots" cannot match, thereby deepening the competitive moat of the incumbents and making it even harder for new entrants to compete. Furthermore, the argument goes, the technology is only as good as the people and processes that support it. The South African market faces a significant shortage of skills required to operate, maintain, and leverage these advanced systems, from automation technicians to data analysts. A company can purchase the most advanced drill rig in the world, but if it cannot maintain it or properly integrate its data into the mine plan, the investment will fail to deliver its promised returns. This suggests that for a company like Veralogix, a "fast follower" strategy might be more prudent than being on the bleeding edge, adopting proven technologies once their costs have decreased and the support ecosystem has matured.</w:t>
      </w:r>
    </w:p>
    <w:p>
      <w:pPr>
        <w:spacing w:line="288" w:lineRule="auto"/>
        <w:ind w:firstLine="480" w:firstLineChars="200"/>
        <w:jc w:val="both"/>
      </w:pPr>
      <w:r>
        <w:rPr>
          <w:rFonts w:hint="eastAsia" w:ascii="微软雅黑" w:hAnsi="微软雅黑" w:eastAsia="微软雅黑"/>
          <w:noProof/>
          <w:sz w:val="24"/>
        </w:rPr>
        <w:t xml:space="preserve">Another powerful trend shaping the market is the inexorable rise of environmental, social, and governance (ESG) pressures. Mining companies are under intense scrutiny from investors, regulators, and communities to improve their environmental performance and demonstrate their social license to operate. This pressure flows directly down to their contractors. In the drill-and-blast sector, this translates into a demand for "greener" blasting practices. There is a strong focus on minimizing the environmental externalities of blasting, such as ground vibration, noise, and the generation of dust and noxious fumes (particularly orange/brown nitrogen oxide or NOx). Contractors are increasingly evaluated on their ability to demonstrate control over these factors through precision timing and advanced blast design. There is also a growing interest in the carbon footprint of explosives themselves. Research and development efforts are underway to produce "greener" emulsions using alternative raw materials or by incorporating waste products. A contractor that can offer a verifiably lower-impact blasting solution has a compelling marketing advantage, particularly for mining houses that have made public ESG commitments. This trend forces contractors to view their service not just through the lens of cost and productivity, but also through the lens of environmental stewardship.</w:t>
      </w:r>
    </w:p>
    <w:p>
      <w:pPr>
        <w:spacing w:line="288" w:lineRule="auto"/>
        <w:ind w:firstLine="480" w:firstLineChars="200"/>
        <w:jc w:val="both"/>
      </w:pPr>
      <w:r>
        <w:rPr>
          <w:rFonts w:hint="eastAsia" w:ascii="微软雅黑" w:hAnsi="微软雅黑" w:eastAsia="微软雅黑"/>
          <w:noProof/>
          <w:sz w:val="24"/>
        </w:rPr>
        <w:t xml:space="preserve">Finally, the competitive landscape itself is being reshaped by a persistent trend of market consolidation. This is happening on multiple fronts. Large explosives manufacturers, such as AECI and Omnia, have continued to strengthen their market position by acquiring smaller technology firms or service companies to offer a fully integrated, "one-stop-shop" solution from rock-to-rock. This vertical integration allows them to capture more value and create stickier customer relationships. Simultaneously, there is a trend towards horizontal partnerships and ecosystem creation. For example, an equipment OEM like Epiroc might partner with a software company and a consulting firm to offer a comprehensive mine optimization package. This consolidation makes the market more challenging for smaller, standalone contractors that offer a single, undifferentiated service. They risk being squeezed between giant integrated service providers and specialized niche players. For Veralogix, this trend highlights the strategic importance of forming alliances and partnerships. It may not be feasible to develop all capabilities in-house, but by partnering with technology providers, consulting firms, or other specialized contractors, it can assemble a competitive offering that rivals that of the larger players.</w:t>
      </w:r>
    </w:p>
    <w:p>
      <w:pPr>
        <w:spacing w:line="288" w:lineRule="auto"/>
        <w:ind w:firstLine="480" w:firstLineChars="200"/>
        <w:jc w:val="both"/>
      </w:pPr>
      <w:r>
        <w:rPr>
          <w:rFonts w:hint="eastAsia" w:ascii="微软雅黑" w:hAnsi="微软雅黑" w:eastAsia="微软雅黑"/>
          <w:noProof/>
          <w:sz w:val="24"/>
        </w:rPr>
        <w:t xml:space="preserve">In synthesizing these multifaceted trends, a clear picture emerges of a sector at an inflection point. The future of contract drilling and blasting belongs to companies that can successfully integrate technology, data analytics, and sustainability into their core service offering. The traditional model of competing solely on the price per meter drilled is becoming obsolete. For Veralogix, this presents a clear strategic directive. A path to success lies not in attempting to replicate the scale of the incumbents, but in positioning itself as a nimble, technology-forward, and ESG-conscious partner. This could involve focusing on a niche market (e.g., providing high-tech solutions to mid-tier mines that are currently underserved), specializing in a particular technology (e.g., advanced vibration control for sensitive areas), or building a business model around a strong B-BBEE and local community development proposition. The journey for a new entrant is undoubtedly challenging, requiring skillful navigation of the complex tender processes, regulatory requirements, and supply chain risks. However, by astutely reading and responding to the transformative trends of automation, datafication, sustainability, and consolidation, Veralogix can define a viable and compelling position in the dynamic and evolving South African mining landscape.</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