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Framework for Veralogix Holdings and Subsidiaries</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thesis develops a comprehensive market intelligence framework tailored for Veralogix Holdings and its subsidiaries operating within the South African context. The research systematically analyzes key sectors crucial to the company's strategic development and operational success. Firstly, it examines the South African industrial property market, assessing current trends, identifying major players, and evaluating the impact of government incentive zones and public data sources. Secondly, the study delves into mining land and rights intelligence, elucidating registration and valuation processes, compliance with the MPRDA, and the identification of relevant public databases, while also assessing associated risks. Thirdly, it profiles the EPCM (Engineering, Procurement, Construction, and Management) sector, detailing fee structures, funding mechanisms involving institutions like IDC and DBSA, and the critical requirements for SACPCMP registration. Furthermore, the research identifies and analyzes public sources for tracking capital project pipelines, including DMR, IDC/DBSA, JSE SENS, and CIDB data, to inform corporate strategy and project development. Finally, the thesis emphasizes the vital role of corporate governance for holding companies, outlining best practices in compliance, transparency, risk management, and stakeholder engagement, and demonstrating how robust governance supports strategic alignment and effective market intelligence utilization. This integrated framework aims to enhance Veralogix Holdings' strategic decision-making and competitive positioning.</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Market Intelligence, Industrial Property, Mining Land, EPCM, Capital Projects, Corporate Governance, South Africa, Veralogix Holdings</w:t>
      </w:r>
    </w:p>
    <w:p>
      <w:pPr>
        <w:pStyle w:val="Heading2"/>
        <w:spacing w:line="288" w:lineRule="auto"/>
        <w:ind/>
      </w:pPr>
      <w:r>
        <w:rPr>
          <w:rFonts w:hint="eastAsia" w:ascii="微软雅黑" w:hAnsi="微软雅黑" w:eastAsia="微软雅黑"/>
          <w:b/>
          <w:noProof/>
          <w:sz w:val="36"/>
        </w:rPr>
        <w:t xml:space="preserve">South African Industrial Property Market Intelligence</w:t>
      </w:r>
    </w:p>
    <w:p>
      <w:pPr>
        <w:spacing w:line="288" w:lineRule="auto"/>
        <w:ind w:firstLine="480" w:firstLineChars="200"/>
        <w:jc w:val="both"/>
      </w:pPr>
      <w:r>
        <w:rPr>
          <w:rFonts w:hint="eastAsia" w:ascii="微软雅黑" w:hAnsi="微软雅黑" w:eastAsia="微软雅黑"/>
          <w:noProof/>
          <w:sz w:val="24"/>
        </w:rPr>
        <w:t xml:space="preserve">A comprehensive market intelligence framework for Veralogix Holdings must begin with a granular analysis of the South African industrial property market, a sector currently undergoing significant structural transformation. The primary trend shaping this market is the exponential growth of e-commerce, which has fundamentally altered demand patterns away from traditional manufacturing facilities and towards sophisticated logistics and warehousing infrastructure. This demand is not uniform; it calls for large-scale, modern distribution centers located on the peripheries of major metropolitan hubs like Johannesburg, Cape Town, and Durban, as well as smaller, last-mile delivery depots situated within dense urban areas to facilitate rapid fulfillment. Consequently, developers and investors are increasingly focusing on properties with high eaves, extensive hardstand areas for truck articulation, and advanced logistical capabilities, such as cross-docking facilities. This shift represents a critical area of opportunity for a firm like Veralogix, which can leverage this intelligence to acquire or develop properties that cater directly to the needs of online retailers, third-party logistics (3PL) providers, and courier services. Understanding the nuances of this demand, including specific technical requirements and geographical preferences, is the cornerstone of a successful industrial property strategy.</w:t>
      </w:r>
    </w:p>
    <w:p>
      <w:pPr>
        <w:spacing w:line="288" w:lineRule="auto"/>
        <w:ind w:firstLine="480" w:firstLineChars="200"/>
        <w:jc w:val="both"/>
      </w:pPr>
      <w:r>
        <w:rPr>
          <w:rFonts w:hint="eastAsia" w:ascii="微软雅黑" w:hAnsi="微软雅黑" w:eastAsia="微软雅黑"/>
          <w:noProof/>
          <w:sz w:val="24"/>
        </w:rPr>
        <w:t xml:space="preserve">Further complicating the industrial property landscape is the persistent national energy crisis, commonly referred to as load-shedding. This operational challenge has evolved from a mere inconvenience into a primary driver of property specifications and tenant requirements. Industrial tenants, particularly in manufacturing and cold storage, can no longer afford disruptions to their power supply, making properties equipped with reliable alternative energy solutions exceptionally attractive. A robust market intelligence program must therefore actively track the prevalence and sophistication of these solutions, which range from basic diesel generators to advanced solar photovoltaic (PV) systems with battery storage. For Veralogix, this creates a dual opportunity: first, to invest in upgrading existing properties with green energy infrastructure, thereby commanding premium rentals and attracting high-quality tenants; and second, to identify development sites with favorable conditions for large-scale solar installations. Intelligence gathering in this domain should include analyzing municipal regulations on embedded generation, tracking the declining costs of solar technology, and understanding the return on investment for different energy systems, thereby enabling informed capital allocation decisions.</w:t>
      </w:r>
    </w:p>
    <w:p>
      <w:pPr>
        <w:spacing w:line="288" w:lineRule="auto"/>
        <w:ind w:firstLine="480" w:firstLineChars="200"/>
        <w:jc w:val="both"/>
      </w:pPr>
      <w:r>
        <w:rPr>
          <w:rFonts w:hint="eastAsia" w:ascii="微软雅黑" w:hAnsi="微软雅黑" w:eastAsia="微软雅黑"/>
          <w:noProof/>
          <w:sz w:val="24"/>
        </w:rPr>
        <w:t xml:space="preserve">The supply side of the industrial market is characterized by a complex interplay of new developments and the refurbishment of aging stock. In key nodes like Gauteng’s logistics corridor along the R21 and N3 highways, there is a notable pipeline of new, speculative, and tenant-driven developments. However, the rising costs of construction materials, coupled with a high-interest-rate environment, have placed significant pressure on development viability, leading to more cautious and phased project rollouts. Simultaneously, there is a growing trend of repurposing older, well-located industrial facilities that no longer meet modern logistical requirements. Market intelligence must differentiate between these segments, analyzing vacancy rates, rental growth, and capital appreciation for both prime new-builds and secondary refurbished properties. For Veralogix, this analysis would inform whether to pursue a strategy focused on premium greenfield developments, which offer higher potential returns but carry greater risk, or a value-add strategy centered on acquiring and upgrading older assets in strategic locations, which may offer more stable, immediate cash flows.</w:t>
      </w:r>
    </w:p>
    <w:p>
      <w:pPr>
        <w:spacing w:line="288" w:lineRule="auto"/>
        <w:ind w:firstLine="480" w:firstLineChars="200"/>
        <w:jc w:val="both"/>
      </w:pPr>
      <w:r>
        <w:rPr>
          <w:rFonts w:hint="eastAsia" w:ascii="微软雅黑" w:hAnsi="微软雅黑" w:eastAsia="微软雅黑"/>
          <w:noProof/>
          <w:sz w:val="24"/>
        </w:rPr>
        <w:t xml:space="preserve">Pricing within the South African industrial property sector reflects these dynamic trends, exhibiting significant variation based on location, grade, and specifications. Prime logistics facilities in high-demand nodes command the highest rentals and the lowest capitalization rates, indicating strong investor confidence. Conversely, older manufacturing properties in less central areas face downward pressure on rentals and higher vacancies. An effective intelligence framework must move beyond national averages and conduct micro-market analysis, tracking rental rates, sale prices, and yields at a granular, sub-market level. This involves monitoring comparable transactions, engaging with property brokers, and analyzing listed property fund disclosures. For Veralogix, such detailed pricing intelligence is vital for accurate asset valuation, underwriting potential acquisitions, and setting competitive rental levels for its own portfolio. It also enables the identification of undervalued assets or emerging sub-markets that are poised for future growth, allowing the holding company to make counter-cyclical or opportunistic investments ahead of the broader market.</w:t>
      </w:r>
    </w:p>
    <w:p>
      <w:pPr>
        <w:spacing w:line="288" w:lineRule="auto"/>
        <w:ind w:firstLine="480" w:firstLineChars="200"/>
        <w:jc w:val="both"/>
      </w:pPr>
      <w:r>
        <w:rPr>
          <w:rFonts w:hint="eastAsia" w:ascii="微软雅黑" w:hAnsi="微软雅黑" w:eastAsia="微软雅黑"/>
          <w:noProof/>
          <w:sz w:val="24"/>
        </w:rPr>
        <w:t xml:space="preserve">The market is populated by a diverse range of active property funds and developers, whose activities provide crucial insights into market sentiment and strategic direction. Major listed Real Estate Investment Trusts (REITs) with industrial-focused portfolios are key players, and their public disclosures, including annual reports and investor presentations, are invaluable sources of information on portfolio performance, development pipelines, and strategic priorities. Alongside these large institutional players are a number of prominent unlisted developers and private equity funds that are often more agile and opportunistic. Tracking their land acquisitions, development applications, and tenant announcements can serve as a leading indicator of emerging geographic and sector-specific trends. A systematic approach for Veralogix would involve creating profiles of these key competitors and collaborators, mapping their portfolios, and analyzing their development track records. This competitive intelligence helps benchmark Veralogix’s own performance and identify potential partnership opportunities for large-scale projects that require significant capital or specialized expertise.</w:t>
      </w:r>
    </w:p>
    <w:p>
      <w:pPr>
        <w:spacing w:line="288" w:lineRule="auto"/>
        <w:ind w:firstLine="480" w:firstLineChars="200"/>
        <w:jc w:val="both"/>
      </w:pPr>
      <w:r>
        <w:rPr>
          <w:rFonts w:hint="eastAsia" w:ascii="微软雅黑" w:hAnsi="微软雅黑" w:eastAsia="微软雅黑"/>
          <w:noProof/>
          <w:sz w:val="24"/>
        </w:rPr>
        <w:t xml:space="preserve">While proprietary data from market participants is valuable, a foundational layer of intelligence can be built from publicly available data sources. The South African Deeds Office database, though complex to navigate, provides definitive records of all property transactions, including sale prices, transaction dates, and parties involved, which is essential for accurate valuation and market sizing. Government publications, such as municipal spatial development frameworks and zoning plans, offer insights into future land use and infrastructure development, allowing for long-term strategic site selection. Industry reports published by property services firms and financial institutions, while often requiring subscription, synthesize market data and provide high-level commentary on trends and forecasts. The reliability of these sources varies; official government data is authoritative but can be lagged, while private sector reports are more timely but may carry inherent biases. A sophisticated intelligence function for Veralogix must therefore triangulate information from multiple sources, critically assessing the scope and limitations of each to build a holistic and defensible market view.</w:t>
      </w:r>
    </w:p>
    <w:p>
      <w:pPr>
        <w:spacing w:line="288" w:lineRule="auto"/>
        <w:ind w:firstLine="480" w:firstLineChars="200"/>
        <w:jc w:val="both"/>
      </w:pPr>
      <w:r>
        <w:rPr>
          <w:rFonts w:hint="eastAsia" w:ascii="微软雅黑" w:hAnsi="微软雅黑" w:eastAsia="微软雅黑"/>
          <w:noProof/>
          <w:sz w:val="24"/>
        </w:rPr>
        <w:t xml:space="preserve">A particularly important facet of the industrial property landscape is the presence of government incentive zones, designed to stimulate economic growth, attract foreign investment, and promote industrialization. South Africa's Special Economic Zones (SEZs) and the older Industrial Development Zones (IDZs) are geographically designated areas that offer a package of benefits to businesses operating within them. These incentives typically include preferential corporate tax rates, VAT and customs duty suspensions, streamlined administrative processes, and access to high-quality infrastructure. Key examples include the Coega SEZ near Gqeberha, focused on automotive and agro-processing; the Dube TradePort SEZ in Durban, centered on logistics and perishables; and the Richards Bay IDZ, targeting heavy industry and mineral beneficiation. For a holding company like Veralogix, these zones are not merely locations but strategic opportunities.</w:t>
      </w:r>
    </w:p>
    <w:p>
      <w:pPr>
        <w:spacing w:line="288" w:lineRule="auto"/>
        <w:ind w:firstLine="480" w:firstLineChars="200"/>
        <w:jc w:val="both"/>
      </w:pPr>
      <w:r>
        <w:rPr>
          <w:rFonts w:hint="eastAsia" w:ascii="微软雅黑" w:hAnsi="微软雅黑" w:eastAsia="微软雅黑"/>
          <w:noProof/>
          <w:sz w:val="24"/>
        </w:rPr>
        <w:t xml:space="preserve">Understanding the specific benefits and target industries of each SEZ is critical for aligning property development activities with national economic policy, thereby unlocking significant value. An intelligence framework must systematically map these zones, detail the precise nature and duration of the incentives offered, and evaluate the quality of the infrastructure provided. Furthermore, it involves monitoring government policy regarding the establishment of new SEZs or the expansion of existing ones. For Veralogix's subsidiaries, developing or owning industrial property within an SEZ can make their offerings significantly more attractive to tenants, particularly multinational corporations looking to establish a manufacturing or distribution base in the region. This strategic positioning can lead to longer lease terms, stronger covenants, and enhanced property valuations. Therefore, a proactive intelligence effort focused on these zones allows Veralogix to anticipate and capitalize on government-led development initiatives, positioning its property portfolio for superior long-term growth.</w:t>
      </w:r>
    </w:p>
    <w:p>
      <w:pPr>
        <w:pStyle w:val="Heading2"/>
        <w:spacing w:line="288" w:lineRule="auto"/>
        <w:ind/>
      </w:pPr>
      <w:r>
        <w:rPr>
          <w:rFonts w:hint="eastAsia" w:ascii="微软雅黑" w:hAnsi="微软雅黑" w:eastAsia="微软雅黑"/>
          <w:b/>
          <w:noProof/>
          <w:sz w:val="36"/>
        </w:rPr>
        <w:t xml:space="preserve">Mining Land &amp; Rights Intelligence</w:t>
      </w:r>
    </w:p>
    <w:p>
      <w:pPr>
        <w:spacing w:line="288" w:lineRule="auto"/>
        <w:ind w:firstLine="480" w:firstLineChars="200"/>
        <w:jc w:val="both"/>
      </w:pPr>
      <w:r>
        <w:rPr>
          <w:rFonts w:hint="eastAsia" w:ascii="微软雅黑" w:hAnsi="微软雅黑" w:eastAsia="微软雅黑"/>
          <w:noProof/>
          <w:sz w:val="24"/>
        </w:rPr>
        <w:t xml:space="preserve">A critical component of the market intelligence framework for Veralogix Holdings, given its potential exposure to project development in the resources sector, is a deep understanding of mining land and rights in South Africa. The registration and valuation process for these rights is governed by a complex and often challenging legal framework, primarily dictated by the Mineral and Petroleum Resources Development Act (MPRDA). The MPRDA vests custodianship of all mineral resources in the state, meaning that private entities can only acquire limited real rights to prospect or mine, subject to stringent state approval. The process begins with an application for a prospecting right, which grants the holder exclusive permission to explore for specified minerals in a designated area. A successful application to the Department of Mineral Resources and Energy (DMRE) requires, among other things, a detailed prospecting work program, proof of financial and technical capability, and an environmental management plan. This initial stage is fraught with procedural hurdles and requires meticulous preparation, as incomplete or non-compliant applications are a common cause of significant delays.</w:t>
      </w:r>
    </w:p>
    <w:p>
      <w:pPr>
        <w:spacing w:line="288" w:lineRule="auto"/>
        <w:ind w:firstLine="480" w:firstLineChars="200"/>
        <w:jc w:val="both"/>
      </w:pPr>
      <w:r>
        <w:rPr>
          <w:rFonts w:hint="eastAsia" w:ascii="微软雅黑" w:hAnsi="微软雅黑" w:eastAsia="微软雅黑"/>
          <w:noProof/>
          <w:sz w:val="24"/>
        </w:rPr>
        <w:t xml:space="preserve">Upon the successful discovery of a commercially viable mineral deposit, the holder of a prospecting right can apply for a mining right. This is a far more rigorous and capital-intensive process. The application must be supported by a comprehensive mining work program, a full environmental impact assessment (EIA) and management program (EMPr), and a detailed Social and Labour Plan (SLP). The SLP is a particularly crucial element, outlining the applicant's commitments to local community development, skills training, employment equity, and local procurement, reflecting the developmental mandate of the MPRDA. Furthermore, compliance with the ownership requirements of the Broad-Based Black Economic Empowerment (B-BBEE) Charter for the Mining and Minerals Industry is non-negotiable. For Veralogix, understanding every stage of this intricate application lifecycle is paramount for conducting due diligence on potential partners or projects and for accurately assessing project timelines and associated regulatory risks.</w:t>
      </w:r>
    </w:p>
    <w:p>
      <w:pPr>
        <w:spacing w:line="288" w:lineRule="auto"/>
        <w:ind w:firstLine="480" w:firstLineChars="200"/>
        <w:jc w:val="both"/>
      </w:pPr>
      <w:r>
        <w:rPr>
          <w:rFonts w:hint="eastAsia" w:ascii="微软雅黑" w:hAnsi="微软雅黑" w:eastAsia="微软雅黑"/>
          <w:noProof/>
          <w:sz w:val="24"/>
        </w:rPr>
        <w:t xml:space="preserve">The valuation of mining rights is an exceptionally specialized field, distinct from standard property valuation, and relies on a confluence of geological, engineering, financial, and regulatory inputs. Unlike tangible property, a mining right's value is derived from the potential future cash flows generated by extracting and selling the underlying mineral resource. The primary valuation methodology is the Discounted Cash Flow (DCF) analysis, which projects revenues based on estimated mineral reserves, commodity price forecasts, and production schedules. This is then offset by projected costs, including capital expenditure for mine development, ongoing operational costs, and provisions for environmental rehabilitation and mine closure. The resulting net cash flows are then discounted back to a present value using a discount rate that reflects the project's specific risk profile, including geological uncertainty, operational risks, and the prevailing sovereign and regulatory risk in South Africa.</w:t>
      </w:r>
    </w:p>
    <w:p>
      <w:pPr>
        <w:spacing w:line="288" w:lineRule="auto"/>
        <w:ind w:firstLine="480" w:firstLineChars="200"/>
        <w:jc w:val="both"/>
      </w:pPr>
      <w:r>
        <w:rPr>
          <w:rFonts w:hint="eastAsia" w:ascii="微软雅黑" w:hAnsi="微软雅黑" w:eastAsia="微软雅黑"/>
          <w:noProof/>
          <w:sz w:val="24"/>
        </w:rPr>
        <w:t xml:space="preserve">A robust intelligence function for Veralogix must therefore be capable of critically evaluating the inputs used in such valuations. This means not just accepting a stated mineral reserve figure, but understanding the geological confidence levels (e.g., inferred, indicated, measured) upon which it is based, typically defined by international codes like the SAMREC Code. It involves stress-testing the valuation against various commodity price scenarios and being deeply aware of the project's sensitivity to changes in key cost drivers like energy, labor, and logistics. Moreover, the valuation must adequately account for the substantial financial provisions required for environmental liabilities and the ongoing financial commitments stipulated in the SLP. An inability to dissect and scrutinize these valuation components can lead to a catastrophic overestimation of an asset's worth, making this intelligence capability a core pillar of risk management.</w:t>
      </w:r>
    </w:p>
    <w:p>
      <w:pPr>
        <w:spacing w:line="288" w:lineRule="auto"/>
        <w:ind w:firstLine="480" w:firstLineChars="200"/>
        <w:jc w:val="both"/>
      </w:pPr>
      <w:r>
        <w:rPr>
          <w:rFonts w:hint="eastAsia" w:ascii="微软雅黑" w:hAnsi="微软雅黑" w:eastAsia="微软雅黑"/>
          <w:noProof/>
          <w:sz w:val="24"/>
        </w:rPr>
        <w:t xml:space="preserve">Interactions with the MPRDA extend far beyond the initial application process, presenting a continuous stream of compliance challenges and strategic opportunities for stakeholders. One of the Act's central tenets is the "use it or lose it" principle, which compels holders of mining and prospecting rights to actively work the rights they have been granted. Failure to adhere to the approved work programs can result in the suspension or cancellation of the right, preventing the hoarding of mineral resources. This creates a compliance burden that requires diligent monitoring and reporting to the DMRE, but it also creates opportunities for new entrants to acquire rights from holders who are unable or unwilling to develop them. For Veralogix's intelligence unit, this means tracking the compliance status of existing rights holders in areas of strategic interest could reveal potential acquisition targets.</w:t>
      </w:r>
    </w:p>
    <w:p>
      <w:pPr>
        <w:spacing w:line="288" w:lineRule="auto"/>
        <w:ind w:firstLine="480" w:firstLineChars="200"/>
        <w:jc w:val="both"/>
      </w:pPr>
      <w:r>
        <w:rPr>
          <w:rFonts w:hint="eastAsia" w:ascii="微软雅黑" w:hAnsi="微软雅黑" w:eastAsia="微软雅黑"/>
          <w:noProof/>
          <w:sz w:val="24"/>
        </w:rPr>
        <w:t xml:space="preserve">Furthermore, the MPRDA's emphasis on social and economic development introduces significant complexities. The requirement to consult meaningfully with interested and affected parties, including local communities and landowners, is a legal prerequisite for obtaining and maintaining a mining right. This process is often contentious and can lead to project delays or social unrest if not managed proactively and ethically. The social license to operate is, in many cases, as important as the legal right to mine. Compliance with the Mining Charter's B-BBEE targets, procurement quotas for local and historically disadvantaged suppliers, and human resource development commitments are also major operational challenges. An effective intelligence framework must monitor the evolving interpretation of these requirements, track best practices in community engagement and development, and assess the reputational and operational risks associated with non-compliance. These are not merely administrative tasks; they are fundamental to a project's long-term viability and its ability to secure financing and social acceptance.</w:t>
      </w:r>
    </w:p>
    <w:p>
      <w:pPr>
        <w:spacing w:line="288" w:lineRule="auto"/>
        <w:ind w:firstLine="480" w:firstLineChars="200"/>
        <w:jc w:val="both"/>
      </w:pPr>
      <w:r>
        <w:rPr>
          <w:rFonts w:hint="eastAsia" w:ascii="微软雅黑" w:hAnsi="微软雅黑" w:eastAsia="微软雅黑"/>
          <w:noProof/>
          <w:sz w:val="24"/>
        </w:rPr>
        <w:t xml:space="preserve">To navigate this complex environment, stakeholders rely on several public databases, although their accessibility and utility can be mixed. The most critical of these is the South African Mineral Resources Administration System (SAMRAD), an online portal managed by the DMRE. In theory, SAMRAD provides a public-facing map-based interface that allows users to view the location and status of all applications for prospecting rights, mining rights, and mining permits across the country. This makes it an indispensable tool for preliminary due diligence, allowing a company like Veralogix to quickly ascertain whether a specific piece of land is already encumbered by an existing mineral right or application. It allows users to identify the current rights holder, the minerals applied for, and the application's status, providing a first-pass filter for identifying opportunities or conflicts.</w:t>
      </w:r>
    </w:p>
    <w:p>
      <w:pPr>
        <w:spacing w:line="288" w:lineRule="auto"/>
        <w:ind w:firstLine="480" w:firstLineChars="200"/>
        <w:jc w:val="both"/>
      </w:pPr>
      <w:r>
        <w:rPr>
          <w:rFonts w:hint="eastAsia" w:ascii="微软雅黑" w:hAnsi="微软雅黑" w:eastAsia="微软雅黑"/>
          <w:noProof/>
          <w:sz w:val="24"/>
        </w:rPr>
        <w:t xml:space="preserve">However, in practice, the SAMRAD portal has been criticized for its user-unfriendliness, occasional inaccuracies, and lack of real-time updates. The data may not always reflect the most current legal status, and the system requires a degree of expertise to navigate effectively. Therefore, while SAMRAD is an essential starting point, relying on it solely for definitive intelligence is risky. Prudent intelligence gathering must supplement SAMRAD data with direct inquiries at the relevant DMRE regional offices and, for high-value transactions, a formal legal opinion from a specialized mining law firm to confirm the status and good standing of a right. Other relevant public data sources include the national gazette, where certain regulatory decisions are published, and court records, which can reveal ongoing legal disputes related to specific mining rights or companies.</w:t>
      </w:r>
    </w:p>
    <w:p>
      <w:pPr>
        <w:spacing w:line="288" w:lineRule="auto"/>
        <w:ind w:firstLine="480" w:firstLineChars="200"/>
        <w:jc w:val="both"/>
      </w:pPr>
      <w:r>
        <w:rPr>
          <w:rFonts w:hint="eastAsia" w:ascii="微软雅黑" w:hAnsi="微软雅黑" w:eastAsia="微软雅黑"/>
          <w:noProof/>
          <w:sz w:val="24"/>
        </w:rPr>
        <w:t xml:space="preserve">The risks associated with mining land and rights are substantial and multi-faceted, requiring a dedicated risk intelligence capability. Environmental risks are paramount, particularly in a water-scarce country like South Africa. Mining operations have the potential to cause significant water and soil contamination, with acid mine drainage (AMD) from gold and coal mining being a notorious legacy issue. The legal framework requires comprehensive EIAs and substantial financial provisioning for rehabilitation, but the long-term liabilities can be difficult to quantify and can extend for decades after a mine has closed. A failure to manage these risks can result in severe financial penalties, reputational damage, and legal challenges from environmental groups and affected communities.</w:t>
      </w:r>
    </w:p>
    <w:p>
      <w:pPr>
        <w:spacing w:line="288" w:lineRule="auto"/>
        <w:ind w:firstLine="480" w:firstLineChars="200"/>
        <w:jc w:val="both"/>
      </w:pPr>
      <w:r>
        <w:rPr>
          <w:rFonts w:hint="eastAsia" w:ascii="微软雅黑" w:hAnsi="微软雅黑" w:eastAsia="微软雅黑"/>
          <w:noProof/>
          <w:sz w:val="24"/>
        </w:rPr>
        <w:t xml:space="preserve">Regulatory and political risks are also exceptionally high. The South African mining policy landscape has been characterized by periods of uncertainty, with ongoing debates around issues such as land expropriation without compensation and periodic revisions to the Mining Charter. These shifts in policy can materially impact the economics of a project, for instance, by altering ownership requirements or increasing royalty and tax burdens. Market volatility represents another major risk category. The profitability of a mining project is directly tied to global commodity prices, which are notoriously cyclical and subject to geopolitical and macroeconomic forces beyond a company's control. An intelligence framework must continuously monitor these diverse risks, using scenario analysis and risk modeling to inform Veralogix's strategic decisions on whether to invest in, partner with, or provide services to projects in the mining sector. This proactive risk assessment is essential for protecting the holding company's capital and ensuring the long-term sustainability of its ventures.</w:t>
      </w:r>
    </w:p>
    <w:p>
      <w:pPr>
        <w:pStyle w:val="Heading2"/>
        <w:spacing w:line="288" w:lineRule="auto"/>
        <w:ind/>
      </w:pPr>
      <w:r>
        <w:rPr>
          <w:rFonts w:hint="eastAsia" w:ascii="微软雅黑" w:hAnsi="微软雅黑" w:eastAsia="微软雅黑"/>
          <w:b/>
          <w:noProof/>
          <w:sz w:val="36"/>
        </w:rPr>
        <w:t xml:space="preserve">EPCM &amp; Project Development Market</w:t>
      </w:r>
    </w:p>
    <w:p>
      <w:pPr>
        <w:spacing w:line="288" w:lineRule="auto"/>
        <w:ind w:firstLine="480" w:firstLineChars="200"/>
        <w:jc w:val="both"/>
      </w:pPr>
      <w:r>
        <w:rPr>
          <w:rFonts w:hint="eastAsia" w:ascii="微软雅黑" w:hAnsi="微软雅黑" w:eastAsia="微软雅黑"/>
          <w:noProof/>
          <w:sz w:val="24"/>
        </w:rPr>
        <w:t xml:space="preserve">The Engineering, Procurement, Construction, and Management (EPCM) sector in South Africa is a highly sophisticated and competitive market that serves as the engine for the delivery of major capital projects in mining, energy, public infrastructure, and manufacturing. A market intelligence framework for Veralogix must include detailed profiling of the key players that dominate this landscape. These companies can be broadly categorized into three tiers. The first tier consists of large, multinational EPCM firms that possess global expertise, vast balance sheets, and a track record of delivering mega-projects. These firms often bring proprietary technologies and international project financing relationships to the table, making them the preferred partners for complex, multi-billion-rand developments, such as new mines or utility-scale power plants. Their market reputation is built on technical excellence and the ability to manage immense logistical and engineering challenges, though they often come with premium fee structures.</w:t>
      </w:r>
    </w:p>
    <w:p>
      <w:pPr>
        <w:spacing w:line="288" w:lineRule="auto"/>
        <w:ind w:firstLine="480" w:firstLineChars="200"/>
        <w:jc w:val="both"/>
      </w:pPr>
      <w:r>
        <w:rPr>
          <w:rFonts w:hint="eastAsia" w:ascii="微软雅黑" w:hAnsi="微软雅黑" w:eastAsia="微软雅黑"/>
          <w:noProof/>
          <w:sz w:val="24"/>
        </w:rPr>
        <w:t xml:space="preserve">The second tier comprises well-established South African EPCM companies. These firms offer a compelling value proposition by combining a high level of technical competence with deep, nuanced knowledge of the local operating environment, including its unique regulatory, labor, and supply chain dynamics. They have often developed long-standing relationships with local clients, regulators, and suppliers, which can be a significant advantage in navigating bureaucratic hurdles and ensuring smoother project execution. Their project portfolios typically span a wide range of sizes and sectors, and they are often more flexible in their commercial models compared to their multinational counterparts. For Veralogix, understanding the specific strengths, weaknesses, and strategic focus of these local champions is crucial for identifying potential partners or competitors for its own project development ambitions.</w:t>
      </w:r>
    </w:p>
    <w:p>
      <w:pPr>
        <w:spacing w:line="288" w:lineRule="auto"/>
        <w:ind w:firstLine="480" w:firstLineChars="200"/>
        <w:jc w:val="both"/>
      </w:pPr>
      <w:r>
        <w:rPr>
          <w:rFonts w:hint="eastAsia" w:ascii="微软雅黑" w:hAnsi="微软雅黑" w:eastAsia="微软雅黑"/>
          <w:noProof/>
          <w:sz w:val="24"/>
        </w:rPr>
        <w:t xml:space="preserve">The third tier consists of smaller, specialized, and often niche engineering consultancies and project management firms. These companies typically focus on a specific industry (e.g., water treatment, renewable energy) or a particular phase of the project lifecycle (e.g., feasibility studies, environmental consulting, commissioning). While they lack the scale to manage an entire mega-project, they are frequently subcontracted by the larger EPCM firms for their specialized expertise. The rise of these agile, expert-led firms reflects a trend towards unbundling EPCM services, allowing clients to assemble a bespoke team of best-in-class providers for their projects. An intelligence framework should map this ecosystem of niche players, as they can represent valuable partners, acquisition targets, or sources of highly specialized market knowledge. Profiling these firms requires analyzing their client lists, key personnel, and involvement in notable projects to build a picture of their capabilities and market standing.</w:t>
      </w:r>
    </w:p>
    <w:p>
      <w:pPr>
        <w:spacing w:line="288" w:lineRule="auto"/>
        <w:ind w:firstLine="480" w:firstLineChars="200"/>
        <w:jc w:val="both"/>
      </w:pPr>
      <w:r>
        <w:rPr>
          <w:rFonts w:hint="eastAsia" w:ascii="微软雅黑" w:hAnsi="微软雅黑" w:eastAsia="微软雅黑"/>
          <w:noProof/>
          <w:sz w:val="24"/>
        </w:rPr>
        <w:t xml:space="preserve">A critical aspect of intelligence in the EPCM market is a thorough analysis of the fee structures and funding mechanisms that underpin project development. EPCM contracts are complex and vary significantly depending on the project's nature and the client's risk appetite. A common model is the cost-plus or reimbursable contract, where the client pays for all actual project costs (labor, materials, subcontracts) plus an agreed-upon fee (either a fixed amount or a percentage of costs) to the EPCM contractor. This model offers transparency and flexibility but exposes the client to the risk of cost overruns. An alternative is the lump-sum or fixed-price contract, where the EPCM firm agrees to deliver the entire project for a predetermined price, thereby transferring the cost risk from the client to the contractor. This provides budget certainty for the client but often comes at a higher price to compensate the contractor for the assumed risk.</w:t>
      </w:r>
    </w:p>
    <w:p>
      <w:pPr>
        <w:spacing w:line="288" w:lineRule="auto"/>
        <w:ind w:firstLine="480" w:firstLineChars="200"/>
        <w:jc w:val="both"/>
      </w:pPr>
      <w:r>
        <w:rPr>
          <w:rFonts w:hint="eastAsia" w:ascii="微软雅黑" w:hAnsi="微软雅黑" w:eastAsia="微软雅黑"/>
          <w:noProof/>
          <w:sz w:val="24"/>
        </w:rPr>
        <w:t xml:space="preserve">More sophisticated hybrid models, such as the Guaranteed Maximum Price (GMP) contract, are also prevalent. In a GMP arrangement, the client and contractor agree on a cap for the project's cost, and any cost savings below this cap are typically shared between them, creating an incentive for the EPCM firm to control costs efficiently. Understanding the nuances of these different fee structures is essential for Veralogix when engaging EPCM services or when its own subsidiaries are involved in project management. It allows for the negotiation of contracts that appropriately allocate risk and align incentives, which is fundamental to successful project outcomes. Intelligence gathering should involve reviewing industry-standard contract forms (like FIDIC or NEC), analyzing fee benchmarks from past projects, and understanding the prevailing commercial trends in the market.</w:t>
      </w:r>
    </w:p>
    <w:p>
      <w:pPr>
        <w:spacing w:line="288" w:lineRule="auto"/>
        <w:ind w:firstLine="480" w:firstLineChars="200"/>
        <w:jc w:val="both"/>
      </w:pPr>
      <w:r>
        <w:rPr>
          <w:rFonts w:hint="eastAsia" w:ascii="微软雅黑" w:hAnsi="微软雅黑" w:eastAsia="微软雅黑"/>
          <w:noProof/>
          <w:sz w:val="24"/>
        </w:rPr>
        <w:t xml:space="preserve">Funding for large-scale capital projects in South Africa frequently involves partnerships with public and private financial institutions, with Development Finance Institutions (DFIs) playing a particularly prominent role. The Industrial Development Corporation (IDC) and the Development Bank of Southern Africa (DBSA) are two of the most significant DFIs. The IDC's mandate is to promote industrial capacity and job creation, and it provides a wide range of funding instruments, including debt, equity, and guarantees, to projects across sectors like manufacturing, agriculture, and mining. The DBSA, on the other hand, focuses primarily on financing social and economic infrastructure, such as water, energy, transport, and ICT projects, often in partnership with municipalities and other state-owned entities.</w:t>
      </w:r>
    </w:p>
    <w:p>
      <w:pPr>
        <w:spacing w:line="288" w:lineRule="auto"/>
        <w:ind w:firstLine="480" w:firstLineChars="200"/>
        <w:jc w:val="both"/>
      </w:pPr>
      <w:r>
        <w:rPr>
          <w:rFonts w:hint="eastAsia" w:ascii="微软雅黑" w:hAnsi="微软雅黑" w:eastAsia="微软雅黑"/>
          <w:noProof/>
          <w:sz w:val="24"/>
        </w:rPr>
        <w:t xml:space="preserve">For Veralogix, a deep understanding of the mandates, funding criteria, and application processes of these DFIs is a major strategic asset. Intelligence should focus on their current priority sectors, which are often aligned with national government policy, such as the drive towards renewable energy or the upgrading of municipal infrastructure. By aligning its own project development pipeline with the strategic objectives of the IDC or DBSA, Veralogix can significantly increase its chances of securing favorable, long-term financing. This involves more than just submitting a funding application; it requires building relationships with these institutions, understanding their due diligence requirements (which are typically rigorous and include developmental impact assessments), and structuring projects to meet their specific social and economic goals. The ability to navigate the DFI landscape is a key differentiator for successful project developers in South Africa.</w:t>
      </w:r>
    </w:p>
    <w:p>
      <w:pPr>
        <w:spacing w:line="288" w:lineRule="auto"/>
        <w:ind w:firstLine="480" w:firstLineChars="200"/>
        <w:jc w:val="both"/>
      </w:pPr>
      <w:r>
        <w:rPr>
          <w:rFonts w:hint="eastAsia" w:ascii="微软雅黑" w:hAnsi="微软雅黑" w:eastAsia="微软雅黑"/>
          <w:noProof/>
          <w:sz w:val="24"/>
        </w:rPr>
        <w:t xml:space="preserve">Professional credibility and legal compliance within the EPCM sector are underpinned by statutory bodies, the most important of which is the South African Council for the Project and Construction Management Professions (SACPCMP). The SACPCMP was established by an Act of Parliament to regulate the project and construction management professions and protect the public interest. The council is responsible for setting standards of professional competence and ethics and for registering professionals who meet these standards. Registration with the SACPCMP is not merely a "nice-to-have"; for many roles, particularly on government-funded projects, it is a legal requirement. Any person practicing as a construction project manager or construction manager must be registered with the council.</w:t>
      </w:r>
    </w:p>
    <w:p>
      <w:pPr>
        <w:spacing w:line="288" w:lineRule="auto"/>
        <w:ind w:firstLine="480" w:firstLineChars="200"/>
        <w:jc w:val="both"/>
      </w:pPr>
      <w:r>
        <w:rPr>
          <w:rFonts w:hint="eastAsia" w:ascii="微软雅黑" w:hAnsi="微软雅黑" w:eastAsia="微软雅黑"/>
          <w:noProof/>
          <w:sz w:val="24"/>
        </w:rPr>
        <w:t xml:space="preserve">The requirements for registration are stringent and designed to ensure a high level of professionalism. An applicant must typically possess an accredited academic qualification, demonstrate a specified number of years of relevant practical experience, and pass a professional skills assessment or examination. The council offers several categories of registration, including Candidate, Professional Construction Project Manager (Pr.CPM), and Professional Construction Manager (Pr.CM), each with its own set of requirements reflecting different levels of seniority and expertise. For Veralogix, ensuring that its own project management staff and any EPCM contractors it engages are appropriately registered with the SACPCMP is a fundamental aspect of risk management. It provides assurance of their competence and accountability, reduces the risk of project failure due to mismanagement, and ensures compliance with public procurement regulations, such as those from the CIDB. A market intelligence framework must therefore include processes to verify the registration status of individuals and firms, reinforcing a culture of professionalism and compliance across all project development activities.</w:t>
      </w:r>
    </w:p>
    <w:p>
      <w:pPr>
        <w:pStyle w:val="Heading2"/>
        <w:spacing w:line="288" w:lineRule="auto"/>
        <w:ind/>
      </w:pPr>
      <w:r>
        <w:rPr>
          <w:rFonts w:hint="eastAsia" w:ascii="微软雅黑" w:hAnsi="微软雅黑" w:eastAsia="微软雅黑"/>
          <w:b/>
          <w:noProof/>
          <w:sz w:val="36"/>
        </w:rPr>
        <w:t xml:space="preserve">Capital Project Pipeline Intelligence</w:t>
      </w:r>
    </w:p>
    <w:p>
      <w:pPr>
        <w:spacing w:line="288" w:lineRule="auto"/>
        <w:ind w:firstLine="480" w:firstLineChars="200"/>
        <w:jc w:val="both"/>
      </w:pPr>
      <w:r>
        <w:rPr>
          <w:rFonts w:hint="eastAsia" w:ascii="微软雅黑" w:hAnsi="微软雅黑" w:eastAsia="微软雅黑"/>
          <w:noProof/>
          <w:sz w:val="24"/>
        </w:rPr>
        <w:t xml:space="preserve">The ability to accurately forecast and track the pipeline of future capital projects is a core strategic capability for a holding company like Veralogix. Proactive intelligence in this area allows the company to position its subsidiaries—whether in property development, EPCM services, or other related fields—to win new business long before projects are publicly tendered. This intelligence gathering relies on systematically monitoring a variety of public and semi-public data sources. One of the most fundamental sources for the resources sector is the Department of Mineral Resources and Energy (DMRE). The department's decisions on the granting, renewal, or rejection of prospecting and mining right applications are powerful leading indicators. The grant of a new mining right, for example, signals the potential for a multi-year, multi-billion-rand project that will require extensive infrastructure, engineering services, and property development for housing and logistics, all of which represent opportunities for Veralogix.</w:t>
      </w:r>
    </w:p>
    <w:p>
      <w:pPr>
        <w:spacing w:line="288" w:lineRule="auto"/>
        <w:ind w:firstLine="480" w:firstLineChars="200"/>
        <w:jc w:val="both"/>
      </w:pPr>
      <w:r>
        <w:rPr>
          <w:rFonts w:hint="eastAsia" w:ascii="微软雅黑" w:hAnsi="微软雅黑" w:eastAsia="微软雅黑"/>
          <w:noProof/>
          <w:sz w:val="24"/>
        </w:rPr>
        <w:t xml:space="preserve">Similarly, announcements from key funding institutions like the Industrial Development Corporation (IDC) and the Development Bank of Southern Africa (DBSA) provide invaluable insights into the project pipeline. When these DFIs announce that they have approved funding for a specific project, it signifies that the project has passed a rigorous due diligence process and has a high probability of proceeding. These announcements often detail the project's scope, location, and total investment value, providing a rich dataset for strategic planning. An intelligence function should systematically collate and analyze these announcements, categorizing them by sector, region, and size. This allows Veralogix to identify emerging investment hotspots and sectors that are receiving strong institutional backing, enabling the company to align its business development efforts with these funded opportunities.</w:t>
      </w:r>
    </w:p>
    <w:p>
      <w:pPr>
        <w:spacing w:line="288" w:lineRule="auto"/>
        <w:ind w:firstLine="480" w:firstLineChars="200"/>
        <w:jc w:val="both"/>
      </w:pPr>
      <w:r>
        <w:rPr>
          <w:rFonts w:hint="eastAsia" w:ascii="微软雅黑" w:hAnsi="微软雅黑" w:eastAsia="微软雅黑"/>
          <w:noProof/>
          <w:sz w:val="24"/>
        </w:rPr>
        <w:t xml:space="preserve">For projects involving publicly traded companies, the Johannesburg Stock Exchange's Stock Exchange News Service (SENS) is an indispensable source of real-time intelligence. Listed companies are legally obligated to use SENS to announce any price-sensitive information, which includes decisions to proceed with major capital projects, the results of feasibility studies, capital expenditure budgets, and the award of significant contracts. Monitoring SENS announcements from companies in the mining, industrial, and infrastructure sectors provides a direct window into their investment plans. For instance, a mining house announcing a positive definitive feasibility study and board approval for a new mine expansion is a clear signal for Veralogix's EPCM and property subsidiaries to begin engaging with that company. The structured and timely nature of SENS data makes it one of the most reliable sources for tracking the progression of large-scale private sector projects.</w:t>
      </w:r>
    </w:p>
    <w:p>
      <w:pPr>
        <w:spacing w:line="288" w:lineRule="auto"/>
        <w:ind w:firstLine="480" w:firstLineChars="200"/>
        <w:jc w:val="both"/>
      </w:pPr>
      <w:r>
        <w:rPr>
          <w:rFonts w:hint="eastAsia" w:ascii="微软雅黑" w:hAnsi="微软雅黑" w:eastAsia="微软雅黑"/>
          <w:noProof/>
          <w:sz w:val="24"/>
        </w:rPr>
        <w:t xml:space="preserve">Furthermore, the Construction Industry Development Board (CIDB) provides data on public sector infrastructure projects. The CIDB's mandate includes managing a register of contractors and monitoring public sector construction projects. While its project tracking systems can vary in completeness, they offer a valuable glimpse into government infrastructure spending, from the construction of new roads, dams, and power stations to the development of public buildings like hospitals and schools. By analyzing the CIDB's data, Veralogix can identify upcoming government tenders and understand the scale and geographic distribution of public infrastructure investment. A comprehensive pipeline intelligence system must integrate all these disparate sources—DMRE decisions, DFI announcements, SENS releases, and CIDB data—into a unified dashboard, creating a holistic and forward-looking view of the entire capital project landscape in South Africa.</w:t>
      </w:r>
    </w:p>
    <w:p>
      <w:pPr>
        <w:spacing w:line="288" w:lineRule="auto"/>
        <w:ind w:firstLine="480" w:firstLineChars="200"/>
        <w:jc w:val="both"/>
      </w:pPr>
      <w:r>
        <w:rPr>
          <w:rFonts w:hint="eastAsia" w:ascii="微软雅黑" w:hAnsi="微软雅黑" w:eastAsia="微软雅黑"/>
          <w:noProof/>
          <w:sz w:val="24"/>
        </w:rPr>
        <w:t xml:space="preserve">Merely collecting data from these sources is insufficient; the true value of pipeline intelligence lies in the ability to interpret and utilize this information to inform corporate strategy and drive proactive business development. The interpretation process begins with data synthesis, where information from different sources is cross-referenced to build a more complete picture and validate a project's viability. For example, if the DMRE grants a mining right to a junior miner (Source 1), and a few months later, the IDC announces development funding for that same junior miner (Source 2), and this is followed by a SENS announcement from a listed EPCM partner confirming its appointment (Source 3), the probability of the project moving forward increases exponentially. This multi-source confirmation allows Veralogix to move a project from a "potential lead" to a "high-probability opportunity" in its internal pipeline, justifying the allocation of more significant business development resources.</w:t>
      </w:r>
    </w:p>
    <w:p>
      <w:pPr>
        <w:spacing w:line="288" w:lineRule="auto"/>
        <w:ind w:firstLine="480" w:firstLineChars="200"/>
        <w:jc w:val="both"/>
      </w:pPr>
      <w:r>
        <w:rPr>
          <w:rFonts w:hint="eastAsia" w:ascii="微软雅黑" w:hAnsi="微软雅黑" w:eastAsia="微软雅黑"/>
          <w:noProof/>
          <w:sz w:val="24"/>
        </w:rPr>
        <w:t xml:space="preserve">This interpreted intelligence should be used to make strategic decisions about market entry, resource allocation, and service offering development. If the pipeline analysis reveals a growing cluster of renewable energy projects in the Northern Cape, Veralogix can make a strategic decision to establish a stronger presence in that region, perhaps by acquiring a local engineering firm or securing land for logistics support facilities. If the data shows a trend towards smaller, modular mining projects, the company's EPCM subsidiary could develop a specialized service offering tailored to this market segment. The intelligence should feed directly into the strategic planning cycle of the holding company and its subsidiaries, ensuring that the group's capabilities are continuously aligned with the evolving demands of the market. It transforms the organization from a reactive bidder on public tenders to a proactive partner that engages with project owners early in the development cycle.</w:t>
      </w:r>
    </w:p>
    <w:p>
      <w:pPr>
        <w:spacing w:line="288" w:lineRule="auto"/>
        <w:ind w:firstLine="480" w:firstLineChars="200"/>
        <w:jc w:val="both"/>
      </w:pPr>
      <w:r>
        <w:rPr>
          <w:rFonts w:hint="eastAsia" w:ascii="微软雅黑" w:hAnsi="微软雅黑" w:eastAsia="微软雅黑"/>
          <w:noProof/>
          <w:sz w:val="24"/>
        </w:rPr>
        <w:t xml:space="preserve">Furthermore, this intelligence is crucial for risk management. By tracking projects from their earliest conceptual stages, Veralogix can identify potential risks long before they materialize. For example, monitoring community and environmental activist groups' responses to a newly announced project can provide early warnings of potential social or legal challenges that could delay or derail it. Analyzing the funding structure of a project can reveal dependencies on volatile commodity prices or risky financial instruments. This forward-looking risk assessment allows Veralogix to make more informed decisions about which projects to pursue, which partners to align with, and how to structure its commercial engagements to mitigate potential downsides. In essence, capital project pipeline intelligence is not just a sales tool; it is a fundamental component of strategic management and corporate foresight.</w:t>
      </w:r>
    </w:p>
    <w:p>
      <w:pPr>
        <w:spacing w:line="288" w:lineRule="auto"/>
        <w:ind w:firstLine="480" w:firstLineChars="200"/>
        <w:jc w:val="both"/>
      </w:pPr>
      <w:r>
        <w:rPr>
          <w:rFonts w:hint="eastAsia" w:ascii="微软雅黑" w:hAnsi="微软雅黑" w:eastAsia="微软雅黑"/>
          <w:noProof/>
          <w:sz w:val="24"/>
        </w:rPr>
        <w:t xml:space="preserve">Analyzing the aggregated pipeline data also allows for the identification of broader trends in capital project funding and approvals, which provides insights into government priorities and key economic drivers. For instance, a sustained increase in the number and value of projects approved in the water and sanitation sector, funded primarily by the DBSA, would indicate a strong government focus on addressing water infrastructure backlogs. This might prompt Veralogix to enhance its capabilities in areas like pipeline construction, pump station engineering, or water treatment plant development. Similarly, a surge in private sector funding for battery storage projects alongside solar and wind farms would highlight the market's response to the country's energy crisis and the growing importance of grid stability solutions.</w:t>
      </w:r>
    </w:p>
    <w:p>
      <w:pPr>
        <w:spacing w:line="288" w:lineRule="auto"/>
        <w:ind w:firstLine="480" w:firstLineChars="200"/>
        <w:jc w:val="both"/>
      </w:pPr>
      <w:r>
        <w:rPr>
          <w:rFonts w:hint="eastAsia" w:ascii="微软雅黑" w:hAnsi="微软雅黑" w:eastAsia="微软雅黑"/>
          <w:noProof/>
          <w:sz w:val="24"/>
        </w:rPr>
        <w:t xml:space="preserve">These macro-level trends are critical for long-term strategic positioning. They help Veralogix anticipate which sectors will experience significant growth over the next five to ten years, allowing the holding company to make strategic investments in capacity, technology, and human capital ahead of the curve. This intelligence also helps in understanding the economic drivers behind these trends. For example, are projects being driven by high commodity prices, by new government regulations (like an increased cap on private power generation), or by international climate finance initiatives? Understanding these underlying drivers allows for more robust forecasting, as Veralogix can monitor the drivers themselves as leading indicators of future project flow. By connecting individual project data points to the broader economic and political context, the intelligence framework provides the board and executive team with the strategic insight needed to navigate the complex South African project market and allocate capital effectively for long-term value creation.</w:t>
      </w:r>
    </w:p>
    <w:p>
      <w:pPr>
        <w:pStyle w:val="Heading2"/>
        <w:spacing w:line="288" w:lineRule="auto"/>
        <w:ind/>
      </w:pPr>
      <w:r>
        <w:rPr>
          <w:rFonts w:hint="eastAsia" w:ascii="微软雅黑" w:hAnsi="微软雅黑" w:eastAsia="微软雅黑"/>
          <w:b/>
          <w:noProof/>
          <w:sz w:val="36"/>
        </w:rPr>
        <w:t xml:space="preserve">Corporate Governance &amp; Holding Company</w:t>
      </w:r>
    </w:p>
    <w:p>
      <w:pPr>
        <w:spacing w:line="288" w:lineRule="auto"/>
        <w:ind w:firstLine="480" w:firstLineChars="200"/>
        <w:jc w:val="both"/>
      </w:pPr>
      <w:r>
        <w:rPr>
          <w:rFonts w:hint="eastAsia" w:ascii="微软雅黑" w:hAnsi="微软雅黑" w:eastAsia="微软雅黑"/>
          <w:noProof/>
          <w:sz w:val="24"/>
        </w:rPr>
        <w:t xml:space="preserve">For a diversified entity like Veralogix Holdings, which operates through subsidiaries in high-stakes sectors like property and project development, a robust corporate governance framework is not a matter of mere compliance but a cornerstone of sustainable value creation and risk management. The importance of governance for a holding company stems from its unique position of exercising control over a portfolio of distinct operating businesses. Effective governance ensures that this control is exercised in a manner that is transparent, accountable, and ethically sound, thereby safeguarding the interests of all stakeholders, including shareholders, employees, creditors, and the communities in which the subsidiaries operate. At its core, governance at the holding company level is about providing strategic direction and rigorous oversight without stifling the entrepreneurial spirit and operational agility of the individual subsidiaries. It involves establishing clear lines of authority, defining risk appetites, and ensuring that capital is allocated across the group in a disciplined and value-accretive manner.</w:t>
      </w:r>
    </w:p>
    <w:p>
      <w:pPr>
        <w:spacing w:line="288" w:lineRule="auto"/>
        <w:ind w:firstLine="480" w:firstLineChars="200"/>
        <w:jc w:val="both"/>
      </w:pPr>
      <w:r>
        <w:rPr>
          <w:rFonts w:hint="eastAsia" w:ascii="微软雅黑" w:hAnsi="微软雅黑" w:eastAsia="微软雅黑"/>
          <w:noProof/>
          <w:sz w:val="24"/>
        </w:rPr>
        <w:t xml:space="preserve">The principles of compliance, transparency, and ethical decision-making are paramount. Compliance extends beyond simple adherence to the letter of the law, such as the Companies Act; it involves embracing the spirit of governance codes like the King IV Report on Corporate Governance for South Africa. For a holding company, this means ensuring that not only the parent entity but also every subsidiary adheres to all relevant legislation and regulations, which can be a complex task given the diverse regulatory environments of the industrial property, mining, and EPCM sectors. Transparency is critical for maintaining investor confidence. This is achieved through clear, comprehensive, and integrated reporting that provides a holistic view of the group's financial, social, and environmental performance. It means being open about the group's strategy, risks, and governance processes, allowing shareholders to make informed assessments of the company's performance and prospects.</w:t>
      </w:r>
    </w:p>
    <w:p>
      <w:pPr>
        <w:spacing w:line="288" w:lineRule="auto"/>
        <w:ind w:firstLine="480" w:firstLineChars="200"/>
        <w:jc w:val="both"/>
      </w:pPr>
      <w:r>
        <w:rPr>
          <w:rFonts w:hint="eastAsia" w:ascii="微软雅黑" w:hAnsi="微软雅黑" w:eastAsia="微软雅黑"/>
          <w:noProof/>
          <w:sz w:val="24"/>
        </w:rPr>
        <w:t xml:space="preserve">Ethical decision-making, guided by a strong corporate value system, forms the bedrock of good governance. A holding company's board must set the ethical tone from the top, ensuring that a culture of integrity permeates the entire organization. This is particularly crucial when subsidiaries operate in sectors prone to corruption or where operations have significant social and environmental impacts. The holding company must establish and enforce a group-wide code of conduct, implement effective whistle-blowing mechanisms, and ensure that the board's Social and Ethics Committee provides active oversight of these matters. A failure in ethical conduct at a single subsidiary can inflict severe reputational damage on the entire group, destroying shareholder value and eroding the trust of key stakeholders. Therefore, embedding a strong ethical culture is a primary responsibility of the holding company's leadership.</w:t>
      </w:r>
    </w:p>
    <w:p>
      <w:pPr>
        <w:spacing w:line="288" w:lineRule="auto"/>
        <w:ind w:firstLine="480" w:firstLineChars="200"/>
        <w:jc w:val="both"/>
      </w:pPr>
      <w:r>
        <w:rPr>
          <w:rFonts w:hint="eastAsia" w:ascii="微软雅黑" w:hAnsi="微软雅黑" w:eastAsia="微软雅黑"/>
          <w:noProof/>
          <w:sz w:val="24"/>
        </w:rPr>
        <w:t xml:space="preserve">In the South African context, best practices for governance in holding companies are largely shaped by the principles of the King IV Report. A key recommendation is the establishment of a unitary board of directors with a balanced composition of executive, non-executive, and independent non-executive directors. The presence of strong, independent directors is crucial for providing objective judgment and challenging executive management. Diversity on the board—in terms of skills, experience, gender, and race—is also considered a vital component of effective governance, as it enriches deliberation and guards against groupthink. The board should be supported by a robust committee structure to ensure focused oversight of critical areas. For a holding company like Veralogix, essential committees would include an Audit Committee, to oversee financial reporting and internal controls; a Risk Committee, to govern the group's overall risk management framework; a Remuneration Committee, to ensure executive pay is fair and linked to performance; and a Social and Ethics Committee, to monitor the group's impact on society and the environment.</w:t>
      </w:r>
    </w:p>
    <w:p>
      <w:pPr>
        <w:spacing w:line="288" w:lineRule="auto"/>
        <w:ind w:firstLine="480" w:firstLineChars="200"/>
        <w:jc w:val="both"/>
      </w:pPr>
      <w:r>
        <w:rPr>
          <w:rFonts w:hint="eastAsia" w:ascii="微软雅黑" w:hAnsi="微软雅黑" w:eastAsia="微软雅黑"/>
          <w:noProof/>
          <w:sz w:val="24"/>
        </w:rPr>
        <w:t xml:space="preserve">Effective risk management is another cornerstone of best practice. The holding company's board is responsible for setting the group's overall risk appetite and for ensuring that a formal risk management process is implemented across all subsidiaries. This involves identifying the principal risks facing the group—ranging from market risks in the property sector to regulatory and environmental risks in mining—and ensuring that appropriate mitigation strategies are in place. The holding company should not micromanage the operational risks of each subsidiary but must ensure that each subsidiary has a competent risk management function and that material risks are escalated to the group level for oversight. This federated approach to risk management allows for both specialized, local risk control and centralized, strategic oversight.</w:t>
      </w:r>
    </w:p>
    <w:p>
      <w:pPr>
        <w:spacing w:line="288" w:lineRule="auto"/>
        <w:ind w:firstLine="480" w:firstLineChars="200"/>
        <w:jc w:val="both"/>
      </w:pPr>
      <w:r>
        <w:rPr>
          <w:rFonts w:hint="eastAsia" w:ascii="微软雅黑" w:hAnsi="微软雅黑" w:eastAsia="微软雅黑"/>
          <w:noProof/>
          <w:sz w:val="24"/>
        </w:rPr>
        <w:t xml:space="preserve">Stakeholder engagement is the final pillar of best practice governance under King IV. The principle of stakeholder inclusivity recognizes that a company does not operate in a vacuum and that its long-term success depends on maintaining healthy relationships with a wide range of stakeholders. The holding company board must identify the group's key stakeholders, understand their legitimate needs and expectations, and ensure that the group's strategy and operations take these into account. For Veralogix, key stakeholders would include investors, employees, tenants in its properties, clients of its EPCM services, communities near its mining and development projects, and regulators. A proactive approach to stakeholder engagement, characterized by open communication and responsiveness, helps to build trust, enhance the company's reputation, and secure its social license to operate, which is a critical intangible asset.</w:t>
      </w:r>
    </w:p>
    <w:p>
      <w:pPr>
        <w:spacing w:line="288" w:lineRule="auto"/>
        <w:ind w:firstLine="480" w:firstLineChars="200"/>
        <w:jc w:val="both"/>
      </w:pPr>
      <w:r>
        <w:rPr>
          <w:rFonts w:hint="eastAsia" w:ascii="微软雅黑" w:hAnsi="微软雅黑" w:eastAsia="微软雅黑"/>
          <w:noProof/>
          <w:sz w:val="24"/>
        </w:rPr>
        <w:t xml:space="preserve">The role of the holding company's governance framework is to directly support and enable the property and project development activities of its subsidiaries by ensuring they are aligned with the group's overarching strategy and risk appetite. The market intelligence gathered on the property, mining, and EPCM markets should flow up to the holding company's board and executive team. This intelligence, when viewed through the lens of a strong governance framework, informs the most critical strategic decisions the holding company must make: where to allocate capital. The board, guided by its fiduciary duties and informed by this intelligence, can make objective decisions about which projects and property acquisitions to fund, which subsidiaries to grow, and which to divest from. This disciplined capital allocation process, overseen by the board, is essential for maximizing shareholder returns and ensuring the long-term health of the group.</w:t>
      </w:r>
    </w:p>
    <w:p>
      <w:pPr>
        <w:spacing w:line="288" w:lineRule="auto"/>
        <w:ind w:firstLine="480" w:firstLineChars="200"/>
        <w:jc w:val="both"/>
      </w:pPr>
      <w:r>
        <w:rPr>
          <w:rFonts w:hint="eastAsia" w:ascii="微软雅黑" w:hAnsi="微软雅黑" w:eastAsia="微软雅黑"/>
          <w:noProof/>
          <w:sz w:val="24"/>
        </w:rPr>
        <w:t xml:space="preserve">Furthermore, the holding company's governance structure provides the necessary oversight to manage the significant risks inherent in project and property development. For example, when a subsidiary proposes a large-scale property development, the project would be scrutinized by the group's Risk Committee. This committee would assess not only the financial viability of the project but also associated risks such as construction cost overruns, planning permission delays, and market demand uncertainty. Similarly, if a subsidiary is considering a partnership in a mining project, the Social and Ethics Committee would play a crucial role in reviewing the project's compliance with environmental regulations, the adequacy of its community engagement plans (SLP), and its alignment with the group's ethical standards. This governance overlay ensures that subsidiaries do not take on risks that could jeopardize the entire group and that all development activities are conducted in a responsible and sustainable manner. In this way, governance is not a bureaucratic brake on development but rather a vital enabler of prudent, well-managed growth. It provides the strategic guardrails within which the subsidiaries can operate effectively, aligning their operational activities with the long-term vision and values of Veralogix Holdings.</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