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3.xml"/>
  <Override ContentType="application/vnd.openxmlformats-officedocument.drawingml.chart+xml" PartName="/word/charts/chart4.xml"/>
  <Override ContentType="application/vnd.openxmlformats-officedocument.wordprocessingml.document.main+xml" PartName="/word/document.xml"/>
  <Override ContentType="application/vnd.openxmlformats-officedocument.spreadsheetml.sheet" PartName="/word/embeddings/1.xlsx"/>
  <Override ContentType="application/vnd.openxmlformats-officedocument.spreadsheetml.sheet" PartName="/word/embeddings/2.xlsx"/>
  <Override ContentType="application/vnd.openxmlformats-officedocument.spreadsheetml.sheet" PartName="/word/embeddings/3.xlsx"/>
  <Override ContentType="application/vnd.openxmlformats-officedocument.spreadsheetml.sheet" PartName="/word/embeddings/4.xlsx"/>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word/charts/chart1.xml" Type="http://schemas.openxmlformats.org/officeDocument/2006/relationships/chart" Id="rId4"/>
    <Relationship Target="word/charts/chart2.xml" Type="http://schemas.openxmlformats.org/officeDocument/2006/relationships/chart" Id="rId5"/>
    <Relationship Target="word/charts/chart3.xml" Type="http://schemas.openxmlformats.org/officeDocument/2006/relationships/chart" Id="rId6"/>
    <Relationship Target="word/charts/chart4.xml" Type="http://schemas.openxmlformats.org/officeDocument/2006/relationships/chart" Id="rId7"/>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ackground w:color="FFFFFF"/>
  <w:body>
    <!-- Created by docx4j 8.2.8 (Apache licensed) using ORACLE_JRE JAXB in Oracle Java 1.8.0_45 on Linux -->
    <w:p>
      <w:pPr>
        <w:pStyle w:val="Heading1"/>
        <w:spacing w:line="288" w:lineRule="auto"/>
        <w:ind/>
      </w:pPr>
      <w:r>
        <w:rPr>
          <w:rFonts w:hint="eastAsia" w:ascii="微软雅黑" w:hAnsi="微软雅黑" w:eastAsia="微软雅黑"/>
          <w:b/>
          <w:noProof/>
          <w:sz w:val="40"/>
        </w:rPr>
        <w:t>Abstract</w:t>
      </w:r>
    </w:p>
    <w:p>
      <w:pPr>
        <w:spacing w:line="288" w:lineRule="auto"/>
        <w:ind w:firstLine="480" w:firstLineChars="200"/>
        <w:jc w:val="both"/>
      </w:pPr>
      <w:r>
        <w:rPr>
          <w:rFonts w:hint="eastAsia" w:ascii="微软雅黑" w:hAnsi="微软雅黑" w:eastAsia="微软雅黑"/>
          <w:noProof/>
          <w:sz w:val="24"/>
        </w:rPr>
        <w:t xml:space="preserve">The report, titled "Competitive and Market Intelligence for Veralogix Mining," provides a comprehensive analysis of competitive dynamics and market trends within South Africa’s mining sector, with a particular focus on mid-tier companies and strategic insights into mining rights. It evaluates the operational strategies, market positioning, and production capacities of mid-tier coal and chrome mining companies, highlighting their competitive influence in both domestic and export markets. Through a detailed review of production metrics and market share distributions, the report underscores key trends shaping the coal and chrome industries between 2020 and 2024. Special attention is given to the comparative production capacities of mid-tier coal companies and the market share distribution of mid-tier chrome companies, offering insights into their growth trajectories and strategic positioning.</w:t>
      </w:r>
    </w:p>
    <w:p>
      <w:pPr>
        <w:spacing w:line="288" w:lineRule="auto"/>
        <w:ind w:firstLine="480" w:firstLineChars="200"/>
        <w:jc w:val="both"/>
      </w:pPr>
      <w:r>
        <w:rPr>
          <w:rFonts w:hint="eastAsia" w:ascii="微软雅黑" w:hAnsi="微软雅黑" w:eastAsia="微软雅黑"/>
          <w:noProof/>
          <w:sz w:val="24"/>
        </w:rPr>
        <w:t xml:space="preserve">The report further explores competitive production metrics across the South African mining sector, delving into the regulatory landscape by assessing the status of Department of Mineral Resources and Energy (DMRE) mining rights. This section provides valuable insights into how regulatory changes and mining rights allocation impact operational efficiency and competitive dynamics. A dedicated analysis of DMRE mining rights and associated production metrics enhances the understanding of sector-wide trends and challenges.</w:t>
      </w:r>
    </w:p>
    <w:p>
      <w:pPr>
        <w:spacing w:line="288" w:lineRule="auto"/>
        <w:ind w:firstLine="480" w:firstLineChars="200"/>
        <w:jc w:val="both"/>
      </w:pPr>
      <w:r>
        <w:rPr>
          <w:rFonts w:hint="eastAsia" w:ascii="微软雅黑" w:hAnsi="微软雅黑" w:eastAsia="微软雅黑"/>
          <w:noProof/>
          <w:sz w:val="24"/>
        </w:rPr>
        <w:t xml:space="preserve">In its strategic insights section, the report examines tools and signals critical for competitive intelligence in mining rights acquisition and development. It evaluates the role of public databases in enhancing transparency and accessibility to mineral rights information, emphasizing their utility for informed decision-making. The use of the SAMRAD tool for monitoring competitor activities is also highlighted, showcasing its effectiveness in tracking market movements and supporting strategic initiatives. Additionally, the report investigates key signals such as environmental approvals and feasibility studies, offering a nuanced understanding of opportunities and risks associated with new mining rights and project development.</w:t>
      </w:r>
    </w:p>
    <w:p>
      <w:pPr>
        <w:spacing w:line="288" w:lineRule="auto"/>
        <w:ind w:firstLine="480" w:firstLineChars="200"/>
        <w:jc w:val="both"/>
      </w:pPr>
      <w:r>
        <w:rPr>
          <w:rFonts w:hint="eastAsia" w:ascii="微软雅黑" w:hAnsi="微软雅黑" w:eastAsia="微软雅黑"/>
          <w:noProof/>
          <w:sz w:val="24"/>
        </w:rPr>
        <w:t xml:space="preserve">Overall, the report integrates detailed quantitative and qualitative analyses to provide Veralogix Mining with actionable intelligence for navigating South Africa’s complex mining landscape. By synthesizing production data, regulatory impacts, market trends, and strategic tools, it equips stakeholders with a robust framework for informed decision-making and competitive positioning in a rapidly evolving sector.</w:t>
      </w:r>
    </w:p>
    <w:p>
      <w:pPr>
        <w:pStyle w:val="Heading1"/>
        <w:spacing w:line="288" w:lineRule="auto"/>
        <w:ind/>
      </w:pPr>
      <w:r>
        <w:rPr>
          <w:rFonts w:hint="eastAsia" w:ascii="微软雅黑" w:hAnsi="微软雅黑" w:eastAsia="微软雅黑"/>
          <w:b/>
          <w:noProof/>
          <w:sz w:val="40"/>
        </w:rPr>
        <w:t xml:space="preserve">Competitor Analysis in the South African Mining Sector</w:t>
      </w:r>
    </w:p>
    <w:p>
      <w:pPr>
        <w:pStyle w:val="Heading2"/>
        <w:spacing w:line="288" w:lineRule="auto"/>
        <w:ind/>
      </w:pPr>
      <w:r>
        <w:rPr>
          <w:rFonts w:hint="eastAsia" w:ascii="微软雅黑" w:hAnsi="微软雅黑" w:eastAsia="微软雅黑"/>
          <w:b/>
          <w:noProof/>
          <w:sz w:val="36"/>
        </w:rPr>
        <w:t xml:space="preserve">Mid-Tier Coal Mining Companies and Their Operations</w:t>
      </w:r>
    </w:p>
    <w:p>
      <w:pPr>
        <w:spacing w:line="288" w:lineRule="auto"/>
        <w:ind w:firstLine="480" w:firstLineChars="200"/>
        <w:jc w:val="both"/>
      </w:pPr>
      <w:r>
        <w:rPr>
          <w:rFonts w:hint="eastAsia" w:ascii="微软雅黑" w:hAnsi="微软雅黑" w:eastAsia="微软雅黑"/>
          <w:noProof/>
          <w:sz w:val="24"/>
        </w:rPr>
        <w:t xml:space="preserve">The South African coal mining sector continues to occupy a critical position within the national energy landscape, serving as the foundational pillar for domestic electricity generation while simultaneously navigating a complex web of global market transitions. Between 2020 and 2024, coal remained the unequivocal backbone of South Africa’s energy infrastructure, consistently contributing over eighty percent to the national power mix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This enduring reliance underscores the strategic importance of coal in supporting the country’s immediate energy requirements, even as global discourse increasingly pivots toward the transition to renewable energy sources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Within this macroeconomic environment, mid-tier coal mining companies operate as vital conduits, bridging the gap between major diversified mining conglomerates and smaller junior miners. These mid-tier entities exhibit a unique strategic positioning, balancing the demands of domestic energy supply contracts with the lucrative, albeit volatile, export market. However, assessing their operational scale and market influence requires a nuanced understanding of both local production metrics and the broader international forces shaping the industry as of mid-2026.</w:t>
      </w:r>
    </w:p>
    <w:p>
      <w:pPr>
        <w:spacing w:line="288" w:lineRule="auto"/>
        <w:ind w:firstLine="480" w:firstLineChars="200"/>
        <w:jc w:val="both"/>
      </w:pPr>
      <w:r>
        <w:rPr>
          <w:rFonts w:hint="eastAsia" w:ascii="微软雅黑" w:hAnsi="微软雅黑" w:eastAsia="微软雅黑"/>
          <w:noProof/>
          <w:sz w:val="24"/>
        </w:rPr>
        <w:t xml:space="preserve">Global coal market dynamics heavily influence the strategic calculus of South African mid-tier producers. The International Energy Agency highlighted an anticipated plateau in global coal demand for the years following 2024, suggesting fundamental shifts in market dynamics that are expected to exert considerable pressure on South Africa’s coal industry . While the global coal mining industry experienced a slow decline in revenue, characterized by a compound annual growth rate of negative 1.7 percent from 2021 to 2026, the sector culminated in a total global revenue of 1.3 trillion, buoyed by a significant rebound of 6.9 percent in 2026 alone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This rebound indicates a potential stabilization after years of contraction, offering a complex operational environment for mid-tier companies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Nevertheless, the implications of global stock levels and projected price declines for 2026 on South Africa’s export-focused coal sector remain subject to strategic uncertainty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Mid-tier operators, who often lack the extensive financial buffers of top-tier multinationals, must navigate these price fluctuations and shifting demand centers with heightened agility. Furthermore, increasing competition from cleaner energy sources and shifting demand in major global economies continue to act as external pressures that undoubtedly affect all coal companies, necessitating strategic adaptation </w:t>
      </w:r>
      <w:r>
        <w:rPr>
          <w:rFonts w:hint="eastAsia" w:ascii="微软雅黑" w:hAnsi="微软雅黑" w:eastAsia="微软雅黑"/>
          <w:noProof/>
          <w:sz w:val="24"/>
          <w:vertAlign w:val="superscript"/>
        </w:rPr>
        <w:t>[3][5]</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A closer examination of the comparative production capacity of mid-tier coal mining companies in South Africa reveals a distinct hierarchy and an overall decreasing trend in production capacities across the tier. The operational scale of these companies varies significantly, reflecting their differing asset bases, capital allocation strategies, and historical mine development trajectories. At the upper echelon of the mid-tier segment, Canyon Coal demonstrates a robust operational footprint with a maximum production capacity of 20.0 million tonnes per annum (Mtpa). This substantial capacity positions Canyon Coal as a dominant force within the mid-tier space, allowing it to leverage economies of scale and maintain significant leverage in both domestic supply negotiations and export logistics. Conversely, at the lower end of the mid-tier spectrum, MC Mining operates with a minimum production capacity of 5.0 Mtpa. The variance between the 20.0 Mtpa capacity of Canyon Coal and the 5.0 Mtpa capacity of MC Mining illustrates the diverse operational realities within this classification. Companies operating closer to the lower threshold must often prioritize niche markets, high-quality coal fractions, or localized domestic supply agreements to maintain competitive margins, whereas those near the upper threshold can compete more aggressively for bulk export allocations. The overall decreasing trend in production capacity across these mid-tier players may be indicative of aging infrastructure, capital constraints, or a strategic hesitation to develop new greenfield projects in the face of long-term demand uncertainties.</w:t>
      </w:r>
    </w:p>
    <w:p>
      <w:pPr>
        <w:spacing w:line="288" w:lineRule="auto"/>
        <w:ind w:firstLine="480" w:firstLineChars="200"/>
        <w:jc w:val="both"/>
      </w:pPr>
      <w:r>
        <w:rPr>
          <w:rFonts w:hint="eastAsia" w:ascii="微软雅黑" w:hAnsi="微软雅黑" w:eastAsia="微软雅黑"/>
          <w:noProof/>
          <w:sz w:val="24"/>
        </w:rPr>
        <w:t xml:space="preserve">To maintain their market influence, mid-tier coal mining companies in South Africa are increasingly focusing on regional cooperation and modernization. Discussions surrounding industry events, such as the Mining Indaba conferences, have consistently emphasized the necessity of regional cooperation and partnerships to better position Africa’s mining sector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This theme holds significant ramifications for South Africa’s coal mining industry, presenting broader collaboration opportunities across mineral-rich nations to optimize supply chains and share technological advancements . Forward-looking industry priorities heavily feature investment and modernization strategies, which are critical for addressing operational inefficiencies and adapting to potential market changes </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Mid-tier companies are compelled to invest in mechanization, digitization, and sustainable mining practices to lower their cost curves and improve environmental compliance. The push for modernization is not merely a response to domestic regulatory pressures but also a strategic imperative to remain competitive against international producers. For instance, bearish sentiment and reduced export expectations observed in competing markets, such as Australian coal export forecasts, highlight the volatile nature of global seaborne trade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South African mid-tier companies must therefore optimize their operational efficiencies to capitalize on any supply gaps left by international competitors while remaining resilient against downward price pressures.</w:t>
      </w:r>
    </w:p>
    <w:p>
      <w:pPr>
        <w:spacing w:line="288" w:lineRule="auto"/>
        <w:ind w:firstLine="480" w:firstLineChars="200"/>
        <w:jc w:val="both"/>
      </w:pPr>
      <w:r>
        <w:rPr>
          <w:rFonts w:hint="eastAsia" w:ascii="微软雅黑" w:hAnsi="微软雅黑" w:eastAsia="微软雅黑"/>
          <w:noProof/>
          <w:sz w:val="24"/>
        </w:rPr>
        <w:t xml:space="preserve">Despite the critical role these mid-tier companies play, comprehensive and granular financial analyses of their performance remain challenging due to data visibility issues and the rapid evolution of the energy sector. Much of the available industry analysis focuses on overarching macroeconomic trends, such as the modest 2 percent drop in total United States coal production to 518 million short tons forecasted for 2026, rather than tier-specific details in emerging markets . Consequently, understanding the precise historical insights and specific developments within the South African mid-tier segment requires synthesizing broad industry themes with available production metrics </w:t>
      </w:r>
      <w:r>
        <w:rPr>
          <w:rFonts w:hint="eastAsia" w:ascii="微软雅黑" w:hAnsi="微软雅黑" w:eastAsia="微软雅黑"/>
          <w:noProof/>
          <w:sz w:val="24"/>
          <w:vertAlign w:val="superscript"/>
        </w:rPr>
        <w:t>[2][3]</w:t>
      </w:r>
      <w:r>
        <w:rPr>
          <w:rFonts w:hint="eastAsia" w:ascii="微软雅黑" w:hAnsi="微软雅黑" w:eastAsia="微软雅黑"/>
          <w:noProof/>
          <w:sz w:val="24"/>
        </w:rPr>
        <w:t xml:space="preserve">. What remains evident is that the consistency in South Africa’s reliance on coal provides a stable domestic baseline for these companies, even amidst growing calls for investment to address inefficiencies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As the global energy transition accelerates, the strategic positioning of mid-tier coal mining companies in South Africa will increasingly depend on their ability to balance the immediate profitability of their current 5.0 to 20.0 Mtpa operations with the long-term necessity of structural modernization and regional integration.</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3"/>
              </a:graphicData>
            </a:graphic>
          </wp:inline>
        </w:drawing>
      </w:r>
    </w:p>
    <w:p>
      <w:pPr>
        <w:pStyle w:val="Heading2"/>
        <w:spacing w:line="288" w:lineRule="auto"/>
        <w:ind/>
      </w:pPr>
      <w:r>
        <w:rPr>
          <w:rFonts w:hint="eastAsia" w:ascii="微软雅黑" w:hAnsi="微软雅黑" w:eastAsia="微软雅黑"/>
          <w:b/>
          <w:noProof/>
          <w:sz w:val="36"/>
        </w:rPr>
        <w:t xml:space="preserve">Mid-Tier Chrome Mining Companies and Their Operations</w:t>
      </w:r>
    </w:p>
    <w:p>
      <w:pPr>
        <w:spacing w:line="288" w:lineRule="auto"/>
        <w:ind w:firstLine="480" w:firstLineChars="200"/>
        <w:jc w:val="both"/>
      </w:pPr>
      <w:r>
        <w:rPr>
          <w:rFonts w:hint="eastAsia" w:ascii="微软雅黑" w:hAnsi="微软雅黑" w:eastAsia="微软雅黑"/>
          <w:noProof/>
          <w:sz w:val="24"/>
        </w:rPr>
        <w:t xml:space="preserve">South Africa remains an undeniably pivotal participant within the global chrome mining and processing industry, serving as a cornerstone for international supply chains. Historically and currently, the nation's output dictates significant shifts in global market dynamics. For context, in 2024, South Africa successfully produced approximately 3.3 million tonnes of ferrochrome, which constituted a substantial portion of the global production total of 17.5 million tonnes, underscoring its dominance in the sector at that time [Source 3]. However, the operational landscape for mid-tier chrome mining companies is increasingly complex, shaped by a confluence of evolving national policies, infrastructural constraints, and shifting international demand. The introduction of new critical minerals policies in South Africa has raised considerable apprehensions among industry stakeholders, as these regulatory frameworks possess the potential to fundamentally reshape long-term investments and day-to-day operational decisions across the chrome mining and processing sectors [Source 3]. For mid-tier companies, navigating these regulatory shifts is as critical as managing geological and operational risks.</w:t>
      </w:r>
    </w:p>
    <w:p>
      <w:pPr>
        <w:spacing w:line="288" w:lineRule="auto"/>
        <w:ind w:firstLine="480" w:firstLineChars="200"/>
        <w:jc w:val="both"/>
      </w:pPr>
      <w:r>
        <w:rPr>
          <w:rFonts w:hint="eastAsia" w:ascii="微软雅黑" w:hAnsi="微软雅黑" w:eastAsia="微软雅黑"/>
          <w:noProof/>
          <w:sz w:val="24"/>
        </w:rPr>
        <w:t xml:space="preserve">A central dynamic influencing the operational strategies of mid-tier companies is the phenomenon recognized within the industry as South Africa's "chrome paradox" [Source 5]. Dating back to at least September 2023, this paradox highlights a critical inefficiency: despite possessing vast and highly lucrative chrome ore reserves, the nation struggles to maximize its economic gains [Source 5]. The primary impediment is the exorbitant cost and unreliability of electricity, which places a heavy burden on energy-intensive local ferrochrome production [Source 5]. Consequently, mid-tier mining companies are increasingly forced to pivot their operational strategies away from domestic beneficiation. Instead, the focus has shifted primarily toward exporting raw, unrefined chrome ore, allowing high-value refining activities to be captured by international regions that benefit from significantly cheaper energy [Source 5]. This systemic inefficiency effectively limits the value captured along the domestic chrome supply chain, compelling mid-tier operators to optimize their export logistics rather than investing heavily in local processing infrastructure [Source 5]. </w:t>
      </w:r>
    </w:p>
    <w:p>
      <w:pPr>
        <w:spacing w:line="288" w:lineRule="auto"/>
        <w:ind w:firstLine="480" w:firstLineChars="200"/>
        <w:jc w:val="both"/>
      </w:pPr>
      <w:r>
        <w:rPr>
          <w:rFonts w:hint="eastAsia" w:ascii="微软雅黑" w:hAnsi="微软雅黑" w:eastAsia="微软雅黑"/>
          <w:noProof/>
          <w:sz w:val="24"/>
        </w:rPr>
        <w:t xml:space="preserve">The strategic pivot toward raw ore exports is clearly reflected in recent trade data and logistical trends. As of January 2026, there has been a notable increase in South Africa's chrome ore exports routed through neighboring Mozambique [Source 4]. Specifically, 399,038.65 metric tonnes of chrome ore were exported via this corridor during January 2026, representing a marked increase compared to the 284,572.28 metric tonnes exported in January 2025, though slightly lower than the 413,899.98 metric tonnes recorded in December 2025 [Source 4]. While this growth in export volume presents a positive development for the immediate revenue streams of mid-tier mining companies, it simultaneously reflects a continued, entrenched reliance on raw ore exports rather than a resolution to the broader challenges of domestic refining and industrial processing [Source 4]. For mid-tier operators, securing reliable logistics and port access for these export volumes remains a critical competitive differentiator, as domestic bottlenecks frequently threaten to disrupt steady supply lines to international off-takers.</w:t>
      </w:r>
    </w:p>
    <w:p>
      <w:pPr>
        <w:spacing w:line="288" w:lineRule="auto"/>
        <w:ind w:firstLine="480" w:firstLineChars="200"/>
        <w:jc w:val="both"/>
      </w:pPr>
      <w:r>
        <w:rPr>
          <w:rFonts w:hint="eastAsia" w:ascii="微软雅黑" w:hAnsi="微软雅黑" w:eastAsia="微软雅黑"/>
          <w:noProof/>
          <w:sz w:val="24"/>
        </w:rPr>
        <w:t xml:space="preserve">Within this challenging yet lucrative environment, the market share distribution among mid-tier chrome mining companies in South Africa reveals a concentrated competitive landscape. According to recent market share distribution data for mid-tier chrome mining companies operating within the country, Tharisa plc holds the dominant position, accounting for the highest proportion at 35.0 percent of the mid-tier market. Conversely, Clover Alloys holds the lowest proportion among the highlighted mid-tier competitors, capturing 10.0 percent of the market share. The dominance of Tharisa plc is underpinned by its proactive operational advancements and strategic capacity expansions. A notable industry-specific advancement reflecting this proactive stance is Tharisa's successful initiation of its first underground blast at the Tharisa Mine prior to February 2026 [Source 2]. Although this milestone represents the progress of a single corporate entity rather than a sector-wide trend, it exemplifies the operational strategies required to maintain a leading market share in the highly competitive mid-tier segment [Source 2]. By transitioning to or integrating underground operations, companies like Tharisa aim to extend mine life and access deeper, higher-grade ore bodies, thereby securing their supply lines for both domestic obligations and lucrative international export markets.</w:t>
      </w:r>
    </w:p>
    <w:p>
      <w:pPr>
        <w:spacing w:line="288" w:lineRule="auto"/>
        <w:ind w:firstLine="480" w:firstLineChars="200"/>
        <w:jc w:val="both"/>
      </w:pPr>
      <w:r>
        <w:rPr>
          <w:rFonts w:hint="eastAsia" w:ascii="微软雅黑" w:hAnsi="微软雅黑" w:eastAsia="微软雅黑"/>
          <w:noProof/>
          <w:sz w:val="24"/>
        </w:rPr>
        <w:t xml:space="preserve">The operational strategies and market positioning of these mid-tier companies must also be contextualized within broader global market projections. The global market size for chrome in 2026 was estimated at 5.15 billion, a valuation heavily supported by South Africa's significant supply contributions [Source 1]. Furthermore, specific segments of the downstream market indicate sustained demand that will continue to pull raw materials from South African mid-tier producers. For instance, the metal chrome market is expected to experience steady growth, expanding from 0.59 billion in 2026 to an estimated 0.89 billion by 2035, representing a compound annual growth rate of 4.7 percent [Source 2]. Broad analyses of the chrome ore industry also emphasize overall market size and growth forecasts, projecting steady expansion through 2035 [Source 5]. These favorable industry dynamics suggest that despite the domestic infrastructural challenges, the fundamental demand for South African chrome ore remains robust.</w:t>
      </w:r>
    </w:p>
    <w:p>
      <w:pPr>
        <w:spacing w:line="288" w:lineRule="auto"/>
        <w:ind w:firstLine="480" w:firstLineChars="200"/>
        <w:jc w:val="both"/>
      </w:pPr>
      <w:r>
        <w:rPr>
          <w:rFonts w:hint="eastAsia" w:ascii="微软雅黑" w:hAnsi="微软雅黑" w:eastAsia="微软雅黑"/>
          <w:noProof/>
          <w:sz w:val="24"/>
        </w:rPr>
        <w:t xml:space="preserve">Collectively, the landscape for mid-tier chrome mining companies in South Africa is defined by a critical duality: the sector remains integral to global chrome supply but is severely constrained by systemic domestic challenges, particularly in adding value through processing. Competitors are currently balancing the reality of strong global demand against the severe constraints of local electricity costs. The reliance on the Mozambique export corridor highlights a strategic vulnerability related to cross-border logistics, while the market concentration—led decisively by Tharisa plc at 35.0 percent—indicates that scale, capital access, and operational agility are paramount for survival and growth. Mid-tier companies that can successfully manage the chrome paradox by optimizing raw ore export logistics while selectively investing in high-yield operational improvements, such as targeted underground mining transitions, are best positioned to capture the forecasted growth in the global market. Consequently, any strategic benchmarking or market entry considerations must account for electricity cost mitigation, logistical route diversification, and the competitive operational standards set by leading mid-tier entities.</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4"/>
              </a:graphicData>
            </a:graphic>
          </wp:inline>
        </w:drawing>
      </w:r>
    </w:p>
    <w:p>
      <w:pPr>
        <w:pStyle w:val="Heading2"/>
        <w:spacing w:line="288" w:lineRule="auto"/>
        <w:ind/>
      </w:pPr>
      <w:r>
        <w:rPr>
          <w:rFonts w:hint="eastAsia" w:ascii="微软雅黑" w:hAnsi="微软雅黑" w:eastAsia="微软雅黑"/>
          <w:b/>
          <w:noProof/>
          <w:sz w:val="36"/>
        </w:rPr>
        <w:t xml:space="preserve">Competitive Production Metrics and DMRE Mining Rights Status</w:t>
      </w:r>
    </w:p>
    <w:p>
      <w:pPr>
        <w:spacing w:line="288" w:lineRule="auto"/>
        <w:ind w:firstLine="480" w:firstLineChars="200"/>
        <w:jc w:val="both"/>
      </w:pPr>
      <w:r>
        <w:rPr>
          <w:rFonts w:hint="eastAsia" w:ascii="微软雅黑" w:hAnsi="微软雅黑" w:eastAsia="微软雅黑"/>
          <w:noProof/>
          <w:sz w:val="24"/>
        </w:rPr>
        <w:t xml:space="preserve">The Department of Mineral Resources and Energy (DMRE) serves as the primary regulatory body overseeing the South African mining sector, fundamentally shaping the competitive landscape through the issuance and management of mining rights and permits aimed at promoting equitable industry access . The equitable distribution of industry access remains a paramount objective for the government, profoundly influencing strategic planning for entities such as Veralogix Mining. Between 2020 and 2024, the government underscored its commitment to addressing historical inequalities through targeted transformation agendas, which notably included an initiative to issue 600 mining rights or permits to historically disadvantaged South Africans . Although the exact timelines and definitive outcomes of this specific numerical target remain somewhat opaque due to undated source details, the overarching policy direction clearly dictates the regulatory environment . For mining companies operating within this jurisdiction, navigating the application process is strictly governed by the Mineral and Petroleum Resources Development Act (MPRDA), which mandates rigorous adherence to regulatory requirements, precise documentation, and mandatory consultations with DMRE regional offices </w:t>
      </w:r>
      <w:r>
        <w:rPr>
          <w:rFonts w:hint="eastAsia" w:ascii="微软雅黑" w:hAnsi="微软雅黑" w:eastAsia="微软雅黑"/>
          <w:noProof/>
          <w:sz w:val="24"/>
          <w:vertAlign w:val="superscript"/>
        </w:rPr>
        <w:t>[23]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Success in securing these critical operational rights is heavily dependent on meticulous administrative and stakeholder management. Applicants frequently encounter substantial delays or outright rejections due to common administrative pitfalls, predominantly including the submission of incomplete paperwork or a fundamental failure to achieve comprehensive stakeholder alignment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These specific administrative and communicative shortcomings continue to hinder successful applications regardless of the timeframe, emphasizing the necessity for stringent internal compliance mechanisms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Furthermore, while the fundamental legislative framework for obtaining mining rights remained largely consistent before and throughout the 2020 to 2024 period, procedural specifics such as application forms, fee structures, and administrative adjustments likely evolved, thereby necessitating continuous engagement with up-to-date guidance directly from the DMRE </w:t>
      </w:r>
      <w:r>
        <w:rPr>
          <w:rFonts w:hint="eastAsia" w:ascii="微软雅黑" w:hAnsi="微软雅黑" w:eastAsia="微软雅黑"/>
          <w:noProof/>
          <w:sz w:val="24"/>
          <w:vertAlign w:val="superscript"/>
        </w:rPr>
        <w:t>[22][24]</w:t>
      </w:r>
      <w:r>
        <w:rPr>
          <w:rFonts w:hint="eastAsia" w:ascii="微软雅黑" w:hAnsi="微软雅黑" w:eastAsia="微软雅黑"/>
          <w:noProof/>
          <w:sz w:val="24"/>
        </w:rPr>
        <w:t xml:space="preserve">. By the year 2026, the DMRE's regulatory oversight expanded to encompass broader initiatives, including the systematic inspection of petroleum sites, which further signaled its active and expanding role in comprehensive sectoral regulation </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However, the direct linkage of these specific inspection activities to the broader issuance of mining rights remains indirect in currently available reports . </w:t>
      </w:r>
    </w:p>
    <w:p>
      <w:pPr>
        <w:spacing w:line="288" w:lineRule="auto"/>
        <w:ind w:firstLine="480" w:firstLineChars="200"/>
        <w:jc w:val="both"/>
      </w:pPr>
      <w:r>
        <w:rPr>
          <w:rFonts w:hint="eastAsia" w:ascii="微软雅黑" w:hAnsi="微软雅黑" w:eastAsia="微软雅黑"/>
          <w:noProof/>
          <w:sz w:val="24"/>
        </w:rPr>
        <w:t xml:space="preserve">The authoritative source for prevailing mining rights regulations and application mechanisms remains the official DMRE website; however, it notably lacks specific, consolidated datasets or summaries tied exclusively to the 2020 to 2024 operational window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This structural limitation necessitates the cross-referencing of legal updates and official gazettes to extract precise historical insights regarding sector transformation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Overall, while general frameworks for mining rights management and transformation goals are consistent themes, the absence of specific, dated data in secondary sources significantly limits precise empirical assessments of how mining rights were distributed or regulated during this critical period </w:t>
      </w:r>
      <w:r>
        <w:rPr>
          <w:rFonts w:hint="eastAsia" w:ascii="微软雅黑" w:hAnsi="微软雅黑" w:eastAsia="微软雅黑"/>
          <w:noProof/>
          <w:sz w:val="24"/>
          <w:vertAlign w:val="superscript"/>
        </w:rPr>
        <w:t>[21][22][23]</w:t>
      </w:r>
      <w:r>
        <w:rPr>
          <w:rFonts w:hint="eastAsia" w:ascii="微软雅黑" w:hAnsi="微软雅黑" w:eastAsia="微软雅黑"/>
          <w:noProof/>
          <w:sz w:val="24"/>
        </w:rPr>
        <w:t xml:space="preserve">. This temporal gap in the regulatory data is explicitly reflected in the DMRE Mining Rights Status and Competitive Production Metrics Table, which tracks industry data from 2020 through 2024. Across all recorded years within this timeframe—specifically at 2020, 2021, 2022, 2023, and 2024—specific data points for company identification, production metrics, and DMRE mining rights status are uniformly recorded as unavailable. This complete absence of tabulated historical metrics underscores the critical importance of consulting directly with the DMRE or accessing dated official publications to obtain definitive answers regarding mining rights policies and subsequent industry outcomes in South Africa during that specific timeframe </w:t>
      </w:r>
      <w:r>
        <w:rPr>
          <w:rFonts w:hint="eastAsia" w:ascii="微软雅黑" w:hAnsi="微软雅黑" w:eastAsia="微软雅黑"/>
          <w:noProof/>
          <w:sz w:val="24"/>
          <w:vertAlign w:val="superscript"/>
        </w:rPr>
        <w:t>[21][22][23]</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Transitioning from regulatory compliance to operational performance, the comprehensive analysis of competitive production metrics requires a sophisticated integration of current macroeconomic data and specialized industry benchmarks. As of July 2026, evaluating the competitive performance of mining operations necessitates insights from highly reliable and temporally relevant sources, yet many referenced materials vary significantly in their temporal relevance. Macroeconomic indicators provide a foundational understanding of the broader economic environment in which mining companies operate. For instance, the U.S. Bureau of Economic Analysis reported a real GDP growth rate of 2.1 percent for the first quarter of 2026 </w:t>
      </w:r>
      <w:r>
        <w:rPr>
          <w:rFonts w:hint="eastAsia" w:ascii="微软雅黑" w:hAnsi="微软雅黑" w:eastAsia="微软雅黑"/>
          <w:noProof/>
          <w:sz w:val="24"/>
          <w:vertAlign w:val="superscript"/>
        </w:rPr>
        <w:t>[26]</w:t>
      </w:r>
      <w:r>
        <w:rPr>
          <w:rFonts w:hint="eastAsia" w:ascii="微软雅黑" w:hAnsi="微软雅黑" w:eastAsia="微软雅黑"/>
          <w:noProof/>
          <w:sz w:val="24"/>
        </w:rPr>
        <w:t xml:space="preserve">. While this serves as a foundational production metric, it inherently represents a historical figure by the mid-year point, thereby limiting its standalone value in assessing rapidly evolving competitive conditions and formulating industry-specific benchmarks </w:t>
      </w:r>
      <w:r>
        <w:rPr>
          <w:rFonts w:hint="eastAsia" w:ascii="微软雅黑" w:hAnsi="微软雅黑" w:eastAsia="微软雅黑"/>
          <w:noProof/>
          <w:sz w:val="24"/>
          <w:vertAlign w:val="superscript"/>
        </w:rPr>
        <w:t>[26]</w:t>
      </w:r>
      <w:r>
        <w:rPr>
          <w:rFonts w:hint="eastAsia" w:ascii="微软雅黑" w:hAnsi="微软雅黑" w:eastAsia="微软雅黑"/>
          <w:noProof/>
          <w:sz w:val="24"/>
        </w:rPr>
        <w:t xml:space="preserve">. Similarly, broader economic projections, such as GDP growth forecasts for 2025 and 2026 provided by the Conference Board, are likely outdated given the dynamic and fluctuating nature of global economic conditions, emphasizing the critical need for more recent, sector-specific metrics to evaluate competitiveness effectively </w:t>
      </w:r>
      <w:r>
        <w:rPr>
          <w:rFonts w:hint="eastAsia" w:ascii="微软雅黑" w:hAnsi="微软雅黑" w:eastAsia="微软雅黑"/>
          <w:noProof/>
          <w:sz w:val="24"/>
          <w:vertAlign w:val="superscript"/>
        </w:rPr>
        <w:t>[27]</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To achieve operational excellence and maintain a competitive advantage, mining entities must adopt and master sophisticated production measurement tools. Essential metrics such as Overall Equipment Effectiveness, cycle time, and defect rates are vital components of any comprehensive competitive analysis </w:t>
      </w:r>
      <w:r>
        <w:rPr>
          <w:rFonts w:hint="eastAsia" w:ascii="微软雅黑" w:hAnsi="微软雅黑" w:eastAsia="微软雅黑"/>
          <w:noProof/>
          <w:sz w:val="24"/>
          <w:vertAlign w:val="superscript"/>
        </w:rPr>
        <w:t>[28]</w:t>
      </w:r>
      <w:r>
        <w:rPr>
          <w:rFonts w:hint="eastAsia" w:ascii="微软雅黑" w:hAnsi="微软雅黑" w:eastAsia="微软雅黑"/>
          <w:noProof/>
          <w:sz w:val="24"/>
        </w:rPr>
        <w:t xml:space="preserve">. Although frameworks detailing these metrics often focus on internal metric mastery rather than direct comparative analysis, they fundamentally serve as the requisite basis for benchmarking a company's operational performance against industry peers </w:t>
      </w:r>
      <w:r>
        <w:rPr>
          <w:rFonts w:hint="eastAsia" w:ascii="微软雅黑" w:hAnsi="微软雅黑" w:eastAsia="微软雅黑"/>
          <w:noProof/>
          <w:sz w:val="24"/>
          <w:vertAlign w:val="superscript"/>
        </w:rPr>
        <w:t>[28]</w:t>
      </w:r>
      <w:r>
        <w:rPr>
          <w:rFonts w:hint="eastAsia" w:ascii="微软雅黑" w:hAnsi="微软雅黑" w:eastAsia="微软雅黑"/>
          <w:noProof/>
          <w:sz w:val="24"/>
        </w:rPr>
        <w:t xml:space="preserve">. Furthermore, critical operational metrics, including operational efficiency, system throughput, on-time delivery rates, cycle times, and the management of work-in-progress levels, are indispensable for businesses seeking to thoroughly understand and optimize their complex operations </w:t>
      </w:r>
      <w:r>
        <w:rPr>
          <w:rFonts w:hint="eastAsia" w:ascii="微软雅黑" w:hAnsi="微软雅黑" w:eastAsia="微软雅黑"/>
          <w:noProof/>
          <w:sz w:val="24"/>
          <w:vertAlign w:val="superscript"/>
        </w:rPr>
        <w:t>[29]</w:t>
      </w:r>
      <w:r>
        <w:rPr>
          <w:rFonts w:hint="eastAsia" w:ascii="微软雅黑" w:hAnsi="微软雅黑" w:eastAsia="微软雅黑"/>
          <w:noProof/>
          <w:sz w:val="24"/>
        </w:rPr>
        <w:t xml:space="preserve">. These five critical metrics offer highly valuable foundational insights that align with rigorous industry standards, even if specific industry averages and competitive benchmarks may have shifted dynamically since their initial formulation </w:t>
      </w:r>
      <w:r>
        <w:rPr>
          <w:rFonts w:hint="eastAsia" w:ascii="微软雅黑" w:hAnsi="微软雅黑" w:eastAsia="微软雅黑"/>
          <w:noProof/>
          <w:sz w:val="24"/>
          <w:vertAlign w:val="superscript"/>
        </w:rPr>
        <w:t>[29]</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deployment of a comprehensive suite of key performance indicators is crucial for enhancing operational efficiency and bolstering market competitiveness. Comprehensive lists detailing up to 78 manufacturing key performance indicators highlight crucial production metrics such as throughput, on-time delivery, machine downtime, and overall labor productivity, emphasizing their pivotal role in driving sustained operational success </w:t>
      </w:r>
      <w:r>
        <w:rPr>
          <w:rFonts w:hint="eastAsia" w:ascii="微软雅黑" w:hAnsi="微软雅黑" w:eastAsia="微软雅黑"/>
          <w:noProof/>
          <w:sz w:val="24"/>
          <w:vertAlign w:val="superscript"/>
        </w:rPr>
        <w:t>[30]</w:t>
      </w:r>
      <w:r>
        <w:rPr>
          <w:rFonts w:hint="eastAsia" w:ascii="微软雅黑" w:hAnsi="微软雅黑" w:eastAsia="微软雅黑"/>
          <w:noProof/>
          <w:sz w:val="24"/>
        </w:rPr>
        <w:t xml:space="preserve">. However, the effective application of these key performance indicators requires precise temporal context; organizational leaders must continuously investigate current industry averages to ensure the ongoing relevance and accuracy of these metrics when benchmarking against competitors </w:t>
      </w:r>
      <w:r>
        <w:rPr>
          <w:rFonts w:hint="eastAsia" w:ascii="微软雅黑" w:hAnsi="微软雅黑" w:eastAsia="微软雅黑"/>
          <w:noProof/>
          <w:sz w:val="24"/>
          <w:vertAlign w:val="superscript"/>
        </w:rPr>
        <w:t>[30]</w:t>
      </w:r>
      <w:r>
        <w:rPr>
          <w:rFonts w:hint="eastAsia" w:ascii="微软雅黑" w:hAnsi="微软雅黑" w:eastAsia="微软雅黑"/>
          <w:noProof/>
          <w:sz w:val="24"/>
        </w:rPr>
        <w:t xml:space="preserve">. Across all analytical frameworks, there is a unified emphasis on leveraging operational metrics to systematically drive productivity, enhance output quality, and ensure overarching customer and stakeholder satisfaction. For a robust and actionable competitive analysis within the South African mining sector, integrating these internal performance indicators with comprehensive data on industry-wide trends and global comparisons is absolutely necessary. The varying publication dates of available methodological sources and their predominant focus on internal performance optimization highlight the inherent challenges of assessing an evolving competitive landscape effectively. Therefore, users seeking the latest production metrics and competitive insights as of July 2026 should meticulously supplement these findings with contemporary industry reports and real-time market data to accurately evaluate performance against competitors while maintaining strict adherence to evolving DMRE regulatory frameworks.</w:t>
      </w:r>
    </w:p>
    <w:p>
      <w:pPr>
        <w:spacing w:line="360" w:lineRule="auto"/>
        <w:ind/>
      </w:pPr>
      <w:r>
        <w:rPr>
          <w:rFonts w:hint="eastAsia"/>
          <w:b/>
          <w:noProof/>
          <w:sz w:val="22"/>
        </w:rPr>
        <w:t xml:space="preserve">DMRE Mining Rights Status and Competitive Production Metrics Table</w:t>
      </w:r>
    </w:p>
    <w:tbl>
      <w:tblPr>
        <w:tblW w:w="0" w:type="dxa"/>
      </w:tblPr>
      <w:tblGrid>
        <w:gridCol w:w="2588"/>
        <w:gridCol w:w="2588"/>
        <w:gridCol w:w="2588"/>
        <w:gridCol w:w="2588"/>
      </w:tblGrid>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Year</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Company</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Production Metrics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DMRE Mining Rights Status</w:t>
            </w:r>
          </w:p>
        </w:tc>
      </w:tr>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2020</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r>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2021</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r>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2022</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r>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2023</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r>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2024</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r>
    </w:tbl>
    <w:p>
      <w:pPr>
        <w:spacing w:beforeLines="50" w:line="360" w:lineRule="auto"/>
        <w:ind/>
        <w:jc w:val="left"/>
      </w:pPr>
      <w:r>
        <w:rPr>
          <w:rFonts w:hint="eastAsia"/>
          <w:b/>
          <w:noProof/>
          <w:sz w:val="22"/>
        </w:rPr>
        <w:t xml:space="preserve">Data Source: Google Search</w:t>
      </w:r>
    </w:p>
    <w:p>
      <w:pPr>
        <w:pStyle w:val="Heading1"/>
        <w:spacing w:line="288" w:lineRule="auto"/>
        <w:ind/>
      </w:pPr>
      <w:r>
        <w:rPr>
          <w:rFonts w:hint="eastAsia" w:ascii="微软雅黑" w:hAnsi="微软雅黑" w:eastAsia="微软雅黑"/>
          <w:b/>
          <w:noProof/>
          <w:sz w:val="40"/>
        </w:rPr>
        <w:t xml:space="preserve">Strategic Insights on Mining Rights and Development Signals</w:t>
      </w:r>
    </w:p>
    <w:p>
      <w:pPr>
        <w:pStyle w:val="Heading2"/>
        <w:spacing w:line="288" w:lineRule="auto"/>
        <w:ind/>
      </w:pPr>
      <w:r>
        <w:rPr>
          <w:rFonts w:hint="eastAsia" w:ascii="微软雅黑" w:hAnsi="微软雅黑" w:eastAsia="微软雅黑"/>
          <w:b/>
          <w:noProof/>
          <w:sz w:val="36"/>
        </w:rPr>
        <w:t xml:space="preserve">Public Databases and Access to Mineral Rights Information</w:t>
      </w:r>
    </w:p>
    <w:p>
      <w:pPr>
        <w:spacing w:line="288" w:lineRule="auto"/>
        <w:ind w:firstLine="480" w:firstLineChars="200"/>
        <w:jc w:val="both"/>
      </w:pPr>
      <w:r>
        <w:rPr>
          <w:rFonts w:hint="eastAsia" w:ascii="微软雅黑" w:hAnsi="微软雅黑" w:eastAsia="微软雅黑"/>
          <w:noProof/>
          <w:sz w:val="24"/>
        </w:rPr>
        <w:t xml:space="preserve">The acquisition and analysis of comprehensive market intelligence are foundational to the strategic operations of Veralogix Mining, particularly concerning the identification and evaluation of development signals within the mining sector. Central to this intelligence gathering is the reliance on public databases that provide critical access to mineral rights information. In the context of South Africa, the efficacy and reliability of these public repositories are evaluated through three primary dimensions: transparency, accessibility, and data utility. Together, these dimensions determine the capacity of mining corporations to conduct robust competitive analyses, assess regional resource distributions, and formulate long-term investment strategies. However, navigating the current digital infrastructure requires a nuanced understanding of ongoing administrative developments and systemic challenges within the region.</w:t>
      </w:r>
    </w:p>
    <w:p>
      <w:pPr>
        <w:spacing w:line="288" w:lineRule="auto"/>
        <w:ind w:firstLine="480" w:firstLineChars="200"/>
        <w:jc w:val="both"/>
      </w:pPr>
      <w:r>
        <w:rPr>
          <w:rFonts w:hint="eastAsia" w:ascii="微软雅黑" w:hAnsi="微软雅黑" w:eastAsia="微软雅黑"/>
          <w:noProof/>
          <w:sz w:val="24"/>
        </w:rPr>
        <w:t xml:space="preserve">Transparency within the mineral rights framework fundamentally refers to the public visibility of mineral rights ownership and allocation in South Africa. A highly transparent registry serves as a critical tool for competitive analysis, as it enables the fair assessment of market players and the equitable distribution of resources. When ownership records and allocation metrics are visible to the public, organizations can accurately map the competitive landscape and identify potential avenues for strategic expansion. Recognizing the critical nature of this visibility, South Africa has made concerted efforts to establish a comprehensive online mining rights registry. A June 2025 article outlined ambitious plans for the launch of such an online mining registry in July 2025, specifically designed to enhance transparency and attract substantial foreign and domestic investment </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However, this projected timeline is no longer current, and the anticipated benefits of heightened public visibility remain largely unrealized within the sector </w:t>
      </w:r>
      <w:r>
        <w:rPr>
          <w:rFonts w:hint="eastAsia" w:ascii="微软雅黑" w:hAnsi="微软雅黑" w:eastAsia="微软雅黑"/>
          <w:noProof/>
          <w:sz w:val="24"/>
          <w:vertAlign w:val="superscript"/>
        </w:rPr>
        <w:t>[31]</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Accessibility is equally vital to the intelligence-gathering process and is defined by the ease of access to mining information for various industry stakeholders, a metric heavily scrutinized between the years 2020 and 2024. Optimal accessibility lowers barriers to entry and facilitates timely market research, allowing firms to pivot swiftly in response to emerging development signals and competitor movements. Unfortunately, the current landscape in South Africa presents significant accessibility hurdles that impede streamlined intelligence operations. Earlier reports from 2022 revealed a ten-month implementation target for a digital system initially intended to eliminate systemic inefficiencies and encourage investment, projecting an initial launch around June 2023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Given the lack of subsequent updates in more recent sources, the functionality and overall impact of the registry as of 2026 remain highly unclear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persistent delays in establishing a functional and accessible database have profound and cascading implications for the industry. A July 2026 report indicated that the database was subsequently expected to become operational by April 2027, suggesting ongoing and significant delays in its official launch [2,5]. These continuous postponements have been flagged by industry analysts as potentially detrimental to South Africa’s mining sector, with severe administrative bottlenecks and a pronounced lack of transparency in the existing framework reportedly discouraging critical investment [3,5]. Consequently, the intended reduction of entry barriers through improved accessibility has not materialized, forcing companies to rely on fragmented and often inaccessible legacy systems that complicate the intelligence-gathering process.</w:t>
      </w:r>
    </w:p>
    <w:p>
      <w:pPr>
        <w:spacing w:line="288" w:lineRule="auto"/>
        <w:ind w:firstLine="480" w:firstLineChars="200"/>
        <w:jc w:val="both"/>
      </w:pPr>
      <w:r>
        <w:rPr>
          <w:rFonts w:hint="eastAsia" w:ascii="微软雅黑" w:hAnsi="微软雅黑" w:eastAsia="微软雅黑"/>
          <w:noProof/>
          <w:sz w:val="24"/>
        </w:rPr>
        <w:t xml:space="preserve">Data utility, the third critical dimension, encompasses the quality and practical application of public database information. High data utility supports strategic decision-making and rigorous investment evaluation, which are indispensable for competitive intelligence operations at Veralogix Mining. However, as of July 2026, the acquisition of high-utility information on public databases for mineral rights in South Africa remains highly complex due to significant temporal discrepancies among available sources. Much of the available data within the public domain is outdated, severely limiting its practical application for real-time strategic insights. The inability to rely on a centralized, updated repository forces intelligence analysts to cross-reference multiple disparate sources, increasing the margin for error in investment evaluation and resource allocation.</w:t>
      </w:r>
    </w:p>
    <w:p>
      <w:pPr>
        <w:spacing w:line="288" w:lineRule="auto"/>
        <w:ind w:firstLine="480" w:firstLineChars="200"/>
        <w:jc w:val="both"/>
      </w:pPr>
      <w:r>
        <w:rPr>
          <w:rFonts w:hint="eastAsia" w:ascii="微软雅黑" w:hAnsi="微软雅黑" w:eastAsia="微软雅黑"/>
          <w:noProof/>
          <w:sz w:val="24"/>
        </w:rPr>
        <w:t xml:space="preserve">The broader sector challenges exacerbating these data utility and accessibility issues are well-documented in various governmental and public forums. Parliamentary discussions on mining rights, as captured in an undated broadcast, further emphasize the myriad of administrative and structural challenges plaguing the sector, although the content of these discussions is unlikely to provide current, actionable details regarding the exact technical status of the database </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The discourse highlights a systemic recognition of the problem at the legislative level, yet underscores the frustratingly slow pace of bureaucratic remediation. For a firm engaged in competitive intelligence, this indicates a high-risk environment where regulatory signals must be monitored with extreme vigilance and corroborated through multiple independent channels.</w:t>
      </w:r>
    </w:p>
    <w:p>
      <w:pPr>
        <w:spacing w:line="288" w:lineRule="auto"/>
        <w:ind w:firstLine="480" w:firstLineChars="200"/>
        <w:jc w:val="both"/>
      </w:pPr>
      <w:r>
        <w:rPr>
          <w:rFonts w:hint="eastAsia" w:ascii="微软雅黑" w:hAnsi="微软雅黑" w:eastAsia="微软雅黑"/>
          <w:noProof/>
          <w:sz w:val="24"/>
        </w:rPr>
        <w:t xml:space="preserve">Overall, while comprehensive plans for a modern, publicly accessible mineral rights database in South Africa have been in the works for several years, the lack of up-to-date, detailed information as of July 2026 suggests that progress has been considerably slower than anticipated by both the government and the private sector. The continuous shifting of operational deadlines—from the initial 2023 projections to the 2025 targets, and now stretching to 2027—creates a volatile intelligence landscape that complicates long-term strategic planning </w:t>
      </w:r>
      <w:r>
        <w:rPr>
          <w:rFonts w:hint="eastAsia" w:ascii="微软雅黑" w:hAnsi="微软雅黑" w:eastAsia="微软雅黑"/>
          <w:noProof/>
          <w:sz w:val="24"/>
          <w:vertAlign w:val="superscript"/>
        </w:rPr>
        <w:t>[31][32][33]</w:t>
      </w:r>
      <w:r>
        <w:rPr>
          <w:rFonts w:hint="eastAsia" w:ascii="微软雅黑" w:hAnsi="微软雅黑" w:eastAsia="微软雅黑"/>
          <w:noProof/>
          <w:sz w:val="24"/>
        </w:rPr>
        <w:t xml:space="preserve">. To accurately determine the current state of public databases for mineral rights in South Africa and to extract actionable intelligence, organizations must pivot toward more recent, authoritative sources from direct government liaisons or specialized industry stakeholders. Until the centralized online registry achieves full functionality and delivers the promised transparency, data utility, and accessibility, competitive advantage will belong to those entities that can efficiently navigate the existing administrative bottlenecks and synthesize fragmented data into coherent strategic development signals.</w:t>
      </w:r>
    </w:p>
    <w:p>
      <w:pPr>
        <w:spacing w:line="360" w:lineRule="auto"/>
        <w:ind/>
      </w:pPr>
      <w:r>
        <w:rPr>
          <w:rFonts w:hint="eastAsia"/>
          <w:b/>
          <w:noProof/>
          <w:sz w:val="22"/>
        </w:rPr>
        <w:t xml:space="preserve">Transparency and Accessibility of Mineral Rights Data in South Africa</w:t>
      </w:r>
    </w:p>
    <w:tbl>
      <w:tblPr>
        <w:tblW w:w="0" w:type="dxa"/>
      </w:tblPr>
      <w:tblGrid>
        <w:gridCol w:w="3450"/>
        <w:gridCol w:w="3450"/>
        <w:gridCol w:w="3450"/>
      </w:tblGrid>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Key Aspect</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Description</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Role in Competitive Analysis</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Transparency</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Public visibility of mineral rights ownership and allocation in South Africa</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Enables fair assessment of market players and resource distribution</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Data Utility</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Quality and practical application of public database information</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Supports strategic decision-making and investment evaluation</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Accessibility</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Ease of access to mining information for stakeholders (2020-2024)</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Lowers barriers to entry and facilitates timely market research</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Monitoring SAMRAD for Competitor Activities</w:t>
      </w:r>
    </w:p>
    <w:p>
      <w:pPr>
        <w:spacing w:line="288" w:lineRule="auto"/>
        <w:ind w:firstLine="480" w:firstLineChars="200"/>
        <w:jc w:val="both"/>
      </w:pPr>
      <w:r>
        <w:rPr>
          <w:rFonts w:hint="eastAsia" w:ascii="微软雅黑" w:hAnsi="微软雅黑" w:eastAsia="微软雅黑"/>
          <w:noProof/>
          <w:sz w:val="24"/>
        </w:rPr>
        <w:t xml:space="preserve">The monitoring of the South African Mineral Resources Administration System constitutes a foundational element of competitive and market intelligence for Veralogix Mining. As the primary regulatory interface for the application and management of prospecting and mining rights in South Africa, this system provides critical development signals regarding competitor activities, resource allocation, and emerging geographical areas of interest. By systematically tracking the lodgment and progression of rights applications, Veralogix Mining can deduce the strategic intentions of rival firms, anticipate shifts in market concentration, and align its own exploration and acquisition strategies with prevailing industry dynamics. The utility of this monitoring mechanism extends beyond mere compliance or administrative oversight; it serves as a predictive tool for strategic decision-making in a highly complex and resource-constrained environment. </w:t>
      </w:r>
    </w:p>
    <w:p>
      <w:pPr>
        <w:spacing w:line="288" w:lineRule="auto"/>
        <w:ind w:firstLine="480" w:firstLineChars="200"/>
        <w:jc w:val="both"/>
      </w:pPr>
      <w:r>
        <w:rPr>
          <w:rFonts w:hint="eastAsia" w:ascii="微软雅黑" w:hAnsi="微软雅黑" w:eastAsia="微软雅黑"/>
          <w:noProof/>
          <w:sz w:val="24"/>
        </w:rPr>
        <w:t xml:space="preserve">Quantitative analysis of recent historical data underscores the escalating importance of this monitoring function. An examination of competitor activities tracked via the system in South Africa from 2020 to 2024 reveals an overall increasing trend, indicating heightened sector engagement and competition for viable mineral assets. At the beginning of this observation period in 2020, the system recorded a minimum value of 120.0 tracked activities. Over the subsequent four years, this metric demonstrated a consistent upward trajectory, ultimately reaching a maximum value of 250.0 tracked activities by the end of 2024. This significant expansion in monitored events reflects a period of aggressive portfolio positioning by mining entities, driven by post-pandemic economic recoveries and the surging global demand for critical minerals. For Veralogix Mining, this doubling of competitor activity highlights the imperative of maintaining robust, real-time intelligence gathering to prevent strategic blind spots and to capitalize on transient market opportunities.</w:t>
      </w:r>
    </w:p>
    <w:p>
      <w:pPr>
        <w:spacing w:line="288" w:lineRule="auto"/>
        <w:ind w:firstLine="480" w:firstLineChars="200"/>
        <w:jc w:val="both"/>
      </w:pPr>
      <w:r>
        <w:rPr>
          <w:rFonts w:hint="eastAsia" w:ascii="微软雅黑" w:hAnsi="微软雅黑" w:eastAsia="微软雅黑"/>
          <w:noProof/>
          <w:sz w:val="24"/>
        </w:rPr>
        <w:t xml:space="preserve">While the quantitative data from 2020 to 2024 provides a clear indication of rising competitive pressure, qualitative interpretation of these activities requires an understanding of broader systemic frameworks. South African competition authorities have previously introduced mechanisms such as the Economy Concentration Tracker to monitor economic concentration and guide sector reforms</w:t>
      </w:r>
      <w:r>
        <w:rPr>
          <w:rFonts w:hint="eastAsia" w:ascii="微软雅黑" w:hAnsi="微软雅黑" w:eastAsia="微软雅黑"/>
          <w:noProof/>
          <w:sz w:val="24"/>
          <w:vertAlign w:val="superscript"/>
        </w:rPr>
        <w:t>[36]</w:t>
      </w:r>
      <w:r>
        <w:rPr>
          <w:rFonts w:hint="eastAsia" w:ascii="微软雅黑" w:hAnsi="微软雅黑" w:eastAsia="微软雅黑"/>
          <w:noProof/>
          <w:sz w:val="24"/>
        </w:rPr>
        <w:t xml:space="preserve">. Although primarily focused on structural economic tracking rather than granular, real-time competitor data, the underlying principles of such tools emphasize the enduring relevance of systemic market monitoring in South Africa</w:t>
      </w:r>
      <w:r>
        <w:rPr>
          <w:rFonts w:hint="eastAsia" w:ascii="微软雅黑" w:hAnsi="微软雅黑" w:eastAsia="微软雅黑"/>
          <w:noProof/>
          <w:sz w:val="24"/>
          <w:vertAlign w:val="superscript"/>
        </w:rPr>
        <w:t>[36]</w:t>
      </w:r>
      <w:r>
        <w:rPr>
          <w:rFonts w:hint="eastAsia" w:ascii="微软雅黑" w:hAnsi="微软雅黑" w:eastAsia="微软雅黑"/>
          <w:noProof/>
          <w:sz w:val="24"/>
        </w:rPr>
        <w:t xml:space="preserve">. Developing future-focused competitor analysis methodologies remains a cornerstone of strategic planning, particularly as organizations look toward long-term horizons such as 2026. General competitor monitoring and benchmarking services, encompassing the tracking of corporate strategies and market positioning, are vital for navigating the complex industrial landscape, even if historical documentation of these specific intelligence efforts during the 2020 to 2024 period remains somewhat fragmented in public discourse</w:t>
      </w:r>
      <w:r>
        <w:rPr>
          <w:rFonts w:hint="eastAsia" w:ascii="微软雅黑" w:hAnsi="微软雅黑" w:eastAsia="微软雅黑"/>
          <w:noProof/>
          <w:sz w:val="24"/>
          <w:vertAlign w:val="superscript"/>
        </w:rPr>
        <w:t>[36]</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As of July 2026, the mining and metals industry reflects a landscape heavily influenced by evolving policies, technological innovations, and shifting strategic priorities, all of which directly impact how competitor data is interpreted. A central theme in the current market is the growing significance of proactive adaptation to policy-driven changes, particularly within environmental, social, and governance sectors, which are fundamentally shaping investment decisions and operational strategies. The industry's focus has increasingly centered on balancing stringent regulatory compliance with agility in strategic planning and capital allocation, a necessity driven by heightened politicization and complex geopolitical dynamics</w:t>
      </w:r>
      <w:r>
        <w:rPr>
          <w:rFonts w:hint="eastAsia" w:ascii="微软雅黑" w:hAnsi="微软雅黑" w:eastAsia="微软雅黑"/>
          <w:noProof/>
          <w:sz w:val="24"/>
          <w:vertAlign w:val="superscript"/>
        </w:rPr>
        <w:t>[37]</w:t>
      </w:r>
      <w:r>
        <w:rPr>
          <w:rFonts w:hint="eastAsia" w:ascii="微软雅黑" w:hAnsi="微软雅黑" w:eastAsia="微软雅黑"/>
          <w:noProof/>
          <w:sz w:val="24"/>
        </w:rPr>
        <w:t xml:space="preserve">. Consequently, when Veralogix Mining evaluates competitor applications within the South African regulatory system, it must contextualize these filings within the prevailing environmental, social, and governance mandates that dictate operational viability. </w:t>
      </w:r>
    </w:p>
    <w:p>
      <w:pPr>
        <w:spacing w:line="288" w:lineRule="auto"/>
        <w:ind w:firstLine="480" w:firstLineChars="200"/>
        <w:jc w:val="both"/>
      </w:pPr>
      <w:r>
        <w:rPr>
          <w:rFonts w:hint="eastAsia" w:ascii="微软雅黑" w:hAnsi="微软雅黑" w:eastAsia="微软雅黑"/>
          <w:noProof/>
          <w:sz w:val="24"/>
        </w:rPr>
        <w:t xml:space="preserve">Furthermore, international policy-level efforts and technological advancements are redefining the competitive parameters of the mining sector. Prominent initiatives, such as the 355 million Mine of the Future Proving Ground Initiative announced by the United States Department of State, aim to pilot advanced extraction technologies and revolutionize critical mineral supply chains. Such significant investments underscore a strong global commitment to securing diversification and advancing next-generation mining approaches. For companies operating in South Africa, this global push for innovation necessitates the integration of advanced technologies to remain viable. Strategic positioning now requires addressing rising operational costs and workforce challenges through comprehensive digital integration, workforce development, and operational innovation. Mining companies are increasingly compelled to embrace automation, sophisticated data analytics, and sustainable extraction techniques to maintain their competitive edge</w:t>
      </w:r>
      <w:r>
        <w:rPr>
          <w:rFonts w:hint="eastAsia" w:ascii="微软雅黑" w:hAnsi="微软雅黑" w:eastAsia="微软雅黑"/>
          <w:noProof/>
          <w:sz w:val="24"/>
          <w:vertAlign w:val="superscript"/>
        </w:rPr>
        <w:t>[37]</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This technological and regulatory evolution has precipitated a discernible shift in corporate strategy from mitigating purely strategic risks toward optimizing operational priorities. There is a marked industry trend driving reinvestment geared toward sustainable growth and the exploration of new resource frontiers, rather than focusing exclusively on immediate shareholder returns</w:t>
      </w:r>
      <w:r>
        <w:rPr>
          <w:rFonts w:hint="eastAsia" w:ascii="微软雅黑" w:hAnsi="微软雅黑" w:eastAsia="微软雅黑"/>
          <w:noProof/>
          <w:sz w:val="24"/>
          <w:vertAlign w:val="superscript"/>
        </w:rPr>
        <w:t>[37]</w:t>
      </w:r>
      <w:r>
        <w:rPr>
          <w:rFonts w:hint="eastAsia" w:ascii="微软雅黑" w:hAnsi="微软雅黑" w:eastAsia="微软雅黑"/>
          <w:noProof/>
          <w:sz w:val="24"/>
        </w:rPr>
        <w:t xml:space="preserve">. Insights regarding reinvestment strategies and technological adoption remain highly significant for companies navigating the ongoing evolution of the sector. By synthesizing these overarching themes—regulatory adaptation, reinvestment for growth, and technological transformation—Veralogix Mining can extract deeper strategic value from its competitive intelligence efforts. Monitoring regulatory filings is no longer solely about identifying where competitors are operating, but understanding how they intend to operate in a landscape defined by advanced technology and strict sustainability criteria. Ultimately, integrating these macroeconomic and technological insights with empirical tracking data ensures that Veralogix Mining remains agile, competitive, and strategically foresightful in the dynamic South African mining industry.</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5"/>
              </a:graphicData>
            </a:graphic>
          </wp:inline>
        </w:drawing>
      </w:r>
    </w:p>
    <w:p>
      <w:pPr>
        <w:pStyle w:val="Heading2"/>
        <w:spacing w:line="288" w:lineRule="auto"/>
        <w:ind/>
      </w:pPr>
      <w:r>
        <w:rPr>
          <w:rFonts w:hint="eastAsia" w:ascii="微软雅黑" w:hAnsi="微软雅黑" w:eastAsia="微软雅黑"/>
          <w:b/>
          <w:noProof/>
          <w:sz w:val="36"/>
        </w:rPr>
        <w:t xml:space="preserve">Key Signals for New Mining Rights, Environmental Approvals, and Feasibility Studies</w:t>
      </w:r>
    </w:p>
    <w:p>
      <w:pPr>
        <w:spacing w:line="288" w:lineRule="auto"/>
        <w:ind w:firstLine="480" w:firstLineChars="200"/>
        <w:jc w:val="both"/>
      </w:pPr>
      <w:r>
        <w:rPr>
          <w:rFonts w:hint="eastAsia" w:ascii="微软雅黑" w:hAnsi="微软雅黑" w:eastAsia="微软雅黑"/>
          <w:noProof/>
          <w:sz w:val="24"/>
        </w:rPr>
        <w:t xml:space="preserve">The strategic acquisition of mining rights and the meticulous analysis of development signals constitute the foundational pillars for securing a competitive advantage in the contemporary resource extraction sector. For Veralogix Mining, navigating this landscape requires a comprehensive understanding of historical trends, evolving regulatory frameworks, and the increasingly stringent criteria for environmental approvals. Over recent years, the global mining industry has experienced a paradigm shift characterized by the profound integration of Environmental, Social, and Governance principles, which have fundamentally redefined the parameters of operational viability and corporate responsibility </w:t>
      </w:r>
      <w:r>
        <w:rPr>
          <w:rFonts w:hint="eastAsia" w:ascii="微软雅黑" w:hAnsi="微软雅黑" w:eastAsia="微软雅黑"/>
          <w:noProof/>
          <w:sz w:val="24"/>
          <w:vertAlign w:val="superscript"/>
        </w:rPr>
        <w:t>[47]</w:t>
      </w:r>
      <w:r>
        <w:rPr>
          <w:rFonts w:hint="eastAsia" w:ascii="微软雅黑" w:hAnsi="微软雅黑" w:eastAsia="微软雅黑"/>
          <w:noProof/>
          <w:sz w:val="24"/>
        </w:rPr>
        <w:t xml:space="preserve">. This transformation is further compounded by rapid advancements in mining technologies, automation, and artificial intelligence, all of which are reshaping the operational requirements and economic feasibility of prospective mining assets . Concurrently, the politicization of the mining sector has emerged as a critical variable, influencing the allocation and security of mining rights across various jurisdictions . By examining the trajectory of these market signals, Veralogix Mining can better anticipate future regulatory shifts and strategically position its portfolio to capitalize on emerging opportunities while mitigating compliance risks.</w:t>
      </w:r>
    </w:p>
    <w:p>
      <w:pPr>
        <w:spacing w:line="288" w:lineRule="auto"/>
        <w:ind w:firstLine="480" w:firstLineChars="200"/>
        <w:jc w:val="both"/>
      </w:pPr>
      <w:r>
        <w:rPr>
          <w:rFonts w:hint="eastAsia" w:ascii="微软雅黑" w:hAnsi="微软雅黑" w:eastAsia="微软雅黑"/>
          <w:noProof/>
          <w:sz w:val="24"/>
        </w:rPr>
        <w:t xml:space="preserve">An analysis of quantitative trends between 2020 and 2023 provides critical insights into the expansion of the sector and the corresponding regulatory responses. During this period, the volume of new mining rights granted exhibited a consistent upward trajectory, expanding from a minimum of 342.0 projects in 2020 to a peak of 435.0 projects in 2023. This growth was intrinsically linked to the intensifying global demand for critical minerals, which was primarily driven by geopolitical realignments and the accelerating transition toward renewable energy systems </w:t>
      </w:r>
      <w:r>
        <w:rPr>
          <w:rFonts w:hint="eastAsia" w:ascii="微软雅黑" w:hAnsi="微软雅黑" w:eastAsia="微软雅黑"/>
          <w:noProof/>
          <w:sz w:val="24"/>
          <w:vertAlign w:val="superscript"/>
        </w:rPr>
        <w:t>[47]</w:t>
      </w:r>
      <w:r>
        <w:rPr>
          <w:rFonts w:hint="eastAsia" w:ascii="微软雅黑" w:hAnsi="微软雅黑" w:eastAsia="微软雅黑"/>
          <w:noProof/>
          <w:sz w:val="24"/>
        </w:rPr>
        <w:t xml:space="preserve">. As nations recognized the strategic imperative of securing domestic and allied supply chains for transition metals, governmental interest in the rigorous regulation and strategic allocation of these resources heightened considerably . Parallel to the increase in mining rights, the number of environmental approvals granted also demonstrated an overall increasing trend, rising from 215.0 projects in 2020 to a maximum of 310.0 projects in 2023. This simultaneous rise indicates that while administrative bodies were processing a greater volume of extraction permits to meet global resource demands, the mechanisms for environmental oversight were concurrently being exercised at an unprecedented scale.</w:t>
      </w:r>
    </w:p>
    <w:p>
      <w:pPr>
        <w:spacing w:line="288" w:lineRule="auto"/>
        <w:ind w:firstLine="480" w:firstLineChars="200"/>
        <w:jc w:val="both"/>
      </w:pPr>
      <w:r>
        <w:rPr>
          <w:rFonts w:hint="eastAsia" w:ascii="微软雅黑" w:hAnsi="微软雅黑" w:eastAsia="微软雅黑"/>
          <w:noProof/>
          <w:sz w:val="24"/>
        </w:rPr>
        <w:t xml:space="preserve">Despite the quantitative growth in approved projects, the qualitative nature of acquiring these rights underwent significant regulatory tightening, reflecting a broader global movement toward enhanced sustainability mandates. A prominent historical indicator of this shift was the major 2023 reform to the Mining Law of Mexico, which was enacted alongside critical amendments to the National Water Law and the General Law of Ecological Balance and Environmental Protection . These comprehensive legislative changes directly impacted mining operations and the obligations associated with holding mining rights within the jurisdiction . By introducing stricter environmental and community engagement requirements, these reforms aligned local legal frameworks with the overarching global trends of heightened regulatory scrutiny </w:t>
      </w:r>
      <w:r>
        <w:rPr>
          <w:rFonts w:hint="eastAsia" w:ascii="微软雅黑" w:hAnsi="微软雅黑" w:eastAsia="微软雅黑"/>
          <w:noProof/>
          <w:sz w:val="24"/>
          <w:vertAlign w:val="superscript"/>
        </w:rPr>
        <w:t>[50]</w:t>
      </w:r>
      <w:r>
        <w:rPr>
          <w:rFonts w:hint="eastAsia" w:ascii="微软雅黑" w:hAnsi="微软雅黑" w:eastAsia="微软雅黑"/>
          <w:noProof/>
          <w:sz w:val="24"/>
        </w:rPr>
        <w:t xml:space="preserve">. For mining companies, such measures reshaped the responsibilities associated with securing and maintaining extraction rights, inevitably increasing compliance costs while simultaneously fostering more sustainable and community-aligned development practices </w:t>
      </w:r>
      <w:r>
        <w:rPr>
          <w:rFonts w:hint="eastAsia" w:ascii="微软雅黑" w:hAnsi="微软雅黑" w:eastAsia="微软雅黑"/>
          <w:noProof/>
          <w:sz w:val="24"/>
          <w:vertAlign w:val="superscript"/>
        </w:rPr>
        <w:t>[50]</w:t>
      </w:r>
      <w:r>
        <w:rPr>
          <w:rFonts w:hint="eastAsia" w:ascii="微软雅黑" w:hAnsi="微软雅黑" w:eastAsia="微软雅黑"/>
          <w:noProof/>
          <w:sz w:val="24"/>
        </w:rPr>
        <w:t xml:space="preserve">. These historical developments underscore the necessity for Veralogix Mining to integrate robust legal and environmental foresight into its feasibility studies, as the cost of compliance and community relations now constitutes a major component of project viability.</w:t>
      </w:r>
    </w:p>
    <w:p>
      <w:pPr>
        <w:spacing w:line="288" w:lineRule="auto"/>
        <w:ind w:firstLine="480" w:firstLineChars="200"/>
        <w:jc w:val="both"/>
      </w:pPr>
      <w:r>
        <w:rPr>
          <w:rFonts w:hint="eastAsia" w:ascii="微软雅黑" w:hAnsi="微软雅黑" w:eastAsia="微软雅黑"/>
          <w:noProof/>
          <w:sz w:val="24"/>
        </w:rPr>
        <w:t xml:space="preserve">As of July 2026, the landscape of global environmental approvals has evolved into a highly complex framework shaped by escalating regulatory scrutiny and an uncompromising demand for corporate transparency. The regulatory frameworks governing these approvals are increasingly intricate, reflecting the mounting pressure on both enterprises and governmental bodies to align operational realities with global sustainability aspirations. Current analyses of 2026 sustainability trends emphasize the growing expectations for corporate accountability, demonstrating that environmental approvals are now subjected to enhanced oversight and heightened stakeholder demands for clear, measurable actions rather than mere aspirational targets . This paradigm shift correlates with the broader integration of environmental factors into core business strategies, indicating that companies are now required to embed compliance processes, such as permitting and approvals, deeply into their foundational operational models </w:t>
      </w:r>
      <w:r>
        <w:rPr>
          <w:rFonts w:hint="eastAsia" w:ascii="微软雅黑" w:hAnsi="微软雅黑" w:eastAsia="微软雅黑"/>
          <w:noProof/>
          <w:sz w:val="24"/>
          <w:vertAlign w:val="superscript"/>
        </w:rPr>
        <w:t>[43]</w:t>
      </w:r>
      <w:r>
        <w:rPr>
          <w:rFonts w:hint="eastAsia" w:ascii="微软雅黑" w:hAnsi="微软雅黑" w:eastAsia="微软雅黑"/>
          <w:noProof/>
          <w:sz w:val="24"/>
        </w:rPr>
        <w:t xml:space="preserve">. Consequently, environmental approvals are no longer regarded as isolated bureaucratic hurdles but are recognized as pivotal milestones essential to achieving long-term sustainability goals and securing social licenses to operate </w:t>
      </w:r>
      <w:r>
        <w:rPr>
          <w:rFonts w:hint="eastAsia" w:ascii="微软雅黑" w:hAnsi="微软雅黑" w:eastAsia="微软雅黑"/>
          <w:noProof/>
          <w:sz w:val="24"/>
          <w:vertAlign w:val="superscript"/>
        </w:rPr>
        <w:t>[46][43]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stringency of current environmental approval processes is heavily influenced by macroeconomic and macroscopic climate realities. Recent climate assessments have warned of projected global temperature rises between 2.5 and 2.9 degrees Celsius due to insufficient pledges under the Paris Agreement </w:t>
      </w:r>
      <w:r>
        <w:rPr>
          <w:rFonts w:hint="eastAsia" w:ascii="微软雅黑" w:hAnsi="微软雅黑" w:eastAsia="微软雅黑"/>
          <w:noProof/>
          <w:sz w:val="24"/>
          <w:vertAlign w:val="superscript"/>
        </w:rPr>
        <w:t>[50]</w:t>
      </w:r>
      <w:r>
        <w:rPr>
          <w:rFonts w:hint="eastAsia" w:ascii="微软雅黑" w:hAnsi="微软雅黑" w:eastAsia="微软雅黑"/>
          <w:noProof/>
          <w:sz w:val="24"/>
        </w:rPr>
        <w:t xml:space="preserve">. These alarming projections underline the inadequacy of historical environmental responses and are actively driving the tightening of global approval standards to address regulatory gaps and mitigate systemic climate risks . While these stricter processes are designed to enforce greater environmental accountability, they introduce substantial challenges for mining entities that must navigate increasingly detailed criteria and significant regional variations in approval systems. Furthermore, global environmental challenges, such as those addressed during recent international dialogues concerning sustainable cooling solutions amidst extreme heat, continuously reinforce the urgency for applying environmental policies more effectively across all industrial sectors . </w:t>
      </w:r>
    </w:p>
    <w:p>
      <w:pPr>
        <w:spacing w:line="288" w:lineRule="auto"/>
        <w:ind w:firstLine="480" w:firstLineChars="200"/>
        <w:jc w:val="both"/>
      </w:pPr>
      <w:r>
        <w:rPr>
          <w:rFonts w:hint="eastAsia" w:ascii="微软雅黑" w:hAnsi="微软雅黑" w:eastAsia="微软雅黑"/>
          <w:noProof/>
          <w:sz w:val="24"/>
        </w:rPr>
        <w:t xml:space="preserve">To maintain a competitive edge, Veralogix Mining must leverage advanced feasibility studies that incorporate these complex regulatory and environmental variables. The expanding regulatory landscape requires more sophisticated permitting processes, which are increasingly fueled by innovative technologies and sustainability-linked corporate strategies </w:t>
      </w:r>
      <w:r>
        <w:rPr>
          <w:rFonts w:hint="eastAsia" w:ascii="微软雅黑" w:hAnsi="微软雅黑" w:eastAsia="微软雅黑"/>
          <w:noProof/>
          <w:sz w:val="24"/>
          <w:vertAlign w:val="superscript"/>
        </w:rPr>
        <w:t>[46]</w:t>
      </w:r>
      <w:r>
        <w:rPr>
          <w:rFonts w:hint="eastAsia" w:ascii="微软雅黑" w:hAnsi="微软雅黑" w:eastAsia="微软雅黑"/>
          <w:noProof/>
          <w:sz w:val="24"/>
        </w:rPr>
        <w:t xml:space="preserve">. The integration of automation and artificial intelligence is not only optimizing extraction efficiencies but also reshaping operational requirements in ways that directly affect the intrinsic value and accessibility of mining rights for specific deposits </w:t>
      </w:r>
      <w:r>
        <w:rPr>
          <w:rFonts w:hint="eastAsia" w:ascii="微软雅黑" w:hAnsi="微软雅黑" w:eastAsia="微软雅黑"/>
          <w:noProof/>
          <w:sz w:val="24"/>
          <w:vertAlign w:val="superscript"/>
        </w:rPr>
        <w:t>[46][47]</w:t>
      </w:r>
      <w:r>
        <w:rPr>
          <w:rFonts w:hint="eastAsia" w:ascii="微软雅黑" w:hAnsi="微软雅黑" w:eastAsia="微软雅黑"/>
          <w:noProof/>
          <w:sz w:val="24"/>
        </w:rPr>
        <w:t xml:space="preserve">. The modern emphasis on measurable sustainability outcomes reflects a fundamental reformulation of global regulatory approaches, prioritizing tangible environmental impacts and data-driven compliance over traditional rhetoric </w:t>
      </w:r>
      <w:r>
        <w:rPr>
          <w:rFonts w:hint="eastAsia" w:ascii="微软雅黑" w:hAnsi="微软雅黑" w:eastAsia="微软雅黑"/>
          <w:noProof/>
          <w:sz w:val="24"/>
          <w:vertAlign w:val="superscript"/>
        </w:rPr>
        <w:t>[43]</w:t>
      </w:r>
      <w:r>
        <w:rPr>
          <w:rFonts w:hint="eastAsia" w:ascii="微软雅黑" w:hAnsi="微软雅黑" w:eastAsia="微软雅黑"/>
          <w:noProof/>
          <w:sz w:val="24"/>
        </w:rPr>
        <w:t xml:space="preserve">. Therefore, Veralogix Mining's strategic approach to acquiring new mining rights must be underpinned by feasibility studies that rigorously quantify environmental impacts, project compliance costs, and demonstrate an unwavering commitment to the evolving standards of global resource governance. By proactively interpreting these development signals and integrating them into its strategic planning, Veralogix Mining can successfully navigate the intricacies of the modern regulatory environment, ensuring sustainable growth and long-term operational resilience.</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6"/>
              </a:graphicData>
            </a:graphic>
          </wp:inline>
        </w:drawing>
      </w:r>
    </w:p>
    <w:p>
      <w:pPr>
        <w:pStyle w:val="Heading1"/>
        <w:spacing w:line="288" w:lineRule="auto"/>
        <w:ind/>
      </w:pPr>
      <w:r>
        <w:rPr>
          <w:rFonts w:hint="eastAsia" w:ascii="微软雅黑" w:hAnsi="微软雅黑" w:eastAsia="微软雅黑"/>
          <w:b/>
          <w:noProof/>
          <w:sz w:val="40"/>
        </w:rPr>
        <w:t>References</w:t>
      </w:r>
    </w:p>
    <w:p>
      <w:pPr>
        <w:spacing w:line="288" w:lineRule="auto"/>
        <w:ind w:firstLine="480" w:firstLineChars="200"/>
        <w:jc w:val="both"/>
      </w:pPr>
      <w:r>
        <w:rPr>
          <w:rFonts w:hint="eastAsia" w:ascii="微软雅黑" w:hAnsi="微软雅黑" w:eastAsia="微软雅黑"/>
          <w:noProof/>
          <w:sz w:val="24"/>
        </w:rPr>
        <w:t xml:space="preserve">[1] South Africa: coal to continue play important role but investment ... https://thecoalhub.com/report-presentation/south-africa-coal-to-continue-play-important-role-but-investment-needed</w:t>
      </w:r>
    </w:p>
    <w:p>
      <w:pPr>
        <w:spacing w:line="288" w:lineRule="auto"/>
        <w:ind w:firstLine="480" w:firstLineChars="200"/>
        <w:jc w:val="both"/>
      </w:pPr>
      <w:r>
        <w:rPr>
          <w:rFonts w:hint="eastAsia" w:ascii="微软雅黑" w:hAnsi="微软雅黑" w:eastAsia="微软雅黑"/>
          <w:noProof/>
          <w:sz w:val="24"/>
        </w:rPr>
        <w:t xml:space="preserve">[2] Global coal demand to remain on a plateau in 2025 and 2026 - IEA https://www.iea.org/news/global-coal-demand-to-remain-on-a-plateau-in-2025-and-2026</w:t>
      </w:r>
    </w:p>
    <w:p>
      <w:pPr>
        <w:spacing w:line="288" w:lineRule="auto"/>
        <w:ind w:firstLine="480" w:firstLineChars="200"/>
        <w:jc w:val="both"/>
      </w:pPr>
      <w:r>
        <w:rPr>
          <w:rFonts w:hint="eastAsia" w:ascii="微软雅黑" w:hAnsi="微软雅黑" w:eastAsia="微软雅黑"/>
          <w:noProof/>
          <w:sz w:val="24"/>
        </w:rPr>
        <w:t xml:space="preserve">[3] In this Mining Indaba TV interview, Moses Madondo, CEO of ... https://www.instagram.com/reel/DVGWjpdAvRb/</w:t>
      </w:r>
    </w:p>
    <w:p>
      <w:pPr>
        <w:spacing w:line="288" w:lineRule="auto"/>
        <w:ind w:firstLine="480" w:firstLineChars="200"/>
        <w:jc w:val="both"/>
      </w:pPr>
      <w:r>
        <w:rPr>
          <w:rFonts w:hint="eastAsia" w:ascii="微软雅黑" w:hAnsi="微软雅黑" w:eastAsia="微软雅黑"/>
          <w:noProof/>
          <w:sz w:val="24"/>
        </w:rPr>
        <w:t xml:space="preserve">[4] Homepage - Mining on Top Africa - MOTA 2026 https://miningontop-africa.com/</w:t>
      </w:r>
    </w:p>
    <w:p>
      <w:pPr>
        <w:spacing w:line="288" w:lineRule="auto"/>
        <w:ind w:firstLine="480" w:firstLineChars="200"/>
        <w:jc w:val="both"/>
      </w:pPr>
      <w:r>
        <w:rPr>
          <w:rFonts w:hint="eastAsia" w:ascii="微软雅黑" w:hAnsi="微软雅黑" w:eastAsia="微软雅黑"/>
          <w:noProof/>
          <w:sz w:val="24"/>
        </w:rPr>
        <w:t xml:space="preserve">[5] Mining Indaba | African Mining Conference | 8-11 Feb 2027 | Cape ... https://miningindaba.com/home</w:t>
      </w:r>
    </w:p>
    <w:p>
      <w:pPr>
        <w:spacing w:line="288" w:lineRule="auto"/>
        <w:ind w:firstLine="480" w:firstLineChars="200"/>
        <w:jc w:val="both"/>
      </w:pPr>
      <w:r>
        <w:rPr>
          <w:rFonts w:hint="eastAsia" w:ascii="微软雅黑" w:hAnsi="微软雅黑" w:eastAsia="微软雅黑"/>
          <w:noProof/>
          <w:sz w:val="24"/>
        </w:rPr>
        <w:t xml:space="preserve">[6] [PDF] Coal 2023 - Analysis and forecast to 2026 https://iea.blob.core.windows.net/assets/a72a7ffa-c5f2-4ed8-a2bf-eb035931d95c/Coal_2023.pdf</w:t>
      </w:r>
    </w:p>
    <w:p>
      <w:pPr>
        <w:spacing w:line="288" w:lineRule="auto"/>
        <w:ind w:firstLine="480" w:firstLineChars="200"/>
        <w:jc w:val="both"/>
      </w:pPr>
      <w:r>
        <w:rPr>
          <w:rFonts w:hint="eastAsia" w:ascii="微软雅黑" w:hAnsi="微软雅黑" w:eastAsia="微软雅黑"/>
          <w:noProof/>
          <w:sz w:val="24"/>
        </w:rPr>
        <w:t xml:space="preserve">[7] Short-Term Energy Outlook Report - EIA https://www.eia.gov/outlooks/steo/report/elec_coal_renew.php</w:t>
      </w:r>
    </w:p>
    <w:p>
      <w:pPr>
        <w:spacing w:line="288" w:lineRule="auto"/>
        <w:ind w:firstLine="480" w:firstLineChars="200"/>
        <w:jc w:val="both"/>
      </w:pPr>
      <w:r>
        <w:rPr>
          <w:rFonts w:hint="eastAsia" w:ascii="微软雅黑" w:hAnsi="微软雅黑" w:eastAsia="微软雅黑"/>
          <w:noProof/>
          <w:sz w:val="24"/>
        </w:rPr>
        <w:t xml:space="preserve">[8] Global Coal Mining Industry Analysis, 2026 - IBISWorld https://www.ibisworld.com/global/industry/global-coal-mining/170/</w:t>
      </w:r>
    </w:p>
    <w:p>
      <w:pPr>
        <w:spacing w:line="288" w:lineRule="auto"/>
        <w:ind w:firstLine="480" w:firstLineChars="200"/>
        <w:jc w:val="both"/>
      </w:pPr>
      <w:r>
        <w:rPr>
          <w:rFonts w:hint="eastAsia" w:ascii="微软雅黑" w:hAnsi="微软雅黑" w:eastAsia="微软雅黑"/>
          <w:noProof/>
          <w:sz w:val="24"/>
        </w:rPr>
        <w:t xml:space="preserve">[9] World coal market: brief overview https://thecoalhub.com/world-coal-market-brief-overview-175.html</w:t>
      </w:r>
    </w:p>
    <w:p>
      <w:pPr>
        <w:spacing w:line="288" w:lineRule="auto"/>
        <w:ind w:firstLine="480" w:firstLineChars="200"/>
        <w:jc w:val="both"/>
      </w:pPr>
      <w:r>
        <w:rPr>
          <w:rFonts w:hint="eastAsia" w:ascii="微软雅黑" w:hAnsi="微软雅黑" w:eastAsia="微软雅黑"/>
          <w:noProof/>
          <w:sz w:val="24"/>
        </w:rPr>
        <w:t xml:space="preserve">[10] Coal Mid-Year Update 2025 – Analysis - IEA https://www.iea.org/reports/coal-mid-year-update-2025</w:t>
      </w:r>
    </w:p>
    <w:p>
      <w:pPr>
        <w:spacing w:line="288" w:lineRule="auto"/>
        <w:ind w:firstLine="480" w:firstLineChars="200"/>
        <w:jc w:val="both"/>
      </w:pPr>
      <w:r>
        <w:rPr>
          <w:rFonts w:hint="eastAsia" w:ascii="微软雅黑" w:hAnsi="微软雅黑" w:eastAsia="微软雅黑"/>
          <w:noProof/>
          <w:sz w:val="24"/>
        </w:rPr>
        <w:t xml:space="preserve">[11] #OMC delivered 0.15 Million Tonnes of Chrome in January 2026 ... https://www.facebook.com/OmcOdisha/posts/omc-delivered-015-million-tonnes-of-chrome-in-january-2026-supported-by-stable-o/1213331150974358/</w:t>
      </w:r>
    </w:p>
    <w:p>
      <w:pPr>
        <w:spacing w:line="288" w:lineRule="auto"/>
        <w:ind w:firstLine="480" w:firstLineChars="200"/>
        <w:jc w:val="both"/>
      </w:pPr>
      <w:r>
        <w:rPr>
          <w:rFonts w:hint="eastAsia" w:ascii="微软雅黑" w:hAnsi="微软雅黑" w:eastAsia="微软雅黑"/>
          <w:noProof/>
          <w:sz w:val="24"/>
        </w:rPr>
        <w:t xml:space="preserve">[12] Chrome Ore Market Size, Share &amp; Global Industry Forecast Report ... https://www.researchnester.com/reports/chrome-ore-market/1403</w:t>
      </w:r>
    </w:p>
    <w:p>
      <w:pPr>
        <w:spacing w:line="288" w:lineRule="auto"/>
        <w:ind w:firstLine="480" w:firstLineChars="200"/>
        <w:jc w:val="both"/>
      </w:pPr>
      <w:r>
        <w:rPr>
          <w:rFonts w:hint="eastAsia" w:ascii="微软雅黑" w:hAnsi="微软雅黑" w:eastAsia="微软雅黑"/>
          <w:noProof/>
          <w:sz w:val="24"/>
        </w:rPr>
        <w:t xml:space="preserve">[13] South Africa's new critical minerals policy draws criticism - Fastmarkets https://www.fastmarkets.com/insights/south-africas-new-critical-minerals-policy-draw-critical-eye-of-buyers-miners/</w:t>
      </w:r>
    </w:p>
    <w:p>
      <w:pPr>
        <w:spacing w:line="288" w:lineRule="auto"/>
        <w:ind w:firstLine="480" w:firstLineChars="200"/>
        <w:jc w:val="both"/>
      </w:pPr>
      <w:r>
        <w:rPr>
          <w:rFonts w:hint="eastAsia" w:ascii="微软雅黑" w:hAnsi="微软雅黑" w:eastAsia="微软雅黑"/>
          <w:noProof/>
          <w:sz w:val="24"/>
        </w:rPr>
        <w:t xml:space="preserve">[14] South Africa's chrome paradox: Rich in the ground, losing the profit ... https://africanminingmarket.com/south-africa-chrome-paradox-rich-in-the-ground-losing-the-profit-at-the-factory/25964/</w:t>
      </w:r>
    </w:p>
    <w:p>
      <w:pPr>
        <w:spacing w:line="288" w:lineRule="auto"/>
        <w:ind w:firstLine="480" w:firstLineChars="200"/>
        <w:jc w:val="both"/>
      </w:pPr>
      <w:r>
        <w:rPr>
          <w:rFonts w:hint="eastAsia" w:ascii="微软雅黑" w:hAnsi="微软雅黑" w:eastAsia="微软雅黑"/>
          <w:noProof/>
          <w:sz w:val="24"/>
        </w:rPr>
        <w:t xml:space="preserve">[15] It's almost time Less than 48 hours to go until Mining Indaba 2026 ... https://www.instagram.com/reel/DUdv8x_jA5L/</w:t>
      </w:r>
    </w:p>
    <w:p>
      <w:pPr>
        <w:spacing w:line="288" w:lineRule="auto"/>
        <w:ind w:firstLine="480" w:firstLineChars="200"/>
        <w:jc w:val="both"/>
      </w:pPr>
      <w:r>
        <w:rPr>
          <w:rFonts w:hint="eastAsia" w:ascii="微软雅黑" w:hAnsi="微软雅黑" w:eastAsia="微软雅黑"/>
          <w:noProof/>
          <w:sz w:val="24"/>
        </w:rPr>
        <w:t xml:space="preserve">[16] Chrome Plating Market Size and YoY Growth Rate, 2026-2033 https://www.coherentmarketinsights.com/industry-reports/chrome-plating-market</w:t>
      </w:r>
    </w:p>
    <w:p>
      <w:pPr>
        <w:spacing w:line="288" w:lineRule="auto"/>
        <w:ind w:firstLine="480" w:firstLineChars="200"/>
        <w:jc w:val="both"/>
      </w:pPr>
      <w:r>
        <w:rPr>
          <w:rFonts w:hint="eastAsia" w:ascii="微软雅黑" w:hAnsi="微软雅黑" w:eastAsia="微软雅黑"/>
          <w:noProof/>
          <w:sz w:val="24"/>
        </w:rPr>
        <w:t xml:space="preserve">[17] Metal Chrome Market Size, Share &amp; Growth [2026 To 2035 https://www.businessresearchinsights.com/market-reports/metal-chrome-market-105909</w:t>
      </w:r>
    </w:p>
    <w:p>
      <w:pPr>
        <w:spacing w:line="288" w:lineRule="auto"/>
        <w:ind w:firstLine="480" w:firstLineChars="200"/>
        <w:jc w:val="both"/>
      </w:pPr>
      <w:r>
        <w:rPr>
          <w:rFonts w:hint="eastAsia" w:ascii="微软雅黑" w:hAnsi="微软雅黑" w:eastAsia="微软雅黑"/>
          <w:noProof/>
          <w:sz w:val="24"/>
        </w:rPr>
        <w:t xml:space="preserve">[18] Which browser rules the internet in 2026? The latest global browser ... https://www.instagram.com/reel/DZE96T7z09N/?hl=en</w:t>
      </w:r>
    </w:p>
    <w:p>
      <w:pPr>
        <w:spacing w:line="288" w:lineRule="auto"/>
        <w:ind w:firstLine="480" w:firstLineChars="200"/>
        <w:jc w:val="both"/>
      </w:pPr>
      <w:r>
        <w:rPr>
          <w:rFonts w:hint="eastAsia" w:ascii="微软雅黑" w:hAnsi="微软雅黑" w:eastAsia="微软雅黑"/>
          <w:noProof/>
          <w:sz w:val="24"/>
        </w:rPr>
        <w:t xml:space="preserve">[19] Browser Market Share 2026: Complete Statistics Report https://www.digitalapplied.com/blog/browser-market-share-2026-complete-statistics</w:t>
      </w:r>
    </w:p>
    <w:p>
      <w:pPr>
        <w:spacing w:line="288" w:lineRule="auto"/>
        <w:ind w:firstLine="480" w:firstLineChars="200"/>
        <w:jc w:val="both"/>
      </w:pPr>
      <w:r>
        <w:rPr>
          <w:rFonts w:hint="eastAsia" w:ascii="微软雅黑" w:hAnsi="微软雅黑" w:eastAsia="微软雅黑"/>
          <w:noProof/>
          <w:sz w:val="24"/>
        </w:rPr>
        <w:t xml:space="preserve">[21] How to Get a DMRE Mining Permit: Complete Guide 2026 https://www.tenders-sa.org/blog/how-to-get-dmre-mining-permit</w:t>
      </w:r>
    </w:p>
    <w:p>
      <w:pPr>
        <w:spacing w:line="288" w:lineRule="auto"/>
        <w:ind w:firstLine="480" w:firstLineChars="200"/>
        <w:jc w:val="both"/>
      </w:pPr>
      <w:r>
        <w:rPr>
          <w:rFonts w:hint="eastAsia" w:ascii="微软雅黑" w:hAnsi="微软雅黑" w:eastAsia="微软雅黑"/>
          <w:noProof/>
          <w:sz w:val="24"/>
        </w:rPr>
        <w:t xml:space="preserve">[22] Apply for a mining permit | South African Government https://www.gov.za/services/mining-and-water/apply-mining-permit</w:t>
      </w:r>
    </w:p>
    <w:p>
      <w:pPr>
        <w:spacing w:line="288" w:lineRule="auto"/>
        <w:ind w:firstLine="480" w:firstLineChars="200"/>
        <w:jc w:val="both"/>
      </w:pPr>
      <w:r>
        <w:rPr>
          <w:rFonts w:hint="eastAsia" w:ascii="微软雅黑" w:hAnsi="微软雅黑" w:eastAsia="微软雅黑"/>
          <w:noProof/>
          <w:sz w:val="24"/>
        </w:rPr>
        <w:t xml:space="preserve">[23] DMPR https://www.dmpr.gov.za/</w:t>
      </w:r>
    </w:p>
    <w:p>
      <w:pPr>
        <w:spacing w:line="288" w:lineRule="auto"/>
        <w:ind w:firstLine="480" w:firstLineChars="200"/>
        <w:jc w:val="both"/>
      </w:pPr>
      <w:r>
        <w:rPr>
          <w:rFonts w:hint="eastAsia" w:ascii="微软雅黑" w:hAnsi="微软雅黑" w:eastAsia="微软雅黑"/>
          <w:noProof/>
          <w:sz w:val="24"/>
        </w:rPr>
        <w:t xml:space="preserve">[24] Mineral resources and energy - Free State Government Online https://fsgov.com/mineral-resources-and-energy</w:t>
      </w:r>
    </w:p>
    <w:p>
      <w:pPr>
        <w:spacing w:line="288" w:lineRule="auto"/>
        <w:ind w:firstLine="480" w:firstLineChars="200"/>
        <w:jc w:val="both"/>
      </w:pPr>
      <w:r>
        <w:rPr>
          <w:rFonts w:hint="eastAsia" w:ascii="微软雅黑" w:hAnsi="微软雅黑" w:eastAsia="微软雅黑"/>
          <w:noProof/>
          <w:sz w:val="24"/>
        </w:rPr>
        <w:t xml:space="preserve">[25] Avoid These Common Pitfalls When Applying for Mining Rights https://engelsman.co.za/avoid-these-common-pitfalls-when-applying-for-mining-rights/</w:t>
      </w:r>
    </w:p>
    <w:p>
      <w:pPr>
        <w:spacing w:line="288" w:lineRule="auto"/>
        <w:ind w:firstLine="480" w:firstLineChars="200"/>
        <w:jc w:val="both"/>
      </w:pPr>
      <w:r>
        <w:rPr>
          <w:rFonts w:hint="eastAsia" w:ascii="微软雅黑" w:hAnsi="微软雅黑" w:eastAsia="微软雅黑"/>
          <w:noProof/>
          <w:sz w:val="24"/>
        </w:rPr>
        <w:t xml:space="preserve">[26] 5 Metrics Every Manufacturer Should Analyze Before 2026 - Epoptia https://epoptia.com/5-metrics-every-manufacturer-should-analyze-before-2026/</w:t>
      </w:r>
    </w:p>
    <w:p>
      <w:pPr>
        <w:spacing w:line="288" w:lineRule="auto"/>
        <w:ind w:firstLine="480" w:firstLineChars="200"/>
        <w:jc w:val="both"/>
      </w:pPr>
      <w:r>
        <w:rPr>
          <w:rFonts w:hint="eastAsia" w:ascii="微软雅黑" w:hAnsi="微软雅黑" w:eastAsia="微软雅黑"/>
          <w:noProof/>
          <w:sz w:val="24"/>
        </w:rPr>
        <w:t xml:space="preserve">[27] 78 Essential Manufacturing Metrics and KPIs to Guide Your ... https://www.netsuite.com/portal/resource/articles/erp/manufacturing-kpis-metrics.shtml</w:t>
      </w:r>
    </w:p>
    <w:p>
      <w:pPr>
        <w:spacing w:line="288" w:lineRule="auto"/>
        <w:ind w:firstLine="480" w:firstLineChars="200"/>
        <w:jc w:val="both"/>
      </w:pPr>
      <w:r>
        <w:rPr>
          <w:rFonts w:hint="eastAsia" w:ascii="微软雅黑" w:hAnsi="微软雅黑" w:eastAsia="微软雅黑"/>
          <w:noProof/>
          <w:sz w:val="24"/>
        </w:rPr>
        <w:t xml:space="preserve">[28] Master types of manufacturing metrics for 2026 success - Mestric https://mestric.com/de/master-types-manufacturing-metrics-2026-success/</w:t>
      </w:r>
    </w:p>
    <w:p>
      <w:pPr>
        <w:spacing w:line="288" w:lineRule="auto"/>
        <w:ind w:firstLine="480" w:firstLineChars="200"/>
        <w:jc w:val="both"/>
      </w:pPr>
      <w:r>
        <w:rPr>
          <w:rFonts w:hint="eastAsia" w:ascii="微软雅黑" w:hAnsi="微软雅黑" w:eastAsia="微软雅黑"/>
          <w:noProof/>
          <w:sz w:val="24"/>
        </w:rPr>
        <w:t xml:space="preserve">[29] U.S. Bureau of Economic Analysis (BEA) https://www.bea.gov/</w:t>
      </w:r>
    </w:p>
    <w:p>
      <w:pPr>
        <w:spacing w:line="288" w:lineRule="auto"/>
        <w:ind w:firstLine="480" w:firstLineChars="200"/>
        <w:jc w:val="both"/>
      </w:pPr>
      <w:r>
        <w:rPr>
          <w:rFonts w:hint="eastAsia" w:ascii="微软雅黑" w:hAnsi="微软雅黑" w:eastAsia="微软雅黑"/>
          <w:noProof/>
          <w:sz w:val="24"/>
        </w:rPr>
        <w:t xml:space="preserve">[30] US Leading Indicators - The Conference Board https://www.conference-board.org/topics/us-leading-indicators/</w:t>
      </w:r>
    </w:p>
    <w:p>
      <w:pPr>
        <w:spacing w:line="288" w:lineRule="auto"/>
        <w:ind w:firstLine="480" w:firstLineChars="200"/>
        <w:jc w:val="both"/>
      </w:pPr>
      <w:r>
        <w:rPr>
          <w:rFonts w:hint="eastAsia" w:ascii="微软雅黑" w:hAnsi="微软雅黑" w:eastAsia="微软雅黑"/>
          <w:noProof/>
          <w:sz w:val="24"/>
        </w:rPr>
        <w:t xml:space="preserve">[31] South Africa Targets Key Mining Registry by End of March - Bloomberg https://www.bloomberg.com/news/articles/2026-06-09/south-africa-targets-key-mining-registry-by-end-of-march</w:t>
      </w:r>
    </w:p>
    <w:p>
      <w:pPr>
        <w:spacing w:line="288" w:lineRule="auto"/>
        <w:ind w:firstLine="480" w:firstLineChars="200"/>
        <w:jc w:val="both"/>
      </w:pPr>
      <w:r>
        <w:rPr>
          <w:rFonts w:hint="eastAsia" w:ascii="微软雅黑" w:hAnsi="微软雅黑" w:eastAsia="微软雅黑"/>
          <w:noProof/>
          <w:sz w:val="24"/>
        </w:rPr>
        <w:t xml:space="preserve">[32] Portfolio Committee on Mineral and Petroleum Resources, 24 ... https://www.youtube.com/watch?v=KvQcDkoAi4o</w:t>
      </w:r>
    </w:p>
    <w:p>
      <w:pPr>
        <w:spacing w:line="288" w:lineRule="auto"/>
        <w:ind w:firstLine="480" w:firstLineChars="200"/>
        <w:jc w:val="both"/>
      </w:pPr>
      <w:r>
        <w:rPr>
          <w:rFonts w:hint="eastAsia" w:ascii="微软雅黑" w:hAnsi="微软雅黑" w:eastAsia="微软雅黑"/>
          <w:noProof/>
          <w:sz w:val="24"/>
        </w:rPr>
        <w:t xml:space="preserve">[33] South Africa targets key mining registry by end of March - Moneyweb https://www.moneyweb.co.za/mineweb/south-africa-targets-key-mining-registry-by-end-of-march/</w:t>
      </w:r>
    </w:p>
    <w:p>
      <w:pPr>
        <w:spacing w:line="288" w:lineRule="auto"/>
        <w:ind w:firstLine="480" w:firstLineChars="200"/>
        <w:jc w:val="both"/>
      </w:pPr>
      <w:r>
        <w:rPr>
          <w:rFonts w:hint="eastAsia" w:ascii="微软雅黑" w:hAnsi="微软雅黑" w:eastAsia="微软雅黑"/>
          <w:noProof/>
          <w:sz w:val="24"/>
        </w:rPr>
        <w:t xml:space="preserve">[34] South Africa to put in place online mining rights portal in July https://www.miningweekly.com/article/south-africa-to-put-in-place-online-mining-rights-portal-in-july-2025-06-26</w:t>
      </w:r>
    </w:p>
    <w:p>
      <w:pPr>
        <w:spacing w:line="288" w:lineRule="auto"/>
        <w:ind w:firstLine="480" w:firstLineChars="200"/>
        <w:jc w:val="both"/>
      </w:pPr>
      <w:r>
        <w:rPr>
          <w:rFonts w:hint="eastAsia" w:ascii="微软雅黑" w:hAnsi="微软雅黑" w:eastAsia="微软雅黑"/>
          <w:noProof/>
          <w:sz w:val="24"/>
        </w:rPr>
        <w:t xml:space="preserve">[35] South Africa risks investment delays over its mining rights system https://africa.businessinsider.com/local/markets/south-africa-risks-investment-delays-over-its-mining-rights-system/t2l354p</w:t>
      </w:r>
    </w:p>
    <w:p>
      <w:pPr>
        <w:spacing w:line="288" w:lineRule="auto"/>
        <w:ind w:firstLine="480" w:firstLineChars="200"/>
        <w:jc w:val="both"/>
      </w:pPr>
      <w:r>
        <w:rPr>
          <w:rFonts w:hint="eastAsia" w:ascii="微软雅黑" w:hAnsi="微软雅黑" w:eastAsia="微软雅黑"/>
          <w:noProof/>
          <w:sz w:val="24"/>
        </w:rPr>
        <w:t xml:space="preserve">[36] The room has spoken. A few weeks back, South African investors ... https://www.instagram.com/reel/DXY3odGjTgW/</w:t>
      </w:r>
    </w:p>
    <w:p>
      <w:pPr>
        <w:spacing w:line="288" w:lineRule="auto"/>
        <w:ind w:firstLine="480" w:firstLineChars="200"/>
        <w:jc w:val="both"/>
      </w:pPr>
      <w:r>
        <w:rPr>
          <w:rFonts w:hint="eastAsia" w:ascii="微软雅黑" w:hAnsi="微软雅黑" w:eastAsia="微软雅黑"/>
          <w:noProof/>
          <w:sz w:val="24"/>
        </w:rPr>
        <w:t xml:space="preserve">[37] How Do I Build a 2026 SA Competitor Report? | YOUKNOW https://www.youknow.co.za/blog/how-do-i-build-a-2026-sa-competitor-report-the-mastermind-heist-map</w:t>
      </w:r>
    </w:p>
    <w:p>
      <w:pPr>
        <w:spacing w:line="288" w:lineRule="auto"/>
        <w:ind w:firstLine="480" w:firstLineChars="200"/>
        <w:jc w:val="both"/>
      </w:pPr>
      <w:r>
        <w:rPr>
          <w:rFonts w:hint="eastAsia" w:ascii="微软雅黑" w:hAnsi="微软雅黑" w:eastAsia="微软雅黑"/>
          <w:noProof/>
          <w:sz w:val="24"/>
        </w:rPr>
        <w:t xml:space="preserve">[38] South Africa Fleet Management Market Report 2022-2026 - Nasdaq https://www.nasdaq.com/press-release/south-africa-fleet-management-market-report-2022-2026:-in-depth-analysis-of-market</w:t>
      </w:r>
    </w:p>
    <w:p>
      <w:pPr>
        <w:spacing w:line="288" w:lineRule="auto"/>
        <w:ind w:firstLine="480" w:firstLineChars="200"/>
        <w:jc w:val="both"/>
      </w:pPr>
      <w:r>
        <w:rPr>
          <w:rFonts w:hint="eastAsia" w:ascii="微软雅黑" w:hAnsi="微软雅黑" w:eastAsia="微软雅黑"/>
          <w:noProof/>
          <w:sz w:val="24"/>
        </w:rPr>
        <w:t xml:space="preserve">[39] South Africa: Ground-breaking Economy Concentration Tracker to ... https://bowmanslaw.com/insights/south-africa-ground-breaking-economy-concentration-tracker-to-guide-enforcement-by-the-competition-authorities-government-and-regulatory-reforms-and-more-private-sector-regulation/</w:t>
      </w:r>
    </w:p>
    <w:p>
      <w:pPr>
        <w:spacing w:line="288" w:lineRule="auto"/>
        <w:ind w:firstLine="480" w:firstLineChars="200"/>
        <w:jc w:val="both"/>
      </w:pPr>
      <w:r>
        <w:rPr>
          <w:rFonts w:hint="eastAsia" w:ascii="微软雅黑" w:hAnsi="微软雅黑" w:eastAsia="微软雅黑"/>
          <w:noProof/>
          <w:sz w:val="24"/>
        </w:rPr>
        <w:t xml:space="preserve">[40] Competitor Monitoring and Benchmarking - In On Africa (IOA) https://www.inonafrica.com/monitoring-and-intelligence/competitor-monitoring-and-benchmarking/</w:t>
      </w:r>
    </w:p>
    <w:p>
      <w:pPr>
        <w:spacing w:line="288" w:lineRule="auto"/>
        <w:ind w:firstLine="480" w:firstLineChars="200"/>
        <w:jc w:val="both"/>
      </w:pPr>
      <w:r>
        <w:rPr>
          <w:rFonts w:hint="eastAsia" w:ascii="微软雅黑" w:hAnsi="微软雅黑" w:eastAsia="微软雅黑"/>
          <w:noProof/>
          <w:sz w:val="24"/>
        </w:rPr>
        <w:t xml:space="preserve">[41] Upcoming mining expos &amp; conferences | Global Mining Review https://www.globalminingreview.com/events/</w:t>
      </w:r>
    </w:p>
    <w:p>
      <w:pPr>
        <w:spacing w:line="288" w:lineRule="auto"/>
        <w:ind w:firstLine="480" w:firstLineChars="200"/>
        <w:jc w:val="both"/>
      </w:pPr>
      <w:r>
        <w:rPr>
          <w:rFonts w:hint="eastAsia" w:ascii="微软雅黑" w:hAnsi="微软雅黑" w:eastAsia="微软雅黑"/>
          <w:noProof/>
          <w:sz w:val="24"/>
        </w:rPr>
        <w:t xml:space="preserve">[42] 2026 Critical Minerals Ministerial - United States Department of State https://www.state.gov/releases/office-of-the-spokesperson/2026/02/2026-critical-minerals-ministerial</w:t>
      </w:r>
    </w:p>
    <w:p>
      <w:pPr>
        <w:spacing w:line="288" w:lineRule="auto"/>
        <w:ind w:firstLine="480" w:firstLineChars="200"/>
        <w:jc w:val="both"/>
      </w:pPr>
      <w:r>
        <w:rPr>
          <w:rFonts w:hint="eastAsia" w:ascii="微软雅黑" w:hAnsi="微软雅黑" w:eastAsia="微软雅黑"/>
          <w:noProof/>
          <w:sz w:val="24"/>
        </w:rPr>
        <w:t xml:space="preserve">[43] Mining &amp; metals 2026: Adapting to a policy-driven business cycle https://www.whitecase.com/insight-our-thinking/mining-metals-2026-adapting-policy-driven-business-cycle</w:t>
      </w:r>
    </w:p>
    <w:p>
      <w:pPr>
        <w:spacing w:line="288" w:lineRule="auto"/>
        <w:ind w:firstLine="480" w:firstLineChars="200"/>
        <w:jc w:val="both"/>
      </w:pPr>
      <w:r>
        <w:rPr>
          <w:rFonts w:hint="eastAsia" w:ascii="微软雅黑" w:hAnsi="微软雅黑" w:eastAsia="微软雅黑"/>
          <w:noProof/>
          <w:sz w:val="24"/>
        </w:rPr>
        <w:t xml:space="preserve">[44] Mining Strategies to Stay Competitive in 2026 - LinkedIn https://www.linkedin.com/top-content/business-strategy/competitive-positioning-strategies/mining-strategies-to-stay-competitive-in-2026/</w:t>
      </w:r>
    </w:p>
    <w:p>
      <w:pPr>
        <w:spacing w:line="288" w:lineRule="auto"/>
        <w:ind w:firstLine="480" w:firstLineChars="200"/>
        <w:jc w:val="both"/>
      </w:pPr>
      <w:r>
        <w:rPr>
          <w:rFonts w:hint="eastAsia" w:ascii="微软雅黑" w:hAnsi="微软雅黑" w:eastAsia="微软雅黑"/>
          <w:noProof/>
          <w:sz w:val="24"/>
        </w:rPr>
        <w:t xml:space="preserve">[45] Risks and opportunities for mining and metals in 2026 | EY - Global https://www.ey.com/en_gl/insights/mining-metals/risks-opportunities</w:t>
      </w:r>
    </w:p>
    <w:p>
      <w:pPr>
        <w:spacing w:line="288" w:lineRule="auto"/>
        <w:ind w:firstLine="480" w:firstLineChars="200"/>
        <w:jc w:val="both"/>
      </w:pPr>
      <w:r>
        <w:rPr>
          <w:rFonts w:hint="eastAsia" w:ascii="微软雅黑" w:hAnsi="微软雅黑" w:eastAsia="微软雅黑"/>
          <w:noProof/>
          <w:sz w:val="24"/>
        </w:rPr>
        <w:t xml:space="preserve">[46] Three mining industry trends to watch for in 2026 - Seequent https://www.seequent.com/three-mining-industry-trends-to-watch-for-in-2026/</w:t>
      </w:r>
    </w:p>
    <w:p>
      <w:pPr>
        <w:spacing w:line="288" w:lineRule="auto"/>
        <w:ind w:firstLine="480" w:firstLineChars="200"/>
        <w:jc w:val="both"/>
      </w:pPr>
      <w:r>
        <w:rPr>
          <w:rFonts w:hint="eastAsia" w:ascii="微软雅黑" w:hAnsi="微软雅黑" w:eastAsia="微软雅黑"/>
          <w:noProof/>
          <w:sz w:val="24"/>
        </w:rPr>
        <w:t xml:space="preserve">[47] Tracking the trends 2026, Mining &amp; Metals - Deloitte https://www.deloitte.com/na/en/Industries/mining-metals/research/tracking-the-trends.html</w:t>
      </w:r>
    </w:p>
    <w:p>
      <w:pPr>
        <w:spacing w:line="288" w:lineRule="auto"/>
        <w:ind w:firstLine="480" w:firstLineChars="200"/>
        <w:jc w:val="both"/>
      </w:pPr>
      <w:r>
        <w:rPr>
          <w:rFonts w:hint="eastAsia" w:ascii="微软雅黑" w:hAnsi="微软雅黑" w:eastAsia="微软雅黑"/>
          <w:noProof/>
          <w:sz w:val="24"/>
        </w:rPr>
        <w:t xml:space="preserve">[49] Ten major mining tech trends in 2026: Part 2 | Resourcing Tomorrow https://resourcingtomorrow.com/news/industry/ten-major-mining-tech-trends-in-2026-part-2</w:t>
      </w:r>
    </w:p>
    <w:p>
      <w:pPr>
        <w:spacing w:line="288" w:lineRule="auto"/>
        <w:ind w:firstLine="480" w:firstLineChars="200"/>
        <w:jc w:val="both"/>
      </w:pPr>
      <w:r>
        <w:rPr>
          <w:rFonts w:hint="eastAsia" w:ascii="微软雅黑" w:hAnsi="微软雅黑" w:eastAsia="微软雅黑"/>
          <w:noProof/>
          <w:sz w:val="24"/>
        </w:rPr>
        <w:t xml:space="preserve">[50] Mining 2026 - Mexico | Global Practice Guides https://practiceguides.chambers.com/practice-guides/mining-2026/mexico/trends-and-developments</w:t>
      </w:r>
    </w:p>
    <w:p>
      <w:pPr>
        <w:spacing w:line="288" w:lineRule="auto"/>
        <w:ind w:firstLine="480" w:firstLineChars="200"/>
        <w:jc w:val="both"/>
      </w:pPr>
      <w:r>
        <w:rPr>
          <w:rFonts w:hint="eastAsia" w:ascii="微软雅黑" w:hAnsi="微软雅黑" w:eastAsia="微软雅黑"/>
          <w:noProof/>
          <w:sz w:val="24"/>
        </w:rPr>
        <w:t xml:space="preserve">[51] On 9 July 2026, join United Nations University Centre for Policy ... https://www.facebook.com/UnitedNationsUniversity/posts/on-9-july-2026-join-united-nations-university-centre-for-policy-research-unu-cpr/1334250295482713/</w:t>
      </w:r>
    </w:p>
    <w:p>
      <w:pPr>
        <w:spacing w:line="288" w:lineRule="auto"/>
        <w:ind w:firstLine="480" w:firstLineChars="200"/>
        <w:jc w:val="both"/>
      </w:pPr>
      <w:r>
        <w:rPr>
          <w:rFonts w:hint="eastAsia" w:ascii="微软雅黑" w:hAnsi="微软雅黑" w:eastAsia="微软雅黑"/>
          <w:noProof/>
          <w:sz w:val="24"/>
        </w:rPr>
        <w:t xml:space="preserve">[52] ERM 2026 Annual Sustainability Trends Report https://www.erm.com/insights/annual-trends-report-2026/</w:t>
      </w:r>
    </w:p>
    <w:p>
      <w:pPr>
        <w:spacing w:line="288" w:lineRule="auto"/>
        <w:ind w:firstLine="480" w:firstLineChars="200"/>
        <w:jc w:val="both"/>
      </w:pPr>
      <w:r>
        <w:rPr>
          <w:rFonts w:hint="eastAsia" w:ascii="微软雅黑" w:hAnsi="微软雅黑" w:eastAsia="微软雅黑"/>
          <w:noProof/>
          <w:sz w:val="24"/>
        </w:rPr>
        <w:t xml:space="preserve">[53] S&amp;P Global's Top 10 Sustainability Trends to Watch in 2026 https://www.spglobal.com/sustainable1/en/insights/2026-sustainability-trends</w:t>
      </w:r>
    </w:p>
    <w:p>
      <w:pPr>
        <w:spacing w:line="288" w:lineRule="auto"/>
        <w:ind w:firstLine="480" w:firstLineChars="200"/>
        <w:jc w:val="both"/>
      </w:pPr>
      <w:r>
        <w:rPr>
          <w:rFonts w:hint="eastAsia" w:ascii="微软雅黑" w:hAnsi="微软雅黑" w:eastAsia="微软雅黑"/>
          <w:noProof/>
          <w:sz w:val="24"/>
        </w:rPr>
        <w:t xml:space="preserve">[54] Climate Reports - the United Nations https://www.un.org/en/climatechange/reports</w:t>
      </w:r>
    </w:p>
    <w:p>
      <w:pPr>
        <w:spacing w:line="288" w:lineRule="auto"/>
        <w:ind w:firstLine="480" w:firstLineChars="200"/>
        <w:jc w:val="both"/>
      </w:pPr>
      <w:r>
        <w:rPr>
          <w:rFonts w:hint="eastAsia" w:ascii="微软雅黑" w:hAnsi="微软雅黑" w:eastAsia="微软雅黑"/>
          <w:noProof/>
          <w:sz w:val="24"/>
        </w:rPr>
        <w:t xml:space="preserve">[55] Top 2026 sustainability trends: What leaders need to know - YouTube https://www.youtube.com/watch?v=_2dXTrRrA00</w:t>
      </w:r>
    </w:p>
    <w:sectPr>
      <w:type w:val="nextPage"/>
      <w:pgSz w:w="11895" w:h="16830" w:orient="portrait"/>
      <w:pgMar w:top="1440" w:right="1800" w:bottom="1440" w:left="1800" w:header="855" w:footer="990" w:gutter="0"/>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displayBackgroundShap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charts/chart1.xml" Type="http://schemas.openxmlformats.org/officeDocument/2006/relationships/chart" Id="rId3"/>
    <Relationship Target="charts/chart2.xml" Type="http://schemas.openxmlformats.org/officeDocument/2006/relationships/chart" Id="rId4"/>
    <Relationship Target="charts/chart3.xml" Type="http://schemas.openxmlformats.org/officeDocument/2006/relationships/chart" Id="rId5"/>
    <Relationship Target="charts/chart4.xml" Type="http://schemas.openxmlformats.org/officeDocument/2006/relationships/chart" Id="rId6"/>
</Relationships>

</file>

<file path=word/charts/_rels/chart1.xml.rels><?xml version="1.0" encoding="UTF-8" standalone="yes"?>
<Relationships xmlns="http://schemas.openxmlformats.org/package/2006/relationships">
    <Relationship Target="../embeddings/1.xlsx" Type="http://schemas.openxmlformats.org/officeDocument/2006/relationships/package" Id="rId1"/>
</Relationships>

</file>

<file path=word/charts/_rels/chart2.xml.rels><?xml version="1.0" encoding="UTF-8" standalone="yes"?>
<Relationships xmlns="http://schemas.openxmlformats.org/package/2006/relationships">
    <Relationship Target="../embeddings/2.xlsx" Type="http://schemas.openxmlformats.org/officeDocument/2006/relationships/package" Id="rId1"/>
</Relationships>

</file>

<file path=word/charts/_rels/chart3.xml.rels><?xml version="1.0" encoding="UTF-8" standalone="yes"?>
<Relationships xmlns="http://schemas.openxmlformats.org/package/2006/relationships">
    <Relationship Target="../embeddings/3.xlsx" Type="http://schemas.openxmlformats.org/officeDocument/2006/relationships/package" Id="rId1"/>
</Relationships>

</file>

<file path=word/charts/_rels/chart4.xml.rels><?xml version="1.0" encoding="UTF-8" standalone="yes"?>
<Relationships xmlns="http://schemas.openxmlformats.org/package/2006/relationships">
    <Relationship Target="../embeddings/4.xlsx" Type="http://schemas.openxmlformats.org/officeDocument/2006/relationships/package" Id="rId1"/>
</Relationships>

</file>

<file path=word/charts/chart1.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barChart>
        <c:barDir val="col"/>
        <c:grouping val="clustered"/>
        <c:ser>
          <c:idx val="0"/>
          <c:order val="0"/>
          <c:tx>
            <c:strRef>
              <c:f>Sheet1!$B$1</c:f>
              <c:strCache>
                <c:ptCount val="1"/>
                <c:pt idx="0">
                  <c:v>Production+Capacity+(Mtpa)</c:v>
                </c:pt>
              </c:strCache>
            </c:strRef>
          </c:tx>
          <c:spPr>
            <a:solidFill>
              <a:srgbClr val="FF7733"/>
            </a:solidFill>
            <a:ln>
              <a:solidFill>
                <a:srgbClr val="FF7733"/>
              </a:solidFill>
            </a:ln>
          </c:spPr>
          <c:invertIfNegative val="false"/>
          <c:cat>
            <c:strRef>
              <c:f>Sheet1!$A$2:$A$5</c:f>
              <c:strCache>
                <c:ptCount val="4"/>
                <c:pt idx="0">
                  <c:v>Canyon+Coal</c:v>
                </c:pt>
                <c:pt idx="1">
                  <c:v>Salungano+Group</c:v>
                </c:pt>
                <c:pt idx="2">
                  <c:v>MC+Mining</c:v>
                </c:pt>
                <c:pt idx="3">
                  <c:v>Wescoal</c:v>
                </c:pt>
              </c:strCache>
            </c:strRef>
          </c:cat>
          <c:val>
            <c:numRef>
              <c:f>Sheet1!$B$2:$B$5</c:f>
              <c:numCache>
                <c:ptCount val="4"/>
                <c:pt idx="0">
                  <c:v>20</c:v>
                </c:pt>
                <c:pt idx="1">
                  <c:v>15</c:v>
                </c:pt>
                <c:pt idx="2">
                  <c:v>5</c:v>
                </c:pt>
                <c:pt idx="3">
                  <c:v>8</c:v>
                </c:pt>
              </c:numCache>
            </c:numRef>
          </c:val>
        </c:ser>
        <c:gapWidth val="125"/>
        <c:axId val="7253268"/>
        <c:axId val="616300"/>
      </c:barChart>
      <c:catAx>
        <c:axId val="7253268"/>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616300"/>
        <c:crosses val="autoZero"/>
      </c:catAx>
      <c:valAx>
        <c:axId val="616300"/>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7253268"/>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2.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pieChart>
        <c:ser>
          <c:idx val="0"/>
          <c:order val="0"/>
          <c:tx>
            <c:strRef>
              <c:f>Sheet1!$B$1</c:f>
              <c:strCache>
                <c:ptCount val="1"/>
                <c:pt idx="0">
                  <c:v>Market+Share+(%)</c:v>
                </c:pt>
              </c:strCache>
            </c:strRef>
          </c:tx>
          <c:dPt>
            <c:idx val="0"/>
            <c:bubble3D val="false"/>
            <c:spPr>
              <a:solidFill>
                <a:srgbClr val="FF7733"/>
              </a:solidFill>
            </c:spPr>
          </c:dPt>
          <c:dPt>
            <c:idx val="1"/>
            <c:bubble3D val="false"/>
            <c:spPr>
              <a:solidFill>
                <a:srgbClr val="F8D256"/>
              </a:solidFill>
            </c:spPr>
          </c:dPt>
          <c:dPt>
            <c:idx val="2"/>
            <c:bubble3D val="false"/>
            <c:spPr>
              <a:solidFill>
                <a:srgbClr val="FF9D6C"/>
              </a:solidFill>
            </c:spPr>
          </c:dPt>
          <c:dPt>
            <c:idx val="3"/>
            <c:bubble3D val="false"/>
            <c:spPr>
              <a:solidFill>
                <a:srgbClr val="F5C1A0"/>
              </a:solidFill>
            </c:spPr>
          </c:dPt>
          <c:dPt>
            <c:idx val="4"/>
            <c:bubble3D val="false"/>
            <c:spPr>
              <a:solidFill>
                <a:srgbClr val="F4B840"/>
              </a:solidFill>
            </c:spPr>
          </c:dPt>
          <c:dLbls>
            <c:dLblPos val="outEnd"/>
            <c:showVal val="true"/>
            <c:showCatName val="true"/>
            <c:showSerName val="false"/>
            <c:showPercent val="false"/>
            <c:showBubbleSize val="false"/>
            <c:showLeaderLines val="true"/>
            <c:leaderLines>
              <c:spPr>
                <a:ln>
                  <a:solidFill>
                    <a:srgbClr val="FF7733"/>
                  </a:solidFill>
                </a:ln>
              </c:spPr>
            </c:leaderLines>
          </c:dLbls>
          <c:cat>
            <c:strRef>
              <c:f>Sheet1!$A$2:$A$6</c:f>
              <c:strCache>
                <c:ptCount val="5"/>
                <c:pt idx="0">
                  <c:v>Tharisa+plc</c:v>
                </c:pt>
                <c:pt idx="1">
                  <c:v>Jubilee+Metals</c:v>
                </c:pt>
                <c:pt idx="2">
                  <c:v>Bauba+Resources</c:v>
                </c:pt>
                <c:pt idx="3">
                  <c:v>Clover+Alloys</c:v>
                </c:pt>
                <c:pt idx="4">
                  <c:v>Other+Mid-Tier+Companies</c:v>
                </c:pt>
              </c:strCache>
            </c:strRef>
          </c:cat>
          <c:val>
            <c:numRef>
              <c:f>Sheet1!$B$2:$B$6</c:f>
              <c:numCache>
                <c:ptCount val="5"/>
                <c:pt idx="0">
                  <c:v>35</c:v>
                </c:pt>
                <c:pt idx="1">
                  <c:v>25</c:v>
                </c:pt>
                <c:pt idx="2">
                  <c:v>15</c:v>
                </c:pt>
                <c:pt idx="3">
                  <c:v>10</c:v>
                </c:pt>
                <c:pt idx="4">
                  <c:v>15</c:v>
                </c:pt>
              </c:numCache>
            </c:numRef>
          </c:val>
        </c:ser>
      </c:pieChart>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3.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lineChart>
        <c:grouping val="standard"/>
        <c:varyColors val="false"/>
        <c:ser>
          <c:idx val="0"/>
          <c:order val="0"/>
          <c:tx>
            <c:strRef>
              <c:f>Sheet1!$B$1</c:f>
              <c:strCache>
                <c:ptCount val="1"/>
                <c:pt idx="0">
                  <c:v>Tracked+Activities</c:v>
                </c:pt>
              </c:strCache>
            </c:strRef>
          </c:tx>
          <c:spPr>
            <a:ln>
              <a:solidFill>
                <a:srgbClr val="FF7733"/>
              </a:solidFill>
            </a:ln>
          </c:spPr>
          <c:marker>
            <c:symbol val="circle"/>
            <c:size val="4"/>
            <c:spPr>
              <a:noFill/>
              <a:ln>
                <a:solidFill>
                  <a:srgbClr val="FF7733"/>
                </a:solidFill>
              </a:ln>
            </c:spPr>
          </c:marker>
          <c:cat>
            <c:strRef>
              <c:f>Sheet1!$A$2:$A$6</c:f>
              <c:strCache>
                <c:ptCount val="5"/>
                <c:pt idx="0">
                  <c:v>2020</c:v>
                </c:pt>
                <c:pt idx="1">
                  <c:v>2021</c:v>
                </c:pt>
                <c:pt idx="2">
                  <c:v>2022</c:v>
                </c:pt>
                <c:pt idx="3">
                  <c:v>2023</c:v>
                </c:pt>
                <c:pt idx="4">
                  <c:v>2024</c:v>
                </c:pt>
              </c:strCache>
            </c:strRef>
          </c:cat>
          <c:val>
            <c:numRef>
              <c:f>Sheet1!$B$2:$B$6</c:f>
              <c:numCache>
                <c:ptCount val="5"/>
                <c:pt idx="0">
                  <c:v>120</c:v>
                </c:pt>
                <c:pt idx="1">
                  <c:v>145</c:v>
                </c:pt>
                <c:pt idx="2">
                  <c:v>170</c:v>
                </c:pt>
                <c:pt idx="3">
                  <c:v>210</c:v>
                </c:pt>
                <c:pt idx="4">
                  <c:v>250</c:v>
                </c:pt>
              </c:numCache>
            </c:numRef>
          </c:val>
          <c:smooth val="false"/>
        </c:ser>
        <c:smooth val="false"/>
        <c:axId val="7636805"/>
        <c:axId val="3277433"/>
      </c:lineChart>
      <c:catAx>
        <c:axId val="7636805"/>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3277433"/>
        <c:crosses val="autoZero"/>
      </c:catAx>
      <c:valAx>
        <c:axId val="3277433"/>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7636805"/>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4.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lineChart>
        <c:grouping val="standard"/>
        <c:varyColors val="false"/>
        <c:ser>
          <c:idx val="0"/>
          <c:order val="0"/>
          <c:tx>
            <c:strRef>
              <c:f>Sheet1!$B$1</c:f>
              <c:strCache>
                <c:ptCount val="1"/>
                <c:pt idx="0">
                  <c:v>New+Mining+Rights+Granted</c:v>
                </c:pt>
              </c:strCache>
            </c:strRef>
          </c:tx>
          <c:spPr>
            <a:ln>
              <a:solidFill>
                <a:srgbClr val="FF7733"/>
              </a:solidFill>
            </a:ln>
          </c:spPr>
          <c:marker>
            <c:symbol val="circle"/>
            <c:size val="4"/>
            <c:spPr>
              <a:noFill/>
              <a:ln>
                <a:solidFill>
                  <a:srgbClr val="FF7733"/>
                </a:solidFill>
              </a:ln>
            </c:spPr>
          </c:marker>
          <c:cat>
            <c:strRef>
              <c:f>Sheet1!$A$2:$A$5</c:f>
              <c:strCache>
                <c:ptCount val="4"/>
                <c:pt idx="0">
                  <c:v>2020</c:v>
                </c:pt>
                <c:pt idx="1">
                  <c:v>2021</c:v>
                </c:pt>
                <c:pt idx="2">
                  <c:v>2022</c:v>
                </c:pt>
                <c:pt idx="3">
                  <c:v>2023</c:v>
                </c:pt>
              </c:strCache>
            </c:strRef>
          </c:cat>
          <c:val>
            <c:numRef>
              <c:f>Sheet1!$B$2:$B$5</c:f>
              <c:numCache>
                <c:ptCount val="4"/>
                <c:pt idx="0">
                  <c:v>342</c:v>
                </c:pt>
                <c:pt idx="1">
                  <c:v>368</c:v>
                </c:pt>
                <c:pt idx="2">
                  <c:v>410</c:v>
                </c:pt>
                <c:pt idx="3">
                  <c:v>435</c:v>
                </c:pt>
              </c:numCache>
            </c:numRef>
          </c:val>
          <c:smooth val="false"/>
        </c:ser>
        <c:ser>
          <c:idx val="1"/>
          <c:order val="1"/>
          <c:tx>
            <c:strRef>
              <c:f>Sheet1!$C$1</c:f>
              <c:strCache>
                <c:ptCount val="1"/>
                <c:pt idx="0">
                  <c:v>Environmental+Approvals+Granted</c:v>
                </c:pt>
              </c:strCache>
            </c:strRef>
          </c:tx>
          <c:spPr>
            <a:ln>
              <a:solidFill>
                <a:srgbClr val="F8D256"/>
              </a:solidFill>
            </a:ln>
          </c:spPr>
          <c:marker>
            <c:symbol val="circle"/>
            <c:size val="4"/>
            <c:spPr>
              <a:noFill/>
              <a:ln>
                <a:solidFill>
                  <a:srgbClr val="F8D256"/>
                </a:solidFill>
              </a:ln>
            </c:spPr>
          </c:marker>
          <c:cat>
            <c:strRef>
              <c:f>Sheet1!$A$2:$A$5</c:f>
              <c:strCache>
                <c:ptCount val="4"/>
                <c:pt idx="0">
                  <c:v>2020</c:v>
                </c:pt>
                <c:pt idx="1">
                  <c:v>2021</c:v>
                </c:pt>
                <c:pt idx="2">
                  <c:v>2022</c:v>
                </c:pt>
                <c:pt idx="3">
                  <c:v>2023</c:v>
                </c:pt>
              </c:strCache>
            </c:strRef>
          </c:cat>
          <c:val>
            <c:numRef>
              <c:f>Sheet1!$C$2:$C$5</c:f>
              <c:numCache>
                <c:ptCount val="4"/>
                <c:pt idx="0">
                  <c:v>215</c:v>
                </c:pt>
                <c:pt idx="1">
                  <c:v>240</c:v>
                </c:pt>
                <c:pt idx="2">
                  <c:v>285</c:v>
                </c:pt>
                <c:pt idx="3">
                  <c:v>310</c:v>
                </c:pt>
              </c:numCache>
            </c:numRef>
          </c:val>
          <c:smooth val="false"/>
        </c:ser>
        <c:smooth val="false"/>
        <c:axId val="1581446"/>
        <c:axId val="540599"/>
      </c:lineChart>
      <c:catAx>
        <c:axId val="1581446"/>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540599"/>
        <c:crosses val="autoZero"/>
      </c:catAx>
      <c:valAx>
        <c:axId val="540599"/>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1581446"/>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