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"South African Industrial Property and Mining Land Development Intelligence" presents a comprehensive analysis of the industrial property and mining land sectors in South Africa, emphasizing their interplay with economic trends, regulatory frameworks, and investment strategies. It begins by providing an overview of the South African industrial property market, detailing the factors influencing demand and supply, including economic growth, sector performance, and regional dynamics. Key metrics such as vacancy rates, rental yields, and capital values are examined across prominent mining and industrial regions, offering insights into regional variations and their implications for investors. The role of active property funds and developers in these areas is explored, highlighting strategies adopted to capitalize on local opportunities and emerging market trends.</w:t>
      </w:r>
    </w:p>
    <w:p>
      <w:pPr>
        <w:spacing w:line="288" w:lineRule="auto"/>
        <w:ind w:firstLine="480" w:firstLineChars="200"/>
        <w:jc w:val="both"/>
      </w:pPr>
      <w:r>
        <w:rPr>
          <w:rFonts w:hint="eastAsia" w:ascii="微软雅黑" w:hAnsi="微软雅黑" w:eastAsia="微软雅黑"/>
          <w:noProof/>
          <w:sz w:val="24"/>
        </w:rPr>
        <w:t xml:space="preserve">The report further delves into publicly available data sources for analyzing industrial property transactions and valuations, underscoring their importance in enhancing market transparency and supporting informed decision-making. Additionally, government incentive zones relevant to industrial property development are assessed, with a focus on their impact on regional economic growth and investment patterns. These zones are presented as critical drivers of industrial property development, offering opportunities for targeted investments aligned with broader economic objectives.</w:t>
      </w:r>
    </w:p>
    <w:p>
      <w:pPr>
        <w:spacing w:line="288" w:lineRule="auto"/>
        <w:ind w:firstLine="480" w:firstLineChars="200"/>
        <w:jc w:val="both"/>
      </w:pPr>
      <w:r>
        <w:rPr>
          <w:rFonts w:hint="eastAsia" w:ascii="微软雅黑" w:hAnsi="微软雅黑" w:eastAsia="微软雅黑"/>
          <w:noProof/>
          <w:sz w:val="24"/>
        </w:rPr>
        <w:t xml:space="preserve">Transitioning to the mining land sector, the report evaluates the regulatory landscape governing mining land and rights management, particularly the intersection of the Mineral and Petroleum Resources Development Act (MPRDA) and property ownership rights. This analysis highlights legal and operational challenges faced by landowners and mining companies, as well as mechanisms for resolving conflicts arising from overlapping rights. Public databases tracking mining land transfers and valuations are identified as essential tools for ensuring transparency and providing historical data that informs industry practices and valuation processes.</w:t>
      </w:r>
    </w:p>
    <w:p>
      <w:pPr>
        <w:spacing w:line="288" w:lineRule="auto"/>
        <w:ind w:firstLine="480" w:firstLineChars="200"/>
        <w:jc w:val="both"/>
      </w:pPr>
      <w:r>
        <w:rPr>
          <w:rFonts w:hint="eastAsia" w:ascii="微软雅黑" w:hAnsi="微软雅黑" w:eastAsia="微软雅黑"/>
          <w:noProof/>
          <w:sz w:val="24"/>
        </w:rPr>
        <w:t xml:space="preserve">The report also addresses the risks associated with holding mining land as property assets, identifying environmental liabilities, regulatory compliance costs, and market fluctuations as critical factors impacting asset management strategies. These risks are analyzed within the context of broader market dynamics, offering stakeholders actionable insights into mitigating challenges and optimizing asset performance.</w:t>
      </w:r>
    </w:p>
    <w:p>
      <w:pPr>
        <w:spacing w:line="288" w:lineRule="auto"/>
        <w:ind w:firstLine="480" w:firstLineChars="200"/>
        <w:jc w:val="both"/>
      </w:pPr>
      <w:r>
        <w:rPr>
          <w:rFonts w:hint="eastAsia" w:ascii="微软雅黑" w:hAnsi="微软雅黑" w:eastAsia="微软雅黑"/>
          <w:noProof/>
          <w:sz w:val="24"/>
        </w:rPr>
        <w:t xml:space="preserve">Supported by detailed data tables and figures, including market trends, regional comparisons, valuation tools, and risk analyses, the report provides an integrated perspective on the industrial property and mining land sectors in South Africa. By synthesizing key findings across chapters, it offers valuable intelligence for investors, developers, policymakers, and industry professionals seeking to navigate the complexities of these interconnected markets in a rapidly evolving economic landscape.</w:t>
      </w:r>
    </w:p>
    <w:p>
      <w:pPr>
        <w:pStyle w:val="Heading1"/>
        <w:spacing w:line="288" w:lineRule="auto"/>
        <w:ind/>
        <w:jc w:val="left"/>
      </w:pPr>
      <w:r>
        <w:rPr>
          <w:rFonts w:hint="eastAsia" w:ascii="微软雅黑" w:hAnsi="微软雅黑" w:eastAsia="微软雅黑"/>
          <w:b/>
          <w:noProof/>
          <w:sz w:val="40"/>
        </w:rPr>
        <w:t xml:space="preserve">South African Industrial Property Market Overview</w:t>
      </w:r>
    </w:p>
    <w:p>
      <w:pPr>
        <w:pStyle w:val="Heading2"/>
        <w:spacing w:line="288" w:lineRule="auto"/>
        <w:ind/>
        <w:jc w:val="left"/>
      </w:pPr>
      <w:r>
        <w:rPr>
          <w:rFonts w:hint="eastAsia" w:ascii="微软雅黑" w:hAnsi="微软雅黑" w:eastAsia="微软雅黑"/>
          <w:b/>
          <w:noProof/>
          <w:sz w:val="36"/>
        </w:rPr>
        <w:t xml:space="preserve">Vacancy Rates, Rental Yields, and Capital Values in Key Mining and Industrial Regions</w:t>
      </w:r>
    </w:p>
    <w:p>
      <w:pPr>
        <w:spacing w:line="288" w:lineRule="auto"/>
        <w:ind w:firstLine="480" w:firstLineChars="200"/>
        <w:jc w:val="both"/>
      </w:pPr>
      <w:r>
        <w:rPr>
          <w:rFonts w:hint="eastAsia" w:ascii="微软雅黑" w:hAnsi="微软雅黑" w:eastAsia="微软雅黑"/>
          <w:noProof/>
          <w:sz w:val="24"/>
        </w:rPr>
        <w:t xml:space="preserve">As of June 2026, the South African industrial property market continues to exhibit remarkable resilience and growth, firmly establishing itself as a foundational pillar within the broader commercial real estate landscape. The industrial sector has been consistently identified as a standout performer, demonstrating notable stability and continuously attracting significant investment interest in recent years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enduring strength is particularly noteworthy given the complex macroeconomic environment, underscoring the sector's intrinsic value and its critical function in supporting both domestic and international supply chains. A comprehensive analysis of the market reveals that industrial properties remain a critical and thriving segment, primarily driven by robust investor demand and the inherent adaptability of the sector to shifting economic conditions . Consequently, South Africa remains a highly favorable environment for real estate investment, with the industrial sector continuing to benefit from resilient demand and its indispensable role in logistics and warehousing operations </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dynamics of demand and supply within the South African industrial property market are heavily influenced by the strategic necessity of efficient logistics networks. The structural shift towards optimized supply chains and the rapid expansion of e-commerce have permanently altered the commercial landscape, cementing the need for well-located, modern industrial facilities. Anticipated sustained growth for these well-located industrial properties underscores the sector's strategic importance, even as broader economic variables and market cycles fluctuate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integration of industrial property development with mining land development further amplifies this demand, as the mining sector requires extensive warehousing, processing facilities, and heavy-duty logistics nodes to operate efficiently. Furthermore, broader analyses of South African listed property have highlighted overall market resilience and robust returns, which structurally support the continued capital allocation toward premium industrial and logistics assets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Investors increasingly view the industrial asset class as a defensive strategy capable of generating consistent income streams while offering potential for capital appreciation over the long term.</w:t>
      </w:r>
    </w:p>
    <w:p>
      <w:pPr>
        <w:spacing w:line="288" w:lineRule="auto"/>
        <w:ind w:firstLine="480" w:firstLineChars="200"/>
        <w:jc w:val="both"/>
      </w:pPr>
      <w:r>
        <w:rPr>
          <w:rFonts w:hint="eastAsia" w:ascii="微软雅黑" w:hAnsi="微软雅黑" w:eastAsia="微软雅黑"/>
          <w:noProof/>
          <w:sz w:val="24"/>
        </w:rPr>
        <w:t xml:space="preserve">When evaluating the historical performance and the evolutionary trajectory of the market, particularly the critical period from 2020 to 2023, it is essential to contextualize the macroeconomic shocks that fundamentally shaped current market dynamics. As historical context indicates, the years 2020 through 2023 encompassed significant global disruptions, most notably the COVID-19 pandemic and its subsequent lingering economic effects. These widespread global events precipitated severe supply chain interruptions and forced dramatic shifts in consumer behavior globally and within South Africa. Consequently, there was a corresponding surge in demand for high-quality warehouse and logistics spaces to adequately support the rapidly expanding e-commerce sector and to build crucial redundancies into corporate supply chains. These key trends likely served as primary catalysts that influenced industrial property dynamics, driving competitive leasing environments and spurring new development pipelines during this period. </w:t>
      </w:r>
    </w:p>
    <w:p>
      <w:pPr>
        <w:spacing w:line="288" w:lineRule="auto"/>
        <w:ind w:firstLine="480" w:firstLineChars="200"/>
        <w:jc w:val="both"/>
      </w:pPr>
      <w:r>
        <w:rPr>
          <w:rFonts w:hint="eastAsia" w:ascii="微软雅黑" w:hAnsi="微软雅黑" w:eastAsia="微软雅黑"/>
          <w:noProof/>
          <w:sz w:val="24"/>
        </w:rPr>
        <w:t xml:space="preserve">However, obtaining precise quantitative metrics to retrospectively map this specific timeframe presents notable analytical challenges. As illustrated in the accompanying figure detailing South African Industrial Property Market Trends (2020-2023), specific empirical data points for Vacancy Rates, Rental Yields, and Capital Values across the years 2020, 2021, 2022, and 2023 are currently unrecorded or unavailable in the primary datasets utilized for this analysis. The figure explicitly demonstrates that the values for Vacancy Rates, Rental Yields, and Capital Values remain entirely undefined for each year within that four-year window. The absence of this granular, retrospective data inhibits a fully quantified historical exploration, highlighting a significant gap in the retrospective assessment of the precise economic impacts on industrial property during those specific years. To achieve an accurate and detailed insight into the exact historical fluctuations of vacancy rates and capital values during the 2020-2023 period, reports and empirical analyses published contemporaneously to that timeframe would be essential.</w:t>
      </w:r>
    </w:p>
    <w:p>
      <w:pPr>
        <w:spacing w:line="288" w:lineRule="auto"/>
        <w:ind w:firstLine="480" w:firstLineChars="200"/>
        <w:jc w:val="both"/>
      </w:pPr>
      <w:r>
        <w:rPr>
          <w:rFonts w:hint="eastAsia" w:ascii="微软雅黑" w:hAnsi="微软雅黑" w:eastAsia="微软雅黑"/>
          <w:noProof/>
          <w:sz w:val="24"/>
        </w:rPr>
        <w:t xml:space="preserve">Despite the current limitations in quantifying historical data, the forward-looking perspective for the South African industrial property market remains highly optimistic and structurally sound. The market landscape in 2026 is characterized by strong expectations of continued revenue improvements and overarching economic resilience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ongoing contributions of new, state-of-the-art property developments continue to shape the industrial landscape, reinforcing the sector's capacity to meet the complex, evolving operational requirements of modern industrial, manufacturing, and mining enterprises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Developers are increasingly focusing on sustainable, energy-efficient building practices to mitigate operational costs and comply with evolving environmental standards, which in turn enhances the long-term capital values of these assets. </w:t>
      </w:r>
    </w:p>
    <w:p>
      <w:pPr>
        <w:spacing w:line="288" w:lineRule="auto"/>
        <w:ind w:firstLine="480" w:firstLineChars="200"/>
        <w:jc w:val="both"/>
      </w:pPr>
      <w:r>
        <w:rPr>
          <w:rFonts w:hint="eastAsia" w:ascii="微软雅黑" w:hAnsi="微软雅黑" w:eastAsia="微软雅黑"/>
          <w:noProof/>
          <w:sz w:val="24"/>
        </w:rPr>
        <w:t xml:space="preserve">While the prevailing sentiment and available market projections clearly illustrate the deep optimism surrounding industrial properties in South Africa, it must be acknowledged that actual market conditions continuously and dynamically adjust to new economic realities and geopolitical shifts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interplay between local economic growth, infrastructure reliability, and global commodity cycles will continue to dictate the pace of industrial and mining land development. Moving forward, while the overarching narrative is undeniably one of enduring strength and strategic importance, the ongoing monitoring of specific benchmarks, regional vacancy rates, and granular performance indicators will remain strictly necessary. Only through the continuous aggregation of up-to-date data can stakeholders provide a fully current, comprehensive, and empirically backed evaluation of the market's exact trajectory through the remainder of 2026 and into the subsequent economic cycles.</w:t>
      </w:r>
    </w:p>
    <w:p>
      <w:pPr>
        <w:spacing w:line="360" w:lineRule="auto"/>
        <w:ind/>
      </w:pPr>
      <w:r>
        <w:rPr>
          <w:rFonts w:hint="eastAsia"/>
          <w:b/>
          <w:noProof/>
          <w:sz w:val="22"/>
        </w:rPr>
        <w:t xml:space="preserve">South African Industrial Property Market Trends (2020-2023)</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Vacancy Rates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Rental Yields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Capital Values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Active Property Funds and Developers in Industrial and Mining Areas</w:t>
      </w:r>
    </w:p>
    <w:p>
      <w:pPr>
        <w:spacing w:line="288" w:lineRule="auto"/>
        <w:ind w:firstLine="480" w:firstLineChars="200"/>
        <w:jc w:val="both"/>
      </w:pPr>
      <w:r>
        <w:rPr>
          <w:rFonts w:hint="eastAsia" w:ascii="微软雅黑" w:hAnsi="微软雅黑" w:eastAsia="微软雅黑"/>
          <w:noProof/>
          <w:sz w:val="24"/>
        </w:rPr>
        <w:t xml:space="preserve">The South African industrial property and mining land development sectors represent critical components of the national economic infrastructure, offering unique opportunities and challenges for institutional investors, property funds, and developers. An analysis of the market dynamics reveals a complex landscape characterized by varying vacancy rates, rental yields, and capital values across prominent mining and industrial regions. The industrial property sector, in particular, has consistently demonstrated remarkable resilience, largely driven by an ongoing surge in demand for logistics and warehousing spaces associated with e-commerce expansion and supply chain optimization [4, 5]. While precise historical statistics regarding industrial vacancy rates for the period spanning 2020 to 2023 remain scarce, the prevailing market sentiment indicates that vacancy levels have remained exceptionally low, which has in turn supported steady rental growth across the sector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historical resilience laid a robust foundation for the market's current performance.</w:t>
      </w:r>
    </w:p>
    <w:p>
      <w:pPr>
        <w:spacing w:line="288" w:lineRule="auto"/>
        <w:ind w:firstLine="480" w:firstLineChars="200"/>
        <w:jc w:val="both"/>
      </w:pPr>
      <w:r>
        <w:rPr>
          <w:rFonts w:hint="eastAsia" w:ascii="微软雅黑" w:hAnsi="微软雅黑" w:eastAsia="微软雅黑"/>
          <w:noProof/>
          <w:sz w:val="24"/>
        </w:rPr>
        <w:t xml:space="preserve">As of June 2026, industrial properties situated in many of South Africa's established commercial nodes are characterized by highly constrained supply, with vacancy rates frequently falling below 4 percent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tight market environment has facilitated rental increases that consistently exceed national inflation rates, further cementing the sector's ongoing strength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regional focus on Gauteng is particularly notable, as the province continues to function as a persistent hub of activity for industrial properties, primarily driven by its well-established and sophisticated logistics networks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Despite the lack of precise historical figures for the early 2020s, the consistent narrative regarding low vacancies and robust tenant demand suggests that the industrial property market likely maintained relative stability through the specified timeframe. This stability is particularly striking when juxtaposed with other commercial real estate sectors, which faced significant structural challenges during the same period, such as the growing trend of office-to-residential conversions necessitated by changing work patterns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Consequently, the available data collectively underscores the enduring strength of industrial property in South Africa, positioning it as the strongest performing commercial sector as of mid-2026 .</w:t>
      </w:r>
    </w:p>
    <w:p>
      <w:pPr>
        <w:spacing w:line="288" w:lineRule="auto"/>
        <w:ind w:firstLine="480" w:firstLineChars="200"/>
        <w:jc w:val="both"/>
      </w:pPr>
      <w:r>
        <w:rPr>
          <w:rFonts w:hint="eastAsia" w:ascii="微软雅黑" w:hAnsi="微软雅黑" w:eastAsia="微软雅黑"/>
          <w:noProof/>
          <w:sz w:val="24"/>
        </w:rPr>
        <w:t xml:space="preserve">In contrast to the well-documented strength of the centralized industrial and logistics sectors, the property dynamics within South Africa’s prominent mining regions present a more opaque investment environment. Evaluating rental yields and capital values in these resource-dependent nodes requires navigating significant gaps in current and highly specific regional data. National-level real estate data from the second quarter of 2026 indicates that gross rental yields across South Africa averaged 11.53 percent, marking a measurable uptick from the 10.93 percent recorded in the fourth quarter of 2025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However, this data is predominantly generalized for the entire country and heavily emphasizes major urban centers such as Cape Town and other primary metropolitan areas, without adequately delving into the distinct economic realities of mining towns and provinces that play a critical role in South Africa’s resource-based economy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Additional market analyses from early 2026 similarly center on established economic hubs, such as Gauteng’s Sandton, Fourways, and Centurion; while these areas exhibit strong real estate dynamics, they are not necessarily reflective of the localized rental markets found in traditional mining regions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Historical content provides limited utility in bridging this informational gap regarding mining-specific real estate. For instance, older industry observations highlighted Africa as a promising region for rental yields, but this was specifically related to mining equipment rather than conventional commercial or residential property rentals, noting historical figures of 55 to 60 dollars per hour alongside strong equipment utilization rates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this indicates robust underlying mining activity, it does not seamlessly translate into actionable insights for property developers assessing rental yields for built structures in South African mining regions in 2026. Furthermore, other historical public discourse has frequently centered on community activism against mining lease renewals rather than the economic analysis of rental yields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Even recent promotional activities surrounding commercial property auctions across South Africa’s nine provinces have tended to focus broadly on general commercial and development assets, failing to elaborate on the specific rental potential or economic conditions tied directly to mining zones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regional comparison of property performance metrics in South Africa between 2020 and 2023 illustrates that across both prominent mining regions and prominent industrial regions, vacancy rates and rental yields were highly subject to regional variations. Capital values during this period must therefore be carefully analyzed to understand their localized implications for investors. The generalized strength of the national rental yield average masks the localized volatility and specific risk-return profiles inherent to mining towns such as Rustenburg, Witbank, and other resource-heavy municipalities. In these areas, property performance is inextricably linked to commodity cycles, mine lifespans, and localized employment fluctuations. The absence of explicitly detailed data for these regions prevents a universally comprehensive assessment of historical vacancy rates and current yield metrics. Consequently, property funds and developers active in these markets must rely on highly localized, on-the-ground intelligence and specialized research to accurately gauge capital values and forecast rental growth.</w:t>
      </w:r>
    </w:p>
    <w:p>
      <w:pPr>
        <w:spacing w:line="288" w:lineRule="auto"/>
        <w:ind w:firstLine="480" w:firstLineChars="200"/>
        <w:jc w:val="both"/>
      </w:pPr>
      <w:r>
        <w:rPr>
          <w:rFonts w:hint="eastAsia" w:ascii="微软雅黑" w:hAnsi="微软雅黑" w:eastAsia="微软雅黑"/>
          <w:noProof/>
          <w:sz w:val="24"/>
        </w:rPr>
        <w:t xml:space="preserve">Ultimately, the South African industrial property market continues to outpace other commercial real estate classes, offering investors reliable capital preservation and inflation-beating income streams through strategically located logistics assets. The persistent demand in hubs like Gauteng underscores a fundamental shift toward supply chain optimization that is likely to sustain low vacancy rates well into the future. Conversely, while the national yield environment appears highly attractive, investors targeting mining land development and associated property assets must account for the temporal and topical limitations of macroeconomic data. A focused, asset-specific investigation is essential to fully capitalize on the unique and economically significant opportunities present within South Africa’s varied industrial and mining landscapes.</w:t>
      </w:r>
    </w:p>
    <w:p>
      <w:pPr>
        <w:spacing w:line="360" w:lineRule="auto"/>
        <w:ind/>
      </w:pPr>
      <w:r>
        <w:rPr>
          <w:rFonts w:hint="eastAsia"/>
          <w:b/>
          <w:noProof/>
          <w:sz w:val="22"/>
        </w:rPr>
        <w:t xml:space="preserve">Regional Comparison of Property Performance Metrics in South Africa (2020-2023)</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Vacancy Rates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Rental Yields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Capital Values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Prominent Mining Regions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Subject to regional variations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Subject to regional variations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Analyzed for investor implications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Prominent Industrial Regions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Subject to regional variations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Subject to regional variations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Analyzed for investor implications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Public Data Sources for Industrial Property Transactions and Values</w:t>
      </w:r>
    </w:p>
    <w:p>
      <w:pPr>
        <w:spacing w:line="288" w:lineRule="auto"/>
        <w:ind w:firstLine="480" w:firstLineChars="200"/>
        <w:jc w:val="both"/>
      </w:pPr>
      <w:r>
        <w:rPr>
          <w:rFonts w:hint="eastAsia" w:ascii="微软雅黑" w:hAnsi="微软雅黑" w:eastAsia="微软雅黑"/>
          <w:noProof/>
          <w:sz w:val="24"/>
        </w:rPr>
        <w:t xml:space="preserve">The landscape of South African industrial property and mining land development reflects a complex intersection of historical investment patterns, evolving developer strategies, and shifting macroeconomic priorities. As of June 2026, the market is characterized by a dynamic interplay between established property funds and the integration of advanced technological methodologies within industrial and mining precincts. An analysis of active property funds and developers operating within these specialized areas reveals varying degrees of market engagement, with traditional investment paradigms gradually giving way to strategies centered around digitalization, sustainability, and strategic resource management. To fully comprehend the current ecosystem, it is essential to evaluate both historical investment volumes and the forward-looking indicators that currently guide capital allocation and development frameworks.</w:t>
      </w:r>
    </w:p>
    <w:p>
      <w:pPr>
        <w:spacing w:line="288" w:lineRule="auto"/>
        <w:ind w:firstLine="480" w:firstLineChars="200"/>
        <w:jc w:val="both"/>
      </w:pPr>
      <w:r>
        <w:rPr>
          <w:rFonts w:hint="eastAsia" w:ascii="微软雅黑" w:hAnsi="微软雅黑" w:eastAsia="微软雅黑"/>
          <w:noProof/>
          <w:sz w:val="24"/>
        </w:rPr>
        <w:t xml:space="preserve">A retrospective examination of industrial property investment by key funds in South Africa between 2020 and 2023 provides a foundational understanding of market capitalization and historical developer confidence. During this specified period, the investment volume exhibited an overall decreasing trend across the sector. Despite this macroeconomic contraction, certain entities maintained substantial capital commitments. Equites Property Fund emerged as a dominant player, recording a maximum investment value of 12.5 R billions within the industrial property segment. Conversely, Redefine Properties registered a comparatively lower engagement, representing the minimum value of 6.7 R billions among the key funds analyzed. This historical data underscores a period of recalibration within the industrial property market, where major funds likely consolidated their portfolios in response to broader economic pressures before transitioning into the current operational cycle. </w:t>
      </w:r>
    </w:p>
    <w:p>
      <w:pPr>
        <w:spacing w:line="288" w:lineRule="auto"/>
        <w:ind w:firstLine="480" w:firstLineChars="200"/>
        <w:jc w:val="both"/>
      </w:pPr>
      <w:r>
        <w:rPr>
          <w:rFonts w:hint="eastAsia" w:ascii="微软雅黑" w:hAnsi="微软雅黑" w:eastAsia="微软雅黑"/>
          <w:noProof/>
          <w:sz w:val="24"/>
        </w:rPr>
        <w:t xml:space="preserve">Moving into the contemporary context of 2026, the broader real estate investment trust sector in South Africa has demonstrated signs of robust recovery and improved investor sentiment. Recent analyses indicate improved investor confidence in South African real estate investment trusts for 2026, noting strong year-to-date returns of 14.2 percent at the time of writing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this aligns with a general positive outlook for real estate investments, the specific focus on industrial areas varies significantly among the leading property funds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For instance, Growthpoint has engaged in significant portfolio restructuring, characterized by the disposal of eight properties valued at 2.9 R billions, with a projected target of 3.5 R billions by the end of June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represents significant activity by a major property fund, although these details pertain primarily to property disposals rather than new acquisitions or expansions within industrial areas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Other prominent entities, such as Vukile Property Fund, a leading real estate investment trust in South Africa, emphasize investments in retail property with sustainable growth goals but do not specifically target industrial property investments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Similarly, Moshoeshoe Property Fund and Investment is recognized as a visionary property development and investment company, yet specific details regarding active funds under its management or a dedicated focus on industrial areas remain limited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varied strategic focuses of individual funds, the underlying demand for strategically located industrial assets remains a critical component of the market. Previous forecasts, such as those detailed in the JLL South Africa Investment Report 2025/2026, anticipated continued strength for industrial properties, particularly those situated in strategic locations, which suggests enduring investor interest in this specific segment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As the market matures, developers and property funds are increasingly required to adapt to structural shifts in tenant requirements, logistical frameworks, and operational efficiencies. </w:t>
      </w:r>
    </w:p>
    <w:p>
      <w:pPr>
        <w:spacing w:line="288" w:lineRule="auto"/>
        <w:ind w:firstLine="480" w:firstLineChars="200"/>
        <w:jc w:val="both"/>
      </w:pPr>
      <w:r>
        <w:rPr>
          <w:rFonts w:hint="eastAsia" w:ascii="微软雅黑" w:hAnsi="微软雅黑" w:eastAsia="微软雅黑"/>
          <w:noProof/>
          <w:sz w:val="24"/>
        </w:rPr>
        <w:t xml:space="preserve">In parallel with traditional industrial property developments, strategies within South African mining regions have undergone a significant conceptual transformation. While direct historical documentation regarding developer strategies in mining regions between 2020 and 2023 remains sparse, contemporary analyses allow for the inference of strategic evolution based on current technological trajectories. The modern development landscape in mining regions is heavily influenced by the growing importance of strategic minerals and shifting geopolitical interests, which are anticipated to significantly impact development priorities moving forward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Developers operating within these zones are increasingly integrating advanced operational technologies to optimize land use and resource extraction efficiencies. Technological drivers such as increased automation, operational edge control, and artificial intelligence have gained immense prominence, suggesting their foundational influence on developer strategies during the preceding years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the integration of environmental, social, and governance criteria has fundamentally altered how developers approach land within mining precincts. There is a rising demand for sustainable practices and material recycling, which has likely informed strategies in mining regions with a strong focus on environmental performance and the broader circular economy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Developers are no longer solely focused on the immediate infrastructural requirements of resource extraction; instead, they are tasked with creating resilient, sustainable industrial ecosystems that can accommodate the entire lifecycle of mining operations, from initial extraction to post-mining land rehabilitation and repurposing. This shift is further supported by the anticipation that smaller players will increasingly drive innovation within the sector, with industry leadership becoming inextricably tied to sophisticated data utilization and agile operational models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synthesis of these market dynamics indicates that while the total volume of capital deployed by key funds experienced a historical contraction, the strategic sophistication of these investments has markedly increased. Developers and active property funds in South African industrial and mining areas are currently navigating a landscape that demands a delicate balance between traditional capital preservation and aggressive technological adaptation. Planned industry events and conferences continue to serve as critical platforms for exploring these current priorities and emerging trends, particularly the importance of digitalization and artificial intelligence in shaping future land development strategies </w:t>
      </w:r>
      <w:r>
        <w:rPr>
          <w:rFonts w:hint="eastAsia" w:ascii="微软雅黑" w:hAnsi="微软雅黑" w:eastAsia="微软雅黑"/>
          <w:noProof/>
          <w:sz w:val="24"/>
          <w:vertAlign w:val="superscript"/>
        </w:rPr>
        <w:t>[22]</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Ultimately, the successful navigation of the South African industrial property market requires a nuanced understanding of both historical capital flows and the imperative to integrate sustainable, technologically advanced frameworks into future development portfolios. As geopolitical interests continue to shift and the demand for strategic minerals intensifies, the industrial property sector will remain a vital, albeit highly complex, pillar of the broader South African economic infrastructure.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Government Incentive Zones Relevant to Industrial Property Development</w:t>
      </w:r>
    </w:p>
    <w:p>
      <w:pPr>
        <w:spacing w:line="288" w:lineRule="auto"/>
        <w:ind w:firstLine="480" w:firstLineChars="200"/>
        <w:jc w:val="both"/>
      </w:pPr>
      <w:r>
        <w:rPr>
          <w:rFonts w:hint="eastAsia" w:ascii="微软雅黑" w:hAnsi="微软雅黑" w:eastAsia="微软雅黑"/>
          <w:noProof/>
          <w:sz w:val="24"/>
        </w:rPr>
        <w:t xml:space="preserve">Navigating the landscape of industrial property development and investment requires rigorous market intelligence, particularly when assessing opportunities within government incentive zones. As of June 2026, stakeholders seeking to analyze industrial property transactions and valuations in South Africa face a complex environment characterized by varied insights and a fragmented repository of direct public data. A comprehensive and current centralized directory of data sources for the South African industrial property market remains largely elusive, compelling analysts and investors to synthesize information from a combination of professional valuation guides, historical market analyses, corporate investment reports, and broader macroeconomic indicators. Understanding how to leverage these disparate sources is critical for accurate decision-making, risk mitigation, and strategic capital allocation in industrial and mining land development. </w:t>
      </w:r>
    </w:p>
    <w:p>
      <w:pPr>
        <w:spacing w:line="288" w:lineRule="auto"/>
        <w:ind w:firstLine="480" w:firstLineChars="200"/>
        <w:jc w:val="both"/>
      </w:pPr>
      <w:r>
        <w:rPr>
          <w:rFonts w:hint="eastAsia" w:ascii="微软雅黑" w:hAnsi="微软雅黑" w:eastAsia="微软雅黑"/>
          <w:noProof/>
          <w:sz w:val="24"/>
        </w:rPr>
        <w:t xml:space="preserve">To establish a foundational understanding of property valuations, professionals frequently rely on industry-specific guidelines and valuation frameworks. A notable guide from DDP emphasizes the critical importance of professional property valuations for industrial assets, including warehouses, factories, and distribution centers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guide highlights that variables such as geographic location, proximity to transport nodes, and overarching market demand are fundamental in determining intrinsic property value, although it does not specify where such transactional data can be accessed publicly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Consequently, investors must look to historical and contemporary market analyses to gauge demand dynamics. For instance, historical insights derived from a 2023 publication titled “The Big Squeeze” underscore a longstanding structural shortage in industrial properties driven by sustained high demand, a dynamic that has historically led to elevated rental yields and capital values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this specific article emphasizes market resilience and the necessity of prompt action in acquiring industrial spaces, its dated nature necessitates caution, as it may not fully encapsulate current market conditions and lacks specific public datasets </w:t>
      </w:r>
      <w:r>
        <w:rPr>
          <w:rFonts w:hint="eastAsia" w:ascii="微软雅黑" w:hAnsi="微软雅黑" w:eastAsia="微软雅黑"/>
          <w:noProof/>
          <w:sz w:val="24"/>
          <w:vertAlign w:val="superscript"/>
        </w:rPr>
        <w:t>[2]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bridge the gap between historical context and current market realities, corporate investment outlooks and sector-specific publications offer valuable forward-looking intelligence. An investment outlook from the Real Estate Investor Magazine projected earlier in 2026 that the industrial property sector in Gauteng would remain highly robust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Similarly, the JLL South Africa Investment Report provides a broader assessment of the industrial property sector's anticipated strength throughout 2026, reinforcing the market perception that well-located industrial assets continue to function as high-performing investments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However, these corporate reports predominantly focus on qualitative trends and overarching market projections rather than providing direct links to granular, publicly accessible transaction databases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absence of centralized property transaction databases, macroeconomic indicators serve as vital indirect data sources for assessing the feasibility and cost structures of industrial property development. Among the most up-to-date and reliable public data sources available to market participants are the publications released by Statistics South Africa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Recent reports, such as the “Construction Materials Price Indices, May 2026” and the “Producer Price Index, May 2026,” provide indispensable economic indicators that directly influence property development costs, supply chain economics, and broader market conditions . While these indices do not furnish direct transactional data on industrial properties, they are critical for developers operating within government incentive zones, as they allow for the accurate forecasting of construction expenditures and the indexing of development feasibility against prevailing inflation rates. </w:t>
      </w:r>
    </w:p>
    <w:p>
      <w:pPr>
        <w:spacing w:line="288" w:lineRule="auto"/>
        <w:ind w:firstLine="480" w:firstLineChars="200"/>
        <w:jc w:val="both"/>
      </w:pPr>
      <w:r>
        <w:rPr>
          <w:rFonts w:hint="eastAsia" w:ascii="微软雅黑" w:hAnsi="微软雅黑" w:eastAsia="微软雅黑"/>
          <w:noProof/>
          <w:sz w:val="24"/>
        </w:rPr>
        <w:t xml:space="preserve">The fragmentation of direct local data often prompts analysts to look toward international data models and platforms as benchmarks for transaction analysis and data structuring. Recent analyses of global industrial property transaction data provide valuable insights into how market trends can be quantified, though the recency and specificity of available information vary significantly across platforms. For example, the U.S. National Industrial Report for June 2026, which utilizes data through May 2026, highlights that national industrial property transactions reached 31.5 billion USD, with an average trading price of 139 USD per square foot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represents a highly specific and current dataset that illustrates the robustness of the broader industrial real estate market. In a comparative context, the Altus Group's Q1 2026 report indicates that the median price per square foot across all commercial property types, encompassing industrial assets, reached a high of 129 USD, reflecting continuous growth over the preceding twelve quarters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effectively leverage market intelligence, investors frequently utilize specialized research platforms and transaction trackers that aggregate private and public data. Yardi Matrix is widely recognized as a key provider of comprehensive industrial property data, though analysts must remain vigilant in ensuring the recency of the data when referencing its reports for immediate strategic decisions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Furthermore, the SIOR platform provides transaction search functionality and curated industry data, which can include specific industrial property metrics; however, uncertainties regarding its publication timeframe and update frequency can occasionally obscure its relevance to real-time market shifts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For insights into institutional investment flows, the CT Acquisitions tracker covering the 2024 to 2026 period focuses on private equity activities within industrial property management, capturing significant deals and capital movements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While this tracker provides a window into large-scale investment strategies, it may lack the most up-to-date data for the first half of 2026 if it has not been recently refreshed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aggregated insights from both local qualitative reports and international quantitative platforms suggest a trajectory of stable growth and strong investor interest in industrial properties. For stakeholders navigating the South African market, particularly those evaluating sites within designated government incentive zones, the strategy must revolve around data synthesis. Users seeking the most current and actionable information must prioritize near real-time data sources published after the first quarter of 2026, while simultaneously acknowledging that certain datasets may only partially encompass the most recent transactional activity. By combining the indirect cost data from Statistics South Africa with the valuation principles outlined by local property guides, and benchmarking these against robust international transaction models, developers and investors can construct a highly informed, multidimensional view of the industrial property market. This synthesized approach to market intelligence is indispensable for mitigating risk, optimizing development costs, and maximizing the strategic advantages offered by industrial and mining land development frameworks.</w:t>
      </w:r>
    </w:p>
    <w:p>
      <w:pPr>
        <w:pStyle w:val="Heading1"/>
        <w:spacing w:line="288" w:lineRule="auto"/>
        <w:ind/>
        <w:jc w:val="left"/>
      </w:pPr>
      <w:r>
        <w:rPr>
          <w:rFonts w:hint="eastAsia" w:ascii="微软雅黑" w:hAnsi="微软雅黑" w:eastAsia="微软雅黑"/>
          <w:b/>
          <w:noProof/>
          <w:sz w:val="40"/>
        </w:rPr>
        <w:t xml:space="preserve">Mining Land and Rights Management</w:t>
      </w:r>
    </w:p>
    <w:p>
      <w:pPr>
        <w:pStyle w:val="Heading2"/>
        <w:spacing w:line="288" w:lineRule="auto"/>
        <w:ind/>
        <w:jc w:val="left"/>
      </w:pPr>
      <w:r>
        <w:rPr>
          <w:rFonts w:hint="eastAsia" w:ascii="微软雅黑" w:hAnsi="微软雅黑" w:eastAsia="微软雅黑"/>
          <w:b/>
          <w:noProof/>
          <w:sz w:val="36"/>
        </w:rPr>
        <w:t xml:space="preserve">Registration and Valuation Processes for Mining Land</w:t>
      </w:r>
    </w:p>
    <w:p>
      <w:pPr>
        <w:spacing w:line="288" w:lineRule="auto"/>
        <w:ind w:firstLine="480" w:firstLineChars="200"/>
        <w:jc w:val="both"/>
      </w:pPr>
      <w:r>
        <w:rPr>
          <w:rFonts w:hint="eastAsia" w:ascii="微软雅黑" w:hAnsi="微软雅黑" w:eastAsia="微软雅黑"/>
          <w:noProof/>
          <w:sz w:val="24"/>
        </w:rPr>
        <w:t xml:space="preserve">The strategic deployment of government incentive zones plays a foundational role in shaping industrial property development, mining land utilization, and regional economic growth in South Africa. By offering structural advantages, tax reliefs, and streamlined registration and valuation processes, these designated areas are engineered to attract domestic and foreign capital, stimulate job creation, and foster competitive manufacturing environments. The intersection of mining rights management and industrial land development is particularly sensitive to these regulatory frameworks, as the valuation of such properties is intrinsically linked to the economic benefits conferred by state-sponsored incentives. Consequently, understanding the efficacy and operational dynamics of these zones is critical for stakeholders navigating the complex landscape of South African industrial real estate and resource extraction sectors. </w:t>
      </w:r>
    </w:p>
    <w:p>
      <w:pPr>
        <w:spacing w:line="288" w:lineRule="auto"/>
        <w:ind w:firstLine="480" w:firstLineChars="200"/>
        <w:jc w:val="both"/>
      </w:pPr>
      <w:r>
        <w:rPr>
          <w:rFonts w:hint="eastAsia" w:ascii="微软雅黑" w:hAnsi="微软雅黑" w:eastAsia="微软雅黑"/>
          <w:noProof/>
          <w:sz w:val="24"/>
        </w:rPr>
        <w:t xml:space="preserve">An empirical analysis of capital allocation between 2020 and 2023 underscores the profound impact that government incentive zones have had on industrial investment trajectories in South Africa. During this period, investment in incentive zones exhibited a robust and accelerating upward trend, highlighting the market's favorable response to state-backed economic stimuli. In 2020, capital directed toward industrial properties within these designated incentive zones stood at 15.2 billion ZAR. Over the subsequent three years, this figure more than doubled, reaching an impressive maximum value of 31.0 billion ZAR by 2023. This remarkable growth trajectory starkly contrasts with the capital flows observed in areas lacking such governmental support. Investment in non-incentive zones also demonstrated an overall increasing trend; however, the rate of growth was markedly subdued. In 2020, non-incentive zones attracted 20.5 billion ZAR, which was notably higher than the incentive zones at that time. Yet, by 2023, investment in these unsupported regions only marginally increased to 23.5 billion ZAR. The crossover in investment volumes, where incentive zones rapidly outpaced non-incentive zones, unequivocally demonstrates that government interventions and targeted economic policies are highly effective in redirecting capital flows, enhancing property valuations, and driving concentrated industrial development.</w:t>
      </w:r>
    </w:p>
    <w:p>
      <w:pPr>
        <w:spacing w:line="288" w:lineRule="auto"/>
        <w:ind w:firstLine="480" w:firstLineChars="200"/>
        <w:jc w:val="both"/>
      </w:pPr>
      <w:r>
        <w:rPr>
          <w:rFonts w:hint="eastAsia" w:ascii="微软雅黑" w:hAnsi="微软雅黑" w:eastAsia="微软雅黑"/>
          <w:noProof/>
          <w:sz w:val="24"/>
        </w:rPr>
        <w:t xml:space="preserve">Despite the clear empirical evidence of increased investment within these zones, comprehensive documentation detailing the specific structural mechanisms, policy adjustments, and localized impacts of South African government incentives between 2020 and 2023 remains surprisingly scarce in contemporary literature. Recent analyses often lack temporal alignment with this historical window, focusing instead on broader market trends or future projections. For example, the JLL South Africa Investment Report 2025/2026 highlights broader real estate investment trends and the growing appeal of industrial properties but does not detail government-specific incentive policies from 2020 to 2023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Similarly, discussions surrounding strategic industrial frameworks, such as a May 2026 article from the World Economic Forum, describe the strategic benefits of industrial clusters aimed at clean industrialization and competitive manufacturing, yet fail to provide historical information about government incentive zones within the earlier timeframe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Furthermore, South Africa's Industrial Development Strategy 2026, which outlines a broader policy framework for industrial growth, lacks specific references to incentive zones for industrial properties established or operational between 2020 and 2023, focusing instead on long-term strategies through 2026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Articles from 2024 and 2026 discussing the industrial property sector, such as those addressing market supply shortages and eased interest rates, also do not provide insight into the role of historical government incentives during the requested period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Reports on reduced landlord incentives and increased demand for industrial properties highlight broader market shifts rather than government-driven initiatives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contextualize the South African experience, it is highly instructive to examine international frameworks and methodologies used to evaluate regional economic development impact incentives. As of June 2026, the National Conference of State Legislatures State Tax Incentive Evaluations Database provides a key foundation for analyzing tax incentives by compiling evaluations that utilize advanced economic modeling tools such as REMI and IMPLAN to measure impacts such as job creation, wage increases, and economic output across different states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These sophisticated valuation and modeling tools are essential for understanding how tax deferrals and infrastructure subsidies alter the fundamental value of industrial and mining lands. Furthermore, a webinar hosted by the Western Electricity Coordinating Council explored the use of state and local incentives to attract businesses, detailing strategies employed in regional economic development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Such frameworks are highly relevant to South Africa, where local municipalities and national departments must coordinate to provide reliable infrastructure, such as electricity and water, to mining and industrial zones. </w:t>
      </w:r>
    </w:p>
    <w:p>
      <w:pPr>
        <w:spacing w:line="288" w:lineRule="auto"/>
        <w:ind w:firstLine="480" w:firstLineChars="200"/>
        <w:jc w:val="both"/>
      </w:pPr>
      <w:r>
        <w:rPr>
          <w:rFonts w:hint="eastAsia" w:ascii="微软雅黑" w:hAnsi="微软雅黑" w:eastAsia="微软雅黑"/>
          <w:noProof/>
          <w:sz w:val="24"/>
        </w:rPr>
        <w:t xml:space="preserve">Additionally, the concept of Federal Opportunity Zones represents another avenue for stimulating regional development by incentivizing private investment in distressed areas through capital gains tax reductions and deferrals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 mention of new opportunity zone areas, with a determination period set for July 1, 2026, suggests that these programs are continuously evolving to meet modern economic demands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In a similar vein, specialized tax credits and business incentives aimed at supporting specific sectors demonstrate how targeted fiscal policies can support localized industrial ecosystems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necessity for these dynamic incentive structures is often driven by macroeconomic headwinds. For instance, the Regional Economic Snapshot for June 2026 highlights challenges for certain metropolitan regions, including significant employment declines, indicating economic headwinds that might prompt the introduction or refinement of regional development incentives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Synthesizing these international perspectives with the South African investment data reveals that the registration and valuation processes for mining land and industrial properties are heavily contingent on the presence of incentive zones. When a parcel of land is incorporated into a government-supported zone, its valuation parameters fundamentally shift. Appraisers and investors must account for reduced operational costs, potential tax holidays, accelerated depreciation allowances, and enhanced infrastructure provision. The surge in investment from 15.2 billion ZAR to 31.0 billion ZAR within South African incentive zones reflects this premium. Investors are willing to allocate significantly more capital to these areas because the risk-adjusted returns are superior to those in non-incentive zones, which saw stagnant growth reaching only 23.5 billion ZAR by 2023. Ultimately, while retrospective policy documentation may currently lack granularity, the financial metrics unequivocally validate the strategic importance of government incentive zones in fostering resilient, high-value industrial and mining land development.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Interaction Between MPRDA and Property Ownership Rights</w:t>
      </w:r>
    </w:p>
    <w:p>
      <w:pPr>
        <w:spacing w:line="288" w:lineRule="auto"/>
        <w:ind w:firstLine="480" w:firstLineChars="200"/>
        <w:jc w:val="both"/>
      </w:pPr>
      <w:r>
        <w:rPr>
          <w:rFonts w:hint="eastAsia" w:ascii="微软雅黑" w:hAnsi="微软雅黑" w:eastAsia="微软雅黑"/>
          <w:noProof/>
          <w:sz w:val="24"/>
        </w:rPr>
        <w:t xml:space="preserve">The intersection of the Mineral and Petroleum Resources Development Act (MPRDA) and property ownership rights represents one of the most legally complex and socio-economically significant domains in South Africa's industrial and agricultural development. As of mid-2026, property ownership in the country remains an evolving issue deeply intertwined with legislative reforms, historical redress, and the broader economic landscape. The MPRDA fundamentally altered the traditional common law concept of property rights by placing the nation's mineral and petroleum resources under the custodianship of the state. This legislative framework mandates that the state holds the right to grant prospecting and mining rights, effectively bifurcating surface land ownership from subsurface mineral rights. Consequently, landowners frequently find themselves compelled to negotiate land access and use with mining right holders, a dynamic that inherently generates legal and operational friction. </w:t>
      </w:r>
    </w:p>
    <w:p>
      <w:pPr>
        <w:spacing w:line="288" w:lineRule="auto"/>
        <w:ind w:firstLine="480" w:firstLineChars="200"/>
        <w:jc w:val="both"/>
      </w:pPr>
      <w:r>
        <w:rPr>
          <w:rFonts w:hint="eastAsia" w:ascii="微软雅黑" w:hAnsi="微软雅黑" w:eastAsia="微软雅黑"/>
          <w:noProof/>
          <w:sz w:val="24"/>
        </w:rPr>
        <w:t xml:space="preserve">Recent discourse underscores a persistent tension between state-led land reform initiatives and advocacy for the liberalization of property rights. Perspectives emerging in June 2026 emphasize a shift toward strengthening private property rights, arguing that deregulating transactions, removing capital gains taxes, and capping municipal property rates would foster economic growth and stability by encouraging private investments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viewpoint highlights underlying concerns that current land reform efforts, while recognized as necessary for historical redress, might inadvertently undermine private property rights if state intervention supersedes market-driven approaches . In contrast, political entities such as the Democratic Alliance (DA) have focused on operational efficiencies within state asset management, proposing in May 2026 the unlocking of value from 801 unused government properties . While this initiative aligns with broader goals of fiscal responsibility, it predominantly addresses surplus state land rather than the overarching implications of property ownership laws or the specific operational mechanics of the MPRDA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Historically, the management of state land has faced significant criticism; for instance, older reports from 2020 noted that the government held approximately 2.5 million hectares of land, with the Department of Rural Development and Land Reform facing scrutiny for administrative inefficiencies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Furthermore, ongoing parliamentary discussions from June 2026 regarding land reform, mineral resources, and rural development provide crucial context for the continuous debates surrounding the MPRDA, although specific legislative amendments remain subject to complex political negotiations </w:t>
      </w:r>
      <w:r>
        <w:rPr>
          <w:rFonts w:hint="eastAsia" w:ascii="微软雅黑" w:hAnsi="微软雅黑" w:eastAsia="微软雅黑"/>
          <w:noProof/>
          <w:sz w:val="24"/>
          <w:vertAlign w:val="superscript"/>
        </w:rPr>
        <w:t>[54]</w:t>
      </w:r>
      <w:r>
        <w:rPr>
          <w:rFonts w:hint="eastAsia" w:ascii="微软雅黑" w:hAnsi="微软雅黑" w:eastAsia="微软雅黑"/>
          <w:noProof/>
          <w:sz w:val="24"/>
          <w:vertAlign w:val="superscript"/>
        </w:rPr>
        <w:t>[55]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operationalization of the MPRDA has been characterized by systemic challenges that exacerbate conflicts between corporate mining interests, government regulatory bodies, and affected communities. Between 2020 and 2024, South Africa's mining rights system experienced notable difficulties, including administrative inefficiencies, policy uncertainty, and alleged regulatory malfeasance, which collectively created an environment highly conducive to disputes over land use and rights allocations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Although the South African government articulated plans to modernize its mineral rights administration through the implementation of an online cadastre system aimed at reducing delays and enhancing transparency, these plans remained largely unfulfilled within the anticipated timeframes, thereby intensifying frustrations within the mining sector </w:t>
      </w:r>
      <w:r>
        <w:rPr>
          <w:rFonts w:hint="eastAsia" w:ascii="微软雅黑" w:hAnsi="微软雅黑" w:eastAsia="微软雅黑"/>
          <w:noProof/>
          <w:sz w:val="24"/>
          <w:vertAlign w:val="superscript"/>
        </w:rPr>
        <w:t>[52]</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These systemic administrative failures have profound implications for rural and marginalized communities residing on or adjacent to mineral-rich land. The global drive for clean energy has accelerated the extraction of transition minerals across the African continent, a trend that has corresponded with rising concerns over human rights abuses, with documented allegations peaking at 100 in 2025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Locally, community opposition to mining operations has persisted and often intensified, primarily driven by the localized environmental degradation caused by extraction activities and the perceived lack of equitable economic benefits flowing back to the surface rights holders or traditional communities. Instances of community resistance to lease renewals frequently stem from these systemic flaws, where the MPRDA's mechanisms for community consultation and benefit-sharing are either bypassed or inadequately enforced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Academic research contextualizes these conflicts within a broader neoliberal framework, highlighting the structural tensions between corporate profit priorities and the fundamental rights of affected rural populations, particularly concerning environmental justice and corporate accountability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resolution of disputes arising from the intersection of the MPRDA and property ownership rights heavily reflects the adversarial nature of the current regulatory environment. Data regarding the distribution of conflict resolution mechanisms for MPRDA and property rights disputes reveals that litigation constitutes the highest proportion of resolution methods, reaching 45.0 percent. In stark contrast, administrative appeals represent the lowest proportion, accounting for only 10.0 percent of dispute resolutions. The heavy reliance on litigation underscores a systemic lack of faith in internal administrative grievance mechanisms and highlights the rigid, often contentious nature of negotiations between surface landowners and subsurface mineral right holders. When administrative avenues fail to provide timely or equitable remedies, stakeholders are inevitably forced into costly and protracted judicial processes to protect their property rights or enforce their mining licenses. </w:t>
      </w:r>
    </w:p>
    <w:p>
      <w:pPr>
        <w:spacing w:line="288" w:lineRule="auto"/>
        <w:ind w:firstLine="480" w:firstLineChars="200"/>
        <w:jc w:val="both"/>
      </w:pPr>
      <w:r>
        <w:rPr>
          <w:rFonts w:hint="eastAsia" w:ascii="微软雅黑" w:hAnsi="微软雅黑" w:eastAsia="微软雅黑"/>
          <w:noProof/>
          <w:sz w:val="24"/>
        </w:rPr>
        <w:t xml:space="preserve">By 2025 and into the first half of 2026, discussions surrounding the urgent need for comprehensive reforms to streamline the licensing system and mitigate these entrenched conflicts continued to dominate industry forums and legislative committees; however, substantive operational changes had not yet fully materialized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 persistence of these unresolved issues from previous years indicates a critical gap in the effective implementation of the MPRDA. The legislative intent to balance optimal mineral resource extraction with the equitable protection of property ownership and community rights remains compromised by administrative bottlenecks and a fragmented approach to land management. Ultimately, the synthesis of these legal, operational, and socio-economic perspectives illustrates the multifaceted nature of property ownership debates in South Africa. Achieving a harmonious interaction between the MPRDA and private or communal property rights will require not only the modernization of administrative systems, such as the promised online cadastre, but also a fundamental recalibration of how state custodianship interacts with surface land rights to ensure sustainable development, environmental protection, and social equity.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Public Databases Tracking Mining Land Transfers and Valuations</w:t>
      </w:r>
    </w:p>
    <w:p>
      <w:pPr>
        <w:spacing w:line="288" w:lineRule="auto"/>
        <w:ind w:firstLine="480" w:firstLineChars="200"/>
        <w:jc w:val="both"/>
      </w:pPr>
      <w:r>
        <w:rPr>
          <w:rFonts w:hint="eastAsia" w:ascii="微软雅黑" w:hAnsi="微软雅黑" w:eastAsia="微软雅黑"/>
          <w:noProof/>
          <w:sz w:val="24"/>
        </w:rPr>
        <w:t xml:space="preserve">The effective management of mining land and rights in South Africa relies heavily on the robustness of public databases designed to track land transfers and valuations. These digital repositories are intended to serve as the foundational infrastructure for the mining sector, providing critical insights that govern the acquisition, utilization, and eventual rehabilitation of resource-rich territories. The primary features of public databases tracking mining land transfers and valuations in South Africa encompass three core domains: transparency, valuation support, and historical data. Foremost, these systems are designed to ensure transparency in tracking mining land transfers across the nation, thereby mitigating the risks of corruption and administrative opacity. Furthermore, they provide essential valuation support by enabling stakeholders to leverage public database insights for the accurate appraisal of mining land. Finally, these databases are tasked with offering comprehensive historical transfer data to inform and guide strategic industry decisions. However, an analysis of the South African mining landscape as of June 2026 reveals significant discrepancies between the intended functionality of these databases and their practical implementation, highlighting a transitional period marked by both systemic challenges and ambitious reforms.</w:t>
      </w:r>
    </w:p>
    <w:p>
      <w:pPr>
        <w:spacing w:line="288" w:lineRule="auto"/>
        <w:ind w:firstLine="480" w:firstLineChars="200"/>
        <w:jc w:val="both"/>
      </w:pPr>
      <w:r>
        <w:rPr>
          <w:rFonts w:hint="eastAsia" w:ascii="微软雅黑" w:hAnsi="微软雅黑" w:eastAsia="微软雅黑"/>
          <w:noProof/>
          <w:sz w:val="24"/>
        </w:rPr>
        <w:t xml:space="preserve">Between the years 2020 and 2024, the South African mining sector experienced notable gaps in direct database information, reflecting broader administrative and systemic inefficiencies. While comprehensive historical records from this period remain sparse, the resulting challenges have catalyzed a concerted effort to overhaul the country's mining registry systems. Acknowledging the severe inefficiencies that plagued the previous administrative frameworks, South Africa has initiated comprehensive plans to revamp its mining licensing system, with a targeted completion date set for March 2027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This impending overhaul is indicative of the government's recognition that longstanding difficulties with mining data systems have hindered sector growth and compromised regulatory oversight. In alignment with these reformative efforts, plans are currently underway for the full launch of a new mineral rights registry database within ten months from June 2026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This forthcoming digital infrastructure is anticipated to resolve the historical opacity that characterized the 2020-2024 period, ultimately reinstating transparency and providing a reliable mechanism for tracking land transfers and ownership rights across the jurisdiction </w:t>
      </w:r>
      <w:r>
        <w:rPr>
          <w:rFonts w:hint="eastAsia" w:ascii="微软雅黑" w:hAnsi="微软雅黑" w:eastAsia="微软雅黑"/>
          <w:noProof/>
          <w:sz w:val="24"/>
          <w:vertAlign w:val="superscript"/>
        </w:rPr>
        <w:t>[63]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promising trajectory of database reforms, the current landscape regarding mining land valuation tools remains characterized by a lack of specific, up-to-date, and detailed methodological resources. Public databases are theoretically meant to support accurate valuations of mining land using empirical insights; however, contemporary analyses indicate that much of the available valuation information is either outdated or overly generalized. For instance, broader industry assessments, such as the PwC report on strategic industry trends for 2026, emphasize high-level themes including policy engagement, resource productivity, and capital allocation, but they do not provide detailed methodologies or localized valuation tools specific to South African mining land </w:t>
      </w:r>
      <w:r>
        <w:rPr>
          <w:rFonts w:hint="eastAsia" w:ascii="微软雅黑" w:hAnsi="微软雅黑" w:eastAsia="微软雅黑"/>
          <w:noProof/>
          <w:sz w:val="24"/>
          <w:vertAlign w:val="superscript"/>
        </w:rPr>
        <w:t>[67]</w:t>
      </w:r>
      <w:r>
        <w:rPr>
          <w:rFonts w:hint="eastAsia" w:ascii="微软雅黑" w:hAnsi="微软雅黑" w:eastAsia="微软雅黑"/>
          <w:noProof/>
          <w:sz w:val="24"/>
        </w:rPr>
        <w:t xml:space="preserve">. Similarly, recent evaluations of industry-wide financial and operational challenges highlight market fluctuations and funding constraints without extending into the granular technologies relevant to land valuation </w:t>
      </w:r>
      <w:r>
        <w:rPr>
          <w:rFonts w:hint="eastAsia" w:ascii="微软雅黑" w:hAnsi="微软雅黑" w:eastAsia="微软雅黑"/>
          <w:noProof/>
          <w:sz w:val="24"/>
          <w:vertAlign w:val="superscript"/>
        </w:rPr>
        <w:t>[68]</w:t>
      </w:r>
      <w:r>
        <w:rPr>
          <w:rFonts w:hint="eastAsia" w:ascii="微软雅黑" w:hAnsi="微软雅黑" w:eastAsia="微软雅黑"/>
          <w:noProof/>
          <w:sz w:val="24"/>
        </w:rPr>
        <w:t xml:space="preserve">. The complexities of valuing non-producing mineral properties, particularly within arbitration contexts, further underscore the necessity for robust data. Critical considerations such as geological potential, economic feasibility, and regulatory factors require precise historical and contemporary data to formulate accurate appraisals </w:t>
      </w:r>
      <w:r>
        <w:rPr>
          <w:rFonts w:hint="eastAsia" w:ascii="微软雅黑" w:hAnsi="微软雅黑" w:eastAsia="微软雅黑"/>
          <w:noProof/>
          <w:sz w:val="24"/>
          <w:vertAlign w:val="superscript"/>
        </w:rPr>
        <w:t>[70]</w:t>
      </w:r>
      <w:r>
        <w:rPr>
          <w:rFonts w:hint="eastAsia" w:ascii="微软雅黑" w:hAnsi="微软雅黑" w:eastAsia="微软雅黑"/>
          <w:noProof/>
          <w:sz w:val="24"/>
        </w:rPr>
        <w:t xml:space="preserve">. Yet, the absence of localized, temporally relevant valuation tools limits the ability of stakeholders to perform these assessments with optimal accuracy, reinforcing the critical need for the newly proposed registry databases to incorporate advanced valuation support mechanisms.</w:t>
      </w:r>
    </w:p>
    <w:p>
      <w:pPr>
        <w:spacing w:line="288" w:lineRule="auto"/>
        <w:ind w:firstLine="480" w:firstLineChars="200"/>
        <w:jc w:val="both"/>
      </w:pPr>
      <w:r>
        <w:rPr>
          <w:rFonts w:hint="eastAsia" w:ascii="微软雅黑" w:hAnsi="微软雅黑" w:eastAsia="微软雅黑"/>
          <w:noProof/>
          <w:sz w:val="24"/>
        </w:rPr>
        <w:t xml:space="preserve">The provision of historical data is another fundamental role of public mining databases, essential for informing industry decisions and ensuring environmental accountability. The historical tracking of land usage, transfers, and closures is vital for managing the long-term ecological and socioeconomic impacts of mining activities. Recent environmental research has highlighted the significant impact of mining-induced deforestation across sub-Saharan Africa, utilizing large datasets to quantify the land footprint of mining concessions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Although specific documentation regarding South Africa's mining land databases between 2020 and 2024 is limited, these methodological conclusions provide a broader framework for understanding the critical importance of historical land use data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Furthermore, systemic land management failures have been vividly illustrated by the challenges surrounding abandoned coal mines that ceased operations between 2006 and 2023 </w:t>
      </w:r>
      <w:r>
        <w:rPr>
          <w:rFonts w:hint="eastAsia" w:ascii="微软雅黑" w:hAnsi="微软雅黑" w:eastAsia="微软雅黑"/>
          <w:noProof/>
          <w:sz w:val="24"/>
          <w:vertAlign w:val="superscript"/>
        </w:rPr>
        <w:t>[58]</w:t>
      </w:r>
      <w:r>
        <w:rPr>
          <w:rFonts w:hint="eastAsia" w:ascii="微软雅黑" w:hAnsi="微软雅黑" w:eastAsia="微软雅黑"/>
          <w:noProof/>
          <w:sz w:val="24"/>
        </w:rPr>
        <w:t xml:space="preserve">. Many of these closures occurred without the allocation of mandatory rehabilitation funds, signaling persistent regulatory and record-keeping issues throughout the years leading up to the queried period </w:t>
      </w:r>
      <w:r>
        <w:rPr>
          <w:rFonts w:hint="eastAsia" w:ascii="微软雅黑" w:hAnsi="微软雅黑" w:eastAsia="微软雅黑"/>
          <w:noProof/>
          <w:sz w:val="24"/>
          <w:vertAlign w:val="superscript"/>
        </w:rPr>
        <w:t>[58]</w:t>
      </w:r>
      <w:r>
        <w:rPr>
          <w:rFonts w:hint="eastAsia" w:ascii="微软雅黑" w:hAnsi="微软雅黑" w:eastAsia="微软雅黑"/>
          <w:noProof/>
          <w:sz w:val="24"/>
        </w:rPr>
        <w:t xml:space="preserve">. These systemic failures likely influenced the databases responsible for recording mine closures, land rehabilitation efforts, and environmental impacts, demonstrating the urgent need for comprehensive historical data tracking to prevent future ecological liabilities </w:t>
      </w:r>
      <w:r>
        <w:rPr>
          <w:rFonts w:hint="eastAsia" w:ascii="微软雅黑" w:hAnsi="微软雅黑" w:eastAsia="微软雅黑"/>
          <w:noProof/>
          <w:sz w:val="24"/>
          <w:vertAlign w:val="superscript"/>
        </w:rPr>
        <w:t>[58]</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As the South African mining sector navigates this transitional phase, industry stakeholders are increasingly focusing on collaborative platforms to shape future frameworks. Networking events and industry conferences, such as the Mining Indaba, serve as critical venues for discussing the future trajectory of the sector, even if they do not provide direct historical database access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These platforms facilitate dialogue among policymakers, investors, and operational leaders regarding the implementation of the new digital registries and the establishment of more rigorous environmental and valuation standards for 2026 and beyond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The global economic context, including inflation and cost factors shaping the broader mining landscape, also plays a role in influencing these localized reforms, albeit indirectly </w:t>
      </w:r>
      <w:r>
        <w:rPr>
          <w:rFonts w:hint="eastAsia" w:ascii="微软雅黑" w:hAnsi="微软雅黑" w:eastAsia="微软雅黑"/>
          <w:noProof/>
          <w:sz w:val="24"/>
          <w:vertAlign w:val="superscript"/>
        </w:rPr>
        <w:t>[69]</w:t>
      </w:r>
      <w:r>
        <w:rPr>
          <w:rFonts w:hint="eastAsia" w:ascii="微软雅黑" w:hAnsi="微软雅黑" w:eastAsia="微软雅黑"/>
          <w:noProof/>
          <w:sz w:val="24"/>
        </w:rPr>
        <w:t xml:space="preserve">. As South Africa targets the operationalization of its new mineral rights registry, the integration of transparent tracking mechanisms, robust valuation support tools, and comprehensive historical data repositories will be paramount. The successful deployment of these public databases will not only rectify the historical data gaps observed between 2020 and 2024 but also establish a resilient, transparent, and economically viable foundation for the future of South African mining land and rights management.</w:t>
      </w:r>
    </w:p>
    <w:p>
      <w:pPr>
        <w:spacing w:line="360" w:lineRule="auto"/>
        <w:ind/>
      </w:pPr>
      <w:r>
        <w:rPr>
          <w:rFonts w:hint="eastAsia"/>
          <w:b/>
          <w:noProof/>
          <w:sz w:val="22"/>
        </w:rPr>
        <w:t xml:space="preserve">Features of Public Databases Tracking Mining Land Transfers and Valuations in South Africa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Feature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Description and Role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Transparency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Ensures transparency in tracking mining land transfers across 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Valuation Support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Supports accurate valuations of mining land using public database insights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Historical Data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Offers historical transfer data to inform and guide industry decisions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Key Risks for Mining Land Held as Property Assets</w:t>
      </w:r>
    </w:p>
    <w:p>
      <w:pPr>
        <w:spacing w:line="288" w:lineRule="auto"/>
        <w:ind w:firstLine="480" w:firstLineChars="200"/>
        <w:jc w:val="both"/>
      </w:pPr>
      <w:r>
        <w:rPr>
          <w:rFonts w:hint="eastAsia" w:ascii="微软雅黑" w:hAnsi="微软雅黑" w:eastAsia="微软雅黑"/>
          <w:noProof/>
          <w:sz w:val="24"/>
        </w:rPr>
        <w:t xml:space="preserve">The management of mining land as property assets in South Africa presents a complex array of challenges, heavily influenced by a confluence of environmental, regulatory, and market-driven risks. As of mid-2026, the South African mining sector continues to grapple with substantial land-related risks that complicate asset management strategies and threaten the long-term viability of property investments. Holding mining land as a property asset requires a comprehensive understanding of the overlapping liabilities that can significantly degrade land value and impose severe financial burdens on property owners and operators. The primary risk categories impacting asset management strategies include environmental liabilities, regulatory compliance costs, and market fluctuations, each of which demands rigorous oversight and strategic mitigation efforts. </w:t>
      </w:r>
    </w:p>
    <w:p>
      <w:pPr>
        <w:spacing w:line="288" w:lineRule="auto"/>
        <w:ind w:firstLine="480" w:firstLineChars="200"/>
        <w:jc w:val="both"/>
      </w:pPr>
      <w:r>
        <w:rPr>
          <w:rFonts w:hint="eastAsia" w:ascii="微软雅黑" w:hAnsi="微软雅黑" w:eastAsia="微软雅黑"/>
          <w:noProof/>
          <w:sz w:val="24"/>
        </w:rPr>
        <w:t xml:space="preserve">Environmental liabilities represent one of the most critical risks associated with holding mining land as a property asset. The impact on asset management strategy is profound, encompassing significant costs and responsibilities related to environmental rehabilitation and damage mitigation. South Africa is currently navigating a challenging transition away from coal-fired energy production, a shift that has been significantly hindered by the extensive legacy of abandoned mines. Recent reports highlight that the abandonment of coal mines has left over 6,100 identified disused sites across the country, creating sprawling environmental hazards </w:t>
      </w:r>
      <w:r>
        <w:rPr>
          <w:rFonts w:hint="eastAsia" w:ascii="微软雅黑" w:hAnsi="微软雅黑" w:eastAsia="微软雅黑"/>
          <w:noProof/>
          <w:sz w:val="24"/>
          <w:vertAlign w:val="superscript"/>
        </w:rPr>
        <w:t>[64]</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These legacy sites are a major source of environmental degradation, characterized by contaminated water supplies, radioactive waste, and severely polluted landscapes that pose immediate and long-term risks to surrounding ecosystems and communities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Furthermore, these abandoned properties frequently devolve into illegal dumping grounds, exacerbating the long-term environmental damage and complicating equitable socio-economic transitions . The direct impacts of mining are also compounded by extensive indirect environmental damage. Studies reveal that for every hectare of direct mining activity, an average of 34 hectares of offsite deforestation occurs, which magnifies the risks to land stability and broader forest ecosystems in South Africa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Additionally, the surge in illegal mining activities has severely strained the industry's ability to maintain secure operations, further amplifying land degradation in affected areas </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Industry leaders convened in June 2026 for the 5th Annual Mine Security Conference to address these widespread threats, underscoring the urgent need to secure mining properties against illicit activities that rapidly depreciate asset values and escalate rehabilitation costs . </w:t>
      </w:r>
    </w:p>
    <w:p>
      <w:pPr>
        <w:spacing w:line="288" w:lineRule="auto"/>
        <w:ind w:firstLine="480" w:firstLineChars="200"/>
        <w:jc w:val="both"/>
      </w:pPr>
      <w:r>
        <w:rPr>
          <w:rFonts w:hint="eastAsia" w:ascii="微软雅黑" w:hAnsi="微软雅黑" w:eastAsia="微软雅黑"/>
          <w:noProof/>
          <w:sz w:val="24"/>
        </w:rPr>
        <w:t xml:space="preserve">Regulatory compliance costs introduce another substantial layer of risk for property asset managers. The impact of these costs on asset management strategy involves heavy financial burdens associated with adhering to stringent mining laws and evolving government regulations. South African environmental and mining legislation is anchored in the "cradle to grave" principle, which was notably reaffirmed in a 2019 court ruling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This principle mandates that mining companies and landholders bear full environmental responsibility for their operations from the initial commencement of activities through to post-closure and final rehabilitation . Consequently, the legal obligations tied to mining land are perpetual and require continuous financial provisioning. Efforts to combat environmental liabilities are further enforced by the "polluter pays" principle, legally requiring mining companies to allocate substantial funds for the remediation of any environmental damage caused by their operations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However, the practical application and enforcement of these frameworks remain inadequate to handle the sheer scale of the historical and ongoing environmental crises </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Asset managers also face significant administrative inefficiencies that complicate compliance and deter investment. For instance, the launch of a new mineral rights database, initially promised in 2024, has been riddled with bureaucratic setbacks, creating regulatory uncertainty and complicating land management processes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These administrative barriers hinder effective remediation and contribute to the accumulation of liabilities, as peer-reviewed studies highlight ongoing shortcomings in the environmental management practices of mining entities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The financial burden of maintaining compliance amidst such bureaucratic inertia requires asset managers to allocate disproportionate resources toward legal and administrative navigation, detracting from operational investments.</w:t>
      </w:r>
    </w:p>
    <w:p>
      <w:pPr>
        <w:spacing w:line="288" w:lineRule="auto"/>
        <w:ind w:firstLine="480" w:firstLineChars="200"/>
        <w:jc w:val="both"/>
      </w:pPr>
      <w:r>
        <w:rPr>
          <w:rFonts w:hint="eastAsia" w:ascii="微软雅黑" w:hAnsi="微软雅黑" w:eastAsia="微软雅黑"/>
          <w:noProof/>
          <w:sz w:val="24"/>
        </w:rPr>
        <w:t xml:space="preserve">Market fluctuations constitute the third major risk category, fundamentally affecting the strategic valuation and holding of mining land. The impact on asset management strategy is characterized by a high vulnerability to changes in global commodity prices and shifts in market demand, which directly affect overall asset valuation. While specific land risks are often viewed through an environmental or regulatory lens, the underlying economic viability of the property is inextricably linked to global market dynamics. Economic concerns persist within the sector, with prominent stakeholders warning that South Africa's mining industry is at risk of missing lucrative opportunities presented by the global critical minerals boom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This potential missed opportunity is largely attributed to restrictive policy constraints and severe infrastructure challenges that limit the sector's agility and responsiveness to international demand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When commodity prices fall or market demand shifts away from the specific minerals located on a property, the intrinsic value of the mining land depreciates. This vulnerability forces asset managers to adopt highly adaptive financial models that can absorb periods of low profitability without compromising mandatory environmental and regulatory funding requirements. The inability to capitalize on emerging market booms due to systemic infrastructural and policy-related bottlenecks further diminishes the attractiveness of holding mining land as a long-term property asset.</w:t>
      </w:r>
    </w:p>
    <w:p>
      <w:pPr>
        <w:spacing w:line="288" w:lineRule="auto"/>
        <w:ind w:firstLine="480" w:firstLineChars="200"/>
        <w:jc w:val="both"/>
      </w:pPr>
      <w:r>
        <w:rPr>
          <w:rFonts w:hint="eastAsia" w:ascii="微软雅黑" w:hAnsi="微软雅黑" w:eastAsia="微软雅黑"/>
          <w:noProof/>
          <w:sz w:val="24"/>
        </w:rPr>
        <w:t xml:space="preserve">Synthesizing the current landscape, the management of mining land in South Africa is beset by a multitude of compounding challenges. The enduring impact of historic mining practices, coupled with slow policy reforms, underscores the significant hurdles the nation faces in stabilizing its mining sector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Resolving these overlapping liabilities requires robust policies, stringent enforcement mechanisms, and significant financial and technical interventions </w:t>
      </w:r>
      <w:r>
        <w:rPr>
          <w:rFonts w:hint="eastAsia" w:ascii="微软雅黑" w:hAnsi="微软雅黑" w:eastAsia="微软雅黑"/>
          <w:noProof/>
          <w:sz w:val="24"/>
          <w:vertAlign w:val="superscript"/>
        </w:rPr>
        <w:t>[64]</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As the government continues its energy transition, prioritizing strategies to rehabilitate abandoned mines and mitigate long-standing environmental risks is absolutely critical to avoiding further harm to communities, ecosystems, and land values. For property asset managers, these efforts must balance immediate remediation needs with proactive, forward-looking policies designed to prevent future liabilities. Ensuring sustainable land use and environmental restoration across the country demands an integrated asset management strategy that rigorously accounts for environmental degradation, navigates complex regulatory compliance costs, and remains resilient in the face of unpredictable market fluctuations. Failure to adequately provision for these key risks can result in stranded assets, insurmountable financial liabilities, and severe reputational damage within the broader industrial property market.</w:t>
      </w:r>
    </w:p>
    <w:p>
      <w:pPr>
        <w:spacing w:line="360" w:lineRule="auto"/>
        <w:ind/>
      </w:pPr>
      <w:r>
        <w:rPr>
          <w:rFonts w:hint="eastAsia"/>
          <w:b/>
          <w:noProof/>
          <w:sz w:val="22"/>
        </w:rPr>
        <w:t xml:space="preserve">Risk Analysis of Mining Land Asset Management Table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Risk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Asset Management Strategy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Environmental Liabilities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Significant costs and responsibilities related to environmental rehabilitation and damage mitigation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Compliance Costs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Financial burdens associated with adhering to stringent mining laws and government regulations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Fluctuations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Vulnerability to changes in commodity prices and market demand affecting overall asset valuation</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SA listed property: Resilient and poised for long ... - Investment Focus </w:t>
      </w:r>
      <w:r>
        <w:rPr>
          <w:rFonts w:hint="eastAsia" w:ascii="微软雅黑" w:hAnsi="微软雅黑" w:eastAsia="微软雅黑"/>
          <w:noProof/>
          <w:sz w:val="24"/>
        </w:rPr>
        <w:t>https://www.mandg.co.za/insights/articles/investment-focus-sa-listed-property-resilient-and-poised-for-long-term-growth</w:t>
      </w:r>
    </w:p>
    <w:p>
      <w:pPr>
        <w:spacing w:line="288" w:lineRule="auto"/>
        <w:ind w:firstLine="480" w:firstLineChars="200"/>
        <w:jc w:val="both"/>
      </w:pPr>
      <w:r>
        <w:rPr>
          <w:rFonts w:hint="eastAsia" w:ascii="微软雅黑" w:hAnsi="微软雅黑" w:eastAsia="微软雅黑"/>
          <w:noProof/>
          <w:sz w:val="24"/>
        </w:rPr>
        <w:t xml:space="preserve">[2] South Africa investment report 2025 /2026 - JLL </w:t>
      </w:r>
      <w:r>
        <w:rPr>
          <w:rFonts w:hint="eastAsia" w:ascii="微软雅黑" w:hAnsi="微软雅黑" w:eastAsia="微软雅黑"/>
          <w:noProof/>
          <w:sz w:val="24"/>
        </w:rPr>
        <w:t>https://www.jll.com/en-us/insights/south-africa-investment-report</w:t>
      </w:r>
    </w:p>
    <w:p>
      <w:pPr>
        <w:spacing w:line="288" w:lineRule="auto"/>
        <w:ind w:firstLine="480" w:firstLineChars="200"/>
        <w:jc w:val="both"/>
      </w:pPr>
      <w:r>
        <w:rPr>
          <w:rFonts w:hint="eastAsia" w:ascii="微软雅黑" w:hAnsi="微软雅黑" w:eastAsia="微软雅黑"/>
          <w:noProof/>
          <w:sz w:val="24"/>
        </w:rPr>
        <w:t xml:space="preserve">[3] Property investment South Africa 2026: A really good time to buy </w:t>
      </w:r>
      <w:r>
        <w:rPr>
          <w:rFonts w:hint="eastAsia" w:ascii="微软雅黑" w:hAnsi="微软雅黑" w:eastAsia="微软雅黑"/>
          <w:noProof/>
          <w:sz w:val="24"/>
        </w:rPr>
        <w:t>https://www.ooba.co.za/resources/property-market-south-africa/</w:t>
      </w:r>
    </w:p>
    <w:p>
      <w:pPr>
        <w:spacing w:line="288" w:lineRule="auto"/>
        <w:ind w:firstLine="480" w:firstLineChars="200"/>
        <w:jc w:val="both"/>
      </w:pPr>
      <w:r>
        <w:rPr>
          <w:rFonts w:hint="eastAsia" w:ascii="微软雅黑" w:hAnsi="微软雅黑" w:eastAsia="微软雅黑"/>
          <w:noProof/>
          <w:sz w:val="24"/>
        </w:rPr>
        <w:t xml:space="preserve">[4] Commercial Real Estate Trends South Africa Should Watch in 2026 </w:t>
      </w:r>
      <w:r>
        <w:rPr>
          <w:rFonts w:hint="eastAsia" w:ascii="微软雅黑" w:hAnsi="微软雅黑" w:eastAsia="微软雅黑"/>
          <w:noProof/>
          <w:sz w:val="24"/>
        </w:rPr>
        <w:t>https://www.linkedin.com/pulse/commercial-real-estate-trends-south-africa-should-watch-2026-pdcpe</w:t>
      </w:r>
    </w:p>
    <w:p>
      <w:pPr>
        <w:spacing w:line="288" w:lineRule="auto"/>
        <w:ind w:firstLine="480" w:firstLineChars="200"/>
        <w:jc w:val="both"/>
      </w:pPr>
      <w:r>
        <w:rPr>
          <w:rFonts w:hint="eastAsia" w:ascii="微软雅黑" w:hAnsi="微软雅黑" w:eastAsia="微软雅黑"/>
          <w:noProof/>
          <w:sz w:val="24"/>
        </w:rPr>
        <w:t xml:space="preserve">[5] Research | Knight Frank </w:t>
      </w:r>
      <w:r>
        <w:rPr>
          <w:rFonts w:hint="eastAsia" w:ascii="微软雅黑" w:hAnsi="微软雅黑" w:eastAsia="微软雅黑"/>
          <w:noProof/>
          <w:sz w:val="24"/>
        </w:rPr>
        <w:t>https://www.knightfrank.com/research</w:t>
      </w:r>
    </w:p>
    <w:p>
      <w:pPr>
        <w:spacing w:line="288" w:lineRule="auto"/>
        <w:ind w:firstLine="480" w:firstLineChars="200"/>
        <w:jc w:val="both"/>
      </w:pPr>
      <w:r>
        <w:rPr>
          <w:rFonts w:hint="eastAsia" w:ascii="微软雅黑" w:hAnsi="微软雅黑" w:eastAsia="微软雅黑"/>
          <w:noProof/>
          <w:sz w:val="24"/>
        </w:rPr>
        <w:t xml:space="preserve">[6] Texas Economic Outlook | June 2026 </w:t>
      </w:r>
      <w:r>
        <w:rPr>
          <w:rFonts w:hint="eastAsia" w:ascii="微软雅黑" w:hAnsi="微软雅黑" w:eastAsia="微软雅黑"/>
          <w:noProof/>
          <w:sz w:val="24"/>
        </w:rPr>
        <w:t>https://trerc.tamu.edu/reports/texas-economic-outlook-june-2026/</w:t>
      </w:r>
    </w:p>
    <w:p>
      <w:pPr>
        <w:spacing w:line="288" w:lineRule="auto"/>
        <w:ind w:firstLine="480" w:firstLineChars="200"/>
        <w:jc w:val="both"/>
      </w:pPr>
      <w:r>
        <w:rPr>
          <w:rFonts w:hint="eastAsia" w:ascii="微软雅黑" w:hAnsi="微软雅黑" w:eastAsia="微软雅黑"/>
          <w:noProof/>
          <w:sz w:val="24"/>
        </w:rPr>
        <w:t xml:space="preserve">[7] 2026 commercial real estate outlook | Deloitte Insights </w:t>
      </w:r>
      <w:r>
        <w:rPr>
          <w:rFonts w:hint="eastAsia" w:ascii="微软雅黑" w:hAnsi="微软雅黑" w:eastAsia="微软雅黑"/>
          <w:noProof/>
          <w:sz w:val="24"/>
        </w:rPr>
        <w:t>https://www.deloitte.com/us/en/insights/industry/financial-services/commercial-real-estate-outlook.html</w:t>
      </w:r>
    </w:p>
    <w:p>
      <w:pPr>
        <w:spacing w:line="288" w:lineRule="auto"/>
        <w:ind w:firstLine="480" w:firstLineChars="200"/>
        <w:jc w:val="both"/>
      </w:pPr>
      <w:r>
        <w:rPr>
          <w:rFonts w:hint="eastAsia" w:ascii="微软雅黑" w:hAnsi="微软雅黑" w:eastAsia="微软雅黑"/>
          <w:noProof/>
          <w:sz w:val="24"/>
        </w:rPr>
        <w:t xml:space="preserve">[8] Economic Impacts of Commercial Real Estate, 2026 U.S. Edition </w:t>
      </w:r>
      <w:r>
        <w:rPr>
          <w:rFonts w:hint="eastAsia" w:ascii="微软雅黑" w:hAnsi="微软雅黑" w:eastAsia="微软雅黑"/>
          <w:noProof/>
          <w:sz w:val="24"/>
        </w:rPr>
        <w:t>https://www.naiop.org/research-and-publications/research-reports/reports/economic-impacts-of-commercial-real-estate-2026-us-edition</w:t>
      </w:r>
    </w:p>
    <w:p>
      <w:pPr>
        <w:spacing w:line="288" w:lineRule="auto"/>
        <w:ind w:firstLine="480" w:firstLineChars="200"/>
        <w:jc w:val="both"/>
      </w:pPr>
      <w:r>
        <w:rPr>
          <w:rFonts w:hint="eastAsia" w:ascii="微软雅黑" w:hAnsi="微软雅黑" w:eastAsia="微软雅黑"/>
          <w:noProof/>
          <w:sz w:val="24"/>
        </w:rPr>
        <w:t xml:space="preserve">[9] US manufacturing growth and its impact on commercial real estate </w:t>
      </w:r>
      <w:r>
        <w:rPr>
          <w:rFonts w:hint="eastAsia" w:ascii="微软雅黑" w:hAnsi="微软雅黑" w:eastAsia="微软雅黑"/>
          <w:noProof/>
          <w:sz w:val="24"/>
        </w:rPr>
        <w:t>https://www.facebook.com/NAIMartens/posts/manufacturing-is-on-the-move-and-its-shaping-the-cre-landscape-the-june-2026-eco/1522310833128045/</w:t>
      </w:r>
    </w:p>
    <w:p>
      <w:pPr>
        <w:spacing w:line="288" w:lineRule="auto"/>
        <w:ind w:firstLine="480" w:firstLineChars="200"/>
        <w:jc w:val="both"/>
      </w:pPr>
      <w:r>
        <w:rPr>
          <w:rFonts w:hint="eastAsia" w:ascii="微软雅黑" w:hAnsi="微软雅黑" w:eastAsia="微软雅黑"/>
          <w:noProof/>
          <w:sz w:val="24"/>
        </w:rPr>
        <w:t xml:space="preserve">[10] U.S. Real Estate Market Outlook 2026 | CBRE </w:t>
      </w:r>
      <w:r>
        <w:rPr>
          <w:rFonts w:hint="eastAsia" w:ascii="微软雅黑" w:hAnsi="微软雅黑" w:eastAsia="微软雅黑"/>
          <w:noProof/>
          <w:sz w:val="24"/>
        </w:rPr>
        <w:t>https://www.cbre.com/insights/books/us-real-estate-market-outlook-2026</w:t>
      </w:r>
    </w:p>
    <w:p>
      <w:pPr>
        <w:spacing w:line="288" w:lineRule="auto"/>
        <w:ind w:firstLine="480" w:firstLineChars="200"/>
        <w:jc w:val="both"/>
      </w:pPr>
      <w:r>
        <w:rPr>
          <w:rFonts w:hint="eastAsia" w:ascii="微软雅黑" w:hAnsi="微软雅黑" w:eastAsia="微软雅黑"/>
          <w:noProof/>
          <w:sz w:val="24"/>
        </w:rPr>
        <w:t xml:space="preserve">[11] U.S. National Industrial Report June 2026 | CommercialCafe </w:t>
      </w:r>
      <w:r>
        <w:rPr>
          <w:rFonts w:hint="eastAsia" w:ascii="微软雅黑" w:hAnsi="微软雅黑" w:eastAsia="微软雅黑"/>
          <w:noProof/>
          <w:sz w:val="24"/>
        </w:rPr>
        <w:t>https://www.commercialcafe.com/blog/national-industrial-report/</w:t>
      </w:r>
    </w:p>
    <w:p>
      <w:pPr>
        <w:spacing w:line="288" w:lineRule="auto"/>
        <w:ind w:firstLine="480" w:firstLineChars="200"/>
        <w:jc w:val="both"/>
      </w:pPr>
      <w:r>
        <w:rPr>
          <w:rFonts w:hint="eastAsia" w:ascii="微软雅黑" w:hAnsi="微软雅黑" w:eastAsia="微软雅黑"/>
          <w:noProof/>
          <w:sz w:val="24"/>
        </w:rPr>
        <w:t xml:space="preserve">[12] South Africa Commercial Property Trends 2026: Industrial Real ... </w:t>
      </w:r>
      <w:r>
        <w:rPr>
          <w:rFonts w:hint="eastAsia" w:ascii="微软雅黑" w:hAnsi="微软雅黑" w:eastAsia="微软雅黑"/>
          <w:noProof/>
          <w:sz w:val="24"/>
        </w:rPr>
        <w:t>https://www.linkedin.com/posts/realestateinvestorza_five-commercial-property-trends-reshaping-activity-7416758099274891264-lL1G</w:t>
      </w:r>
    </w:p>
    <w:p>
      <w:pPr>
        <w:spacing w:line="288" w:lineRule="auto"/>
        <w:ind w:firstLine="480" w:firstLineChars="200"/>
        <w:jc w:val="both"/>
      </w:pPr>
      <w:r>
        <w:rPr>
          <w:rFonts w:hint="eastAsia" w:ascii="微软雅黑" w:hAnsi="微软雅黑" w:eastAsia="微软雅黑"/>
          <w:noProof/>
          <w:sz w:val="24"/>
        </w:rPr>
        <w:t xml:space="preserve">[13] U.S. Industrial Market Shows Renewed Momentum Heading into ... </w:t>
      </w:r>
      <w:r>
        <w:rPr>
          <w:rFonts w:hint="eastAsia" w:ascii="微软雅黑" w:hAnsi="微软雅黑" w:eastAsia="微软雅黑"/>
          <w:noProof/>
          <w:sz w:val="24"/>
        </w:rPr>
        <w:t>https://www.cushmanwakefield.com/en/united-states/news/2026/01/industrial-market-shows-renewed-momentum-heading-into-2026</w:t>
      </w:r>
    </w:p>
    <w:p>
      <w:pPr>
        <w:spacing w:line="288" w:lineRule="auto"/>
        <w:ind w:firstLine="480" w:firstLineChars="200"/>
        <w:jc w:val="both"/>
      </w:pPr>
      <w:r>
        <w:rPr>
          <w:rFonts w:hint="eastAsia" w:ascii="微软雅黑" w:hAnsi="微软雅黑" w:eastAsia="微软雅黑"/>
          <w:noProof/>
          <w:sz w:val="24"/>
        </w:rPr>
        <w:t xml:space="preserve">[14] Industrial Property in South Africa: Why It Remains the Strongest ... </w:t>
      </w:r>
      <w:r>
        <w:rPr>
          <w:rFonts w:hint="eastAsia" w:ascii="微软雅黑" w:hAnsi="微软雅黑" w:eastAsia="微软雅黑"/>
          <w:noProof/>
          <w:sz w:val="24"/>
        </w:rPr>
        <w:t>https://orionrealestate.co.za/industrial-property-in-south-africa-why-it-remains-the-strongest-commercial-sector/</w:t>
      </w:r>
    </w:p>
    <w:p>
      <w:pPr>
        <w:spacing w:line="288" w:lineRule="auto"/>
        <w:ind w:firstLine="480" w:firstLineChars="200"/>
        <w:jc w:val="both"/>
      </w:pPr>
      <w:r>
        <w:rPr>
          <w:rFonts w:hint="eastAsia" w:ascii="微软雅黑" w:hAnsi="微软雅黑" w:eastAsia="微软雅黑"/>
          <w:noProof/>
          <w:sz w:val="24"/>
        </w:rPr>
        <w:t xml:space="preserve">[15] Where to invest in property in 2026 | Real Estate Investor Magazine </w:t>
      </w:r>
      <w:r>
        <w:rPr>
          <w:rFonts w:hint="eastAsia" w:ascii="微软雅黑" w:hAnsi="微软雅黑" w:eastAsia="微软雅黑"/>
          <w:noProof/>
          <w:sz w:val="24"/>
        </w:rPr>
        <w:t>https://www.rei.co.za/blog-posts/where-to-invest-in-property-in-2026</w:t>
      </w:r>
    </w:p>
    <w:p>
      <w:pPr>
        <w:spacing w:line="288" w:lineRule="auto"/>
        <w:ind w:firstLine="480" w:firstLineChars="200"/>
        <w:jc w:val="both"/>
      </w:pPr>
      <w:r>
        <w:rPr>
          <w:rFonts w:hint="eastAsia" w:ascii="微软雅黑" w:hAnsi="微软雅黑" w:eastAsia="微软雅黑"/>
          <w:noProof/>
          <w:sz w:val="24"/>
        </w:rPr>
        <w:t xml:space="preserve">[16] South Africa Latest Rental Yields Data (2026) - The Africanvestor </w:t>
      </w:r>
      <w:r>
        <w:rPr>
          <w:rFonts w:hint="eastAsia" w:ascii="微软雅黑" w:hAnsi="微软雅黑" w:eastAsia="微软雅黑"/>
          <w:noProof/>
          <w:sz w:val="24"/>
        </w:rPr>
        <w:t>https://theafricanvestor.com/blogs/news/south-africa-rental-yields</w:t>
      </w:r>
    </w:p>
    <w:p>
      <w:pPr>
        <w:spacing w:line="288" w:lineRule="auto"/>
        <w:ind w:firstLine="480" w:firstLineChars="200"/>
        <w:jc w:val="both"/>
      </w:pPr>
      <w:r>
        <w:rPr>
          <w:rFonts w:hint="eastAsia" w:ascii="微软雅黑" w:hAnsi="微软雅黑" w:eastAsia="微软雅黑"/>
          <w:noProof/>
          <w:sz w:val="24"/>
        </w:rPr>
        <w:t xml:space="preserve">[17] NOW IS THE TIME TO REGISTER One week to go. Investment ... </w:t>
      </w:r>
      <w:r>
        <w:rPr>
          <w:rFonts w:hint="eastAsia" w:ascii="微软雅黑" w:hAnsi="微软雅黑" w:eastAsia="微软雅黑"/>
          <w:noProof/>
          <w:sz w:val="24"/>
        </w:rPr>
        <w:t>https://www.instagram.com/reel/DZvD8eoCXoU/</w:t>
      </w:r>
    </w:p>
    <w:p>
      <w:pPr>
        <w:spacing w:line="288" w:lineRule="auto"/>
        <w:ind w:firstLine="480" w:firstLineChars="200"/>
        <w:jc w:val="both"/>
      </w:pPr>
      <w:r>
        <w:rPr>
          <w:rFonts w:hint="eastAsia" w:ascii="微软雅黑" w:hAnsi="微软雅黑" w:eastAsia="微软雅黑"/>
          <w:noProof/>
          <w:sz w:val="24"/>
        </w:rPr>
        <w:t xml:space="preserve">[18] Think Global. Scale Smarter. Invest in Africa's Mining Equipment ... </w:t>
      </w:r>
      <w:r>
        <w:rPr>
          <w:rFonts w:hint="eastAsia" w:ascii="微软雅黑" w:hAnsi="微软雅黑" w:eastAsia="微软雅黑"/>
          <w:noProof/>
          <w:sz w:val="24"/>
        </w:rPr>
        <w:t>https://www.instagram.com/p/DWgB-yLk5aJ/</w:t>
      </w:r>
    </w:p>
    <w:p>
      <w:pPr>
        <w:spacing w:line="288" w:lineRule="auto"/>
        <w:ind w:firstLine="480" w:firstLineChars="200"/>
        <w:jc w:val="both"/>
      </w:pPr>
      <w:r>
        <w:rPr>
          <w:rFonts w:hint="eastAsia" w:ascii="微软雅黑" w:hAnsi="微软雅黑" w:eastAsia="微软雅黑"/>
          <w:noProof/>
          <w:sz w:val="24"/>
        </w:rPr>
        <w:t xml:space="preserve">[19] Gross rental yields in South Africa: Cape Town and 5 other cities </w:t>
      </w:r>
      <w:r>
        <w:rPr>
          <w:rFonts w:hint="eastAsia" w:ascii="微软雅黑" w:hAnsi="微软雅黑" w:eastAsia="微软雅黑"/>
          <w:noProof/>
          <w:sz w:val="24"/>
        </w:rPr>
        <w:t>https://www.globalpropertyguide.com/africa/south-africa/rental-yields</w:t>
      </w:r>
    </w:p>
    <w:p>
      <w:pPr>
        <w:spacing w:line="288" w:lineRule="auto"/>
        <w:ind w:firstLine="480" w:firstLineChars="200"/>
        <w:jc w:val="both"/>
      </w:pPr>
      <w:r>
        <w:rPr>
          <w:rFonts w:hint="eastAsia" w:ascii="微软雅黑" w:hAnsi="微软雅黑" w:eastAsia="微软雅黑"/>
          <w:noProof/>
          <w:sz w:val="24"/>
        </w:rPr>
        <w:t xml:space="preserve">[20] South African mining company lease should not be renewed </w:t>
      </w:r>
      <w:r>
        <w:rPr>
          <w:rFonts w:hint="eastAsia" w:ascii="微软雅黑" w:hAnsi="微软雅黑" w:eastAsia="微软雅黑"/>
          <w:noProof/>
          <w:sz w:val="24"/>
        </w:rPr>
        <w:t>https://www.facebook.com/groups/928755090542065/posts/27117189394605277/</w:t>
      </w:r>
    </w:p>
    <w:p>
      <w:pPr>
        <w:spacing w:line="288" w:lineRule="auto"/>
        <w:ind w:firstLine="480" w:firstLineChars="200"/>
        <w:jc w:val="both"/>
      </w:pPr>
      <w:r>
        <w:rPr>
          <w:rFonts w:hint="eastAsia" w:ascii="微软雅黑" w:hAnsi="微软雅黑" w:eastAsia="微软雅黑"/>
          <w:noProof/>
          <w:sz w:val="24"/>
        </w:rPr>
        <w:t xml:space="preserve">[21] Vukile Property Fund | REIT South Africa </w:t>
      </w:r>
      <w:r>
        <w:rPr>
          <w:rFonts w:hint="eastAsia" w:ascii="微软雅黑" w:hAnsi="微软雅黑" w:eastAsia="微软雅黑"/>
          <w:noProof/>
          <w:sz w:val="24"/>
        </w:rPr>
        <w:t>https://www.vukile.co.za/</w:t>
      </w:r>
    </w:p>
    <w:p>
      <w:pPr>
        <w:spacing w:line="288" w:lineRule="auto"/>
        <w:ind w:firstLine="480" w:firstLineChars="200"/>
        <w:jc w:val="both"/>
      </w:pPr>
      <w:r>
        <w:rPr>
          <w:rFonts w:hint="eastAsia" w:ascii="微软雅黑" w:hAnsi="微软雅黑" w:eastAsia="微软雅黑"/>
          <w:noProof/>
          <w:sz w:val="24"/>
        </w:rPr>
        <w:t xml:space="preserve">[22] Why REITs and Real Estate Are Poised for a Blockbuster 2026 </w:t>
      </w:r>
      <w:r>
        <w:rPr>
          <w:rFonts w:hint="eastAsia" w:ascii="微软雅黑" w:hAnsi="微软雅黑" w:eastAsia="微软雅黑"/>
          <w:noProof/>
          <w:sz w:val="24"/>
        </w:rPr>
        <w:t>https://curriegroup.co.za/why-reits-and-real-estate-are-poised-for-a-blockbuster-2026/</w:t>
      </w:r>
    </w:p>
    <w:p>
      <w:pPr>
        <w:spacing w:line="288" w:lineRule="auto"/>
        <w:ind w:firstLine="480" w:firstLineChars="200"/>
        <w:jc w:val="both"/>
      </w:pPr>
      <w:r>
        <w:rPr>
          <w:rFonts w:hint="eastAsia" w:ascii="微软雅黑" w:hAnsi="微软雅黑" w:eastAsia="微软雅黑"/>
          <w:noProof/>
          <w:sz w:val="24"/>
        </w:rPr>
        <w:t xml:space="preserve">[23] Growthpoint has disposed of eight properties, collectively valued at ... </w:t>
      </w:r>
      <w:r>
        <w:rPr>
          <w:rFonts w:hint="eastAsia" w:ascii="微软雅黑" w:hAnsi="微软雅黑" w:eastAsia="微软雅黑"/>
          <w:noProof/>
          <w:sz w:val="24"/>
        </w:rPr>
        <w:t>https://www.facebook.com/BreakTheSilenceAboutSouthAfrica/posts/growthpoint-has-disposed-of-eight-properties-collectively-valued-at-r29-billion-/1428437859309889/</w:t>
      </w:r>
    </w:p>
    <w:p>
      <w:pPr>
        <w:spacing w:line="288" w:lineRule="auto"/>
        <w:ind w:firstLine="480" w:firstLineChars="200"/>
        <w:jc w:val="both"/>
      </w:pPr>
      <w:r>
        <w:rPr>
          <w:rFonts w:hint="eastAsia" w:ascii="微软雅黑" w:hAnsi="微软雅黑" w:eastAsia="微软雅黑"/>
          <w:noProof/>
          <w:sz w:val="24"/>
        </w:rPr>
        <w:t xml:space="preserve">[25] Moshoeshoe Property Fund and Investment is a ... - Instagram </w:t>
      </w:r>
      <w:r>
        <w:rPr>
          <w:rFonts w:hint="eastAsia" w:ascii="微软雅黑" w:hAnsi="微软雅黑" w:eastAsia="微软雅黑"/>
          <w:noProof/>
          <w:sz w:val="24"/>
        </w:rPr>
        <w:t>https://www.instagram.com/p/DTxgvIBjSRl/</w:t>
      </w:r>
    </w:p>
    <w:p>
      <w:pPr>
        <w:spacing w:line="288" w:lineRule="auto"/>
        <w:ind w:firstLine="480" w:firstLineChars="200"/>
        <w:jc w:val="both"/>
      </w:pPr>
      <w:r>
        <w:rPr>
          <w:rFonts w:hint="eastAsia" w:ascii="微软雅黑" w:hAnsi="微软雅黑" w:eastAsia="微软雅黑"/>
          <w:noProof/>
          <w:sz w:val="24"/>
        </w:rPr>
        <w:t xml:space="preserve">[26] Ten major mining tech trends in 2026: Part 1 - Mines and Money </w:t>
      </w:r>
      <w:r>
        <w:rPr>
          <w:rFonts w:hint="eastAsia" w:ascii="微软雅黑" w:hAnsi="微软雅黑" w:eastAsia="微软雅黑"/>
          <w:noProof/>
          <w:sz w:val="24"/>
        </w:rPr>
        <w:t>https://minesandmoney.com/news/industry/ten-major-mining-tech-trends-in-2026-part-1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[27] Where Mining's Future Takes Shape | MINEXCHANGE 2026 Recap ... </w:t>
      </w:r>
      <w:r>
        <w:rPr>
          <w:rFonts w:hint="eastAsia" w:ascii="微软雅黑" w:hAnsi="微软雅黑" w:eastAsia="微软雅黑"/>
          <w:noProof/>
          <w:sz w:val="24"/>
        </w:rPr>
        <w:t>https://www.instagram.com/reel/DW8ZRYukstL/</w:t>
      </w:r>
    </w:p>
    <w:p>
      <w:pPr>
        <w:spacing w:line="288" w:lineRule="auto"/>
        <w:ind w:firstLine="480" w:firstLineChars="200"/>
        <w:jc w:val="both"/>
      </w:pPr>
      <w:r>
        <w:rPr>
          <w:rFonts w:hint="eastAsia" w:ascii="微软雅黑" w:hAnsi="微软雅黑" w:eastAsia="微软雅黑"/>
          <w:noProof/>
          <w:sz w:val="24"/>
        </w:rPr>
        <w:t xml:space="preserve">[28] Five ways AI will transform mining in 2026 | Global Mining Review </w:t>
      </w:r>
      <w:r>
        <w:rPr>
          <w:rFonts w:hint="eastAsia" w:ascii="微软雅黑" w:hAnsi="微软雅黑" w:eastAsia="微软雅黑"/>
          <w:noProof/>
          <w:sz w:val="24"/>
        </w:rPr>
        <w:t>https://www.globalminingreview.com/mining/19112025/five-ways-ai-will-transform-mining-in-2026/</w:t>
      </w:r>
    </w:p>
    <w:p>
      <w:pPr>
        <w:spacing w:line="288" w:lineRule="auto"/>
        <w:ind w:firstLine="480" w:firstLineChars="200"/>
        <w:jc w:val="both"/>
      </w:pPr>
      <w:r>
        <w:rPr>
          <w:rFonts w:hint="eastAsia" w:ascii="微软雅黑" w:hAnsi="微软雅黑" w:eastAsia="微软雅黑"/>
          <w:noProof/>
          <w:sz w:val="24"/>
        </w:rPr>
        <w:t xml:space="preserve">[29] 2026 Digitalization &amp; AI in Mining North America Conference - Swoogo </w:t>
      </w:r>
      <w:r>
        <w:rPr>
          <w:rFonts w:hint="eastAsia" w:ascii="微软雅黑" w:hAnsi="微软雅黑" w:eastAsia="微软雅黑"/>
          <w:noProof/>
          <w:sz w:val="24"/>
        </w:rPr>
        <w:t>https://mininginnovationnetwork.swoogo.com/dmna26</w:t>
      </w:r>
    </w:p>
    <w:p>
      <w:pPr>
        <w:spacing w:line="288" w:lineRule="auto"/>
        <w:ind w:firstLine="480" w:firstLineChars="200"/>
        <w:jc w:val="both"/>
      </w:pPr>
      <w:r>
        <w:rPr>
          <w:rFonts w:hint="eastAsia" w:ascii="微软雅黑" w:hAnsi="微软雅黑" w:eastAsia="微软雅黑"/>
          <w:noProof/>
          <w:sz w:val="24"/>
        </w:rPr>
        <w:t xml:space="preserve">[30] 2026 Mining Trends: Strategic Minerals and Smart Operations </w:t>
      </w:r>
      <w:r>
        <w:rPr>
          <w:rFonts w:hint="eastAsia" w:ascii="微软雅黑" w:hAnsi="微软雅黑" w:eastAsia="微软雅黑"/>
          <w:noProof/>
          <w:sz w:val="24"/>
        </w:rPr>
        <w:t>https://www.azomining.com/Article.aspx?ArticleID=1954</w:t>
      </w:r>
    </w:p>
    <w:p>
      <w:pPr>
        <w:spacing w:line="288" w:lineRule="auto"/>
        <w:ind w:firstLine="480" w:firstLineChars="200"/>
        <w:jc w:val="both"/>
      </w:pPr>
      <w:r>
        <w:rPr>
          <w:rFonts w:hint="eastAsia" w:ascii="微软雅黑" w:hAnsi="微软雅黑" w:eastAsia="微软雅黑"/>
          <w:noProof/>
          <w:sz w:val="24"/>
        </w:rPr>
        <w:t xml:space="preserve">[33] Recently published | Statistics South Africa </w:t>
      </w:r>
      <w:r>
        <w:rPr>
          <w:rFonts w:hint="eastAsia" w:ascii="微软雅黑" w:hAnsi="微软雅黑" w:eastAsia="微软雅黑"/>
          <w:noProof/>
          <w:sz w:val="24"/>
        </w:rPr>
        <w:t>https://www.statssa.gov.za/?page_id=1879</w:t>
      </w:r>
    </w:p>
    <w:p>
      <w:pPr>
        <w:spacing w:line="288" w:lineRule="auto"/>
        <w:ind w:firstLine="480" w:firstLineChars="200"/>
        <w:jc w:val="both"/>
      </w:pPr>
      <w:r>
        <w:rPr>
          <w:rFonts w:hint="eastAsia" w:ascii="微软雅黑" w:hAnsi="微软雅黑" w:eastAsia="微软雅黑"/>
          <w:noProof/>
          <w:sz w:val="24"/>
        </w:rPr>
        <w:t xml:space="preserve">[34] The Big Squeeze: South Africa's Industrial Property Shortage (2026 ... </w:t>
      </w:r>
      <w:r>
        <w:rPr>
          <w:rFonts w:hint="eastAsia" w:ascii="微软雅黑" w:hAnsi="微软雅黑" w:eastAsia="微软雅黑"/>
          <w:noProof/>
          <w:sz w:val="24"/>
        </w:rPr>
        <w:t>https://www.linkedin.com/pulse/big-squeeze-south-africas-industrial-property-shortage-craig-cooper-fldff</w:t>
      </w:r>
    </w:p>
    <w:p>
      <w:pPr>
        <w:spacing w:line="288" w:lineRule="auto"/>
        <w:ind w:firstLine="480" w:firstLineChars="200"/>
        <w:jc w:val="both"/>
      </w:pPr>
      <w:r>
        <w:rPr>
          <w:rFonts w:hint="eastAsia" w:ascii="微软雅黑" w:hAnsi="微软雅黑" w:eastAsia="微软雅黑"/>
          <w:noProof/>
          <w:sz w:val="24"/>
        </w:rPr>
        <w:t xml:space="preserve">[35] Industrial Property Valuations Guide for South Africa - DDP </w:t>
      </w:r>
      <w:r>
        <w:rPr>
          <w:rFonts w:hint="eastAsia" w:ascii="微软雅黑" w:hAnsi="微软雅黑" w:eastAsia="微软雅黑"/>
          <w:noProof/>
          <w:sz w:val="24"/>
        </w:rPr>
        <w:t>https://ddp.co.za/blog/industrial-property-valuations-guide-for-south-africa/</w:t>
      </w:r>
    </w:p>
    <w:p>
      <w:pPr>
        <w:spacing w:line="288" w:lineRule="auto"/>
        <w:ind w:firstLine="480" w:firstLineChars="200"/>
        <w:jc w:val="both"/>
      </w:pPr>
      <w:r>
        <w:rPr>
          <w:rFonts w:hint="eastAsia" w:ascii="微软雅黑" w:hAnsi="微软雅黑" w:eastAsia="微软雅黑"/>
          <w:noProof/>
          <w:sz w:val="24"/>
        </w:rPr>
        <w:t xml:space="preserve">[36] US Commercial Real Estate Transaction Analysis – Q1 2026 </w:t>
      </w:r>
      <w:r>
        <w:rPr>
          <w:rFonts w:hint="eastAsia" w:ascii="微软雅黑" w:hAnsi="微软雅黑" w:eastAsia="微软雅黑"/>
          <w:noProof/>
          <w:sz w:val="24"/>
        </w:rPr>
        <w:t>https://www.altusgroup.com/insights/us-commercial-real-estate-transaction-analysis-q1-2026/</w:t>
      </w:r>
    </w:p>
    <w:p>
      <w:pPr>
        <w:spacing w:line="288" w:lineRule="auto"/>
        <w:ind w:firstLine="480" w:firstLineChars="200"/>
        <w:jc w:val="both"/>
      </w:pPr>
      <w:r>
        <w:rPr>
          <w:rFonts w:hint="eastAsia" w:ascii="微软雅黑" w:hAnsi="微软雅黑" w:eastAsia="微软雅黑"/>
          <w:noProof/>
          <w:sz w:val="24"/>
        </w:rPr>
        <w:t xml:space="preserve">[38] CRE Transactions and Industry Data - SIOR </w:t>
      </w:r>
      <w:r>
        <w:rPr>
          <w:rFonts w:hint="eastAsia" w:ascii="微软雅黑" w:hAnsi="微软雅黑" w:eastAsia="微软雅黑"/>
          <w:noProof/>
          <w:sz w:val="24"/>
        </w:rPr>
        <w:t>https://www.sior.com/transactions-and-data/transactions</w:t>
      </w:r>
    </w:p>
    <w:p>
      <w:pPr>
        <w:spacing w:line="288" w:lineRule="auto"/>
        <w:ind w:firstLine="480" w:firstLineChars="200"/>
        <w:jc w:val="both"/>
      </w:pPr>
      <w:r>
        <w:rPr>
          <w:rFonts w:hint="eastAsia" w:ascii="微软雅黑" w:hAnsi="微软雅黑" w:eastAsia="微软雅黑"/>
          <w:noProof/>
          <w:sz w:val="24"/>
        </w:rPr>
        <w:t xml:space="preserve">[39] Commercial Property Management PE Tracker 2024-2026 </w:t>
      </w:r>
      <w:r>
        <w:rPr>
          <w:rFonts w:hint="eastAsia" w:ascii="微软雅黑" w:hAnsi="微软雅黑" w:eastAsia="微软雅黑"/>
          <w:noProof/>
          <w:sz w:val="24"/>
        </w:rPr>
        <w:t>https://ctacquisitions.com/guides/commercial-industrial-retail-property-management-pe-rollup-tracker-2024-2026/</w:t>
      </w:r>
    </w:p>
    <w:p>
      <w:pPr>
        <w:spacing w:line="288" w:lineRule="auto"/>
        <w:ind w:firstLine="480" w:firstLineChars="200"/>
        <w:jc w:val="both"/>
      </w:pPr>
      <w:r>
        <w:rPr>
          <w:rFonts w:hint="eastAsia" w:ascii="微软雅黑" w:hAnsi="微软雅黑" w:eastAsia="微软雅黑"/>
          <w:noProof/>
          <w:sz w:val="24"/>
        </w:rPr>
        <w:t xml:space="preserve">[40] Yardi Matrix: Commercial Real Estate Data and Research </w:t>
      </w:r>
      <w:r>
        <w:rPr>
          <w:rFonts w:hint="eastAsia" w:ascii="微软雅黑" w:hAnsi="微软雅黑" w:eastAsia="微软雅黑"/>
          <w:noProof/>
          <w:sz w:val="24"/>
        </w:rPr>
        <w:t>https://www.yardimatrix.com/</w:t>
      </w:r>
    </w:p>
    <w:p>
      <w:pPr>
        <w:spacing w:line="288" w:lineRule="auto"/>
        <w:ind w:firstLine="480" w:firstLineChars="200"/>
        <w:jc w:val="both"/>
      </w:pPr>
      <w:r>
        <w:rPr>
          <w:rFonts w:hint="eastAsia" w:ascii="微软雅黑" w:hAnsi="微软雅黑" w:eastAsia="微软雅黑"/>
          <w:noProof/>
          <w:sz w:val="24"/>
        </w:rPr>
        <w:t xml:space="preserve">[42] South Africa's Industrial Development Strategy 2026 - DTIC </w:t>
      </w:r>
      <w:r>
        <w:rPr>
          <w:rFonts w:hint="eastAsia" w:ascii="微软雅黑" w:hAnsi="微软雅黑" w:eastAsia="微软雅黑"/>
          <w:noProof/>
          <w:sz w:val="24"/>
        </w:rPr>
        <w:t>https://www.thedtic.gov.za/south-africas-industrial-development-strategy-2026/</w:t>
      </w:r>
    </w:p>
    <w:p>
      <w:pPr>
        <w:spacing w:line="288" w:lineRule="auto"/>
        <w:ind w:firstLine="480" w:firstLineChars="200"/>
        <w:jc w:val="both"/>
      </w:pPr>
      <w:r>
        <w:rPr>
          <w:rFonts w:hint="eastAsia" w:ascii="微软雅黑" w:hAnsi="微软雅黑" w:eastAsia="微软雅黑"/>
          <w:noProof/>
          <w:sz w:val="24"/>
        </w:rPr>
        <w:t xml:space="preserve">[43] How South Africa is moving up the manufacturing value chain </w:t>
      </w:r>
      <w:r>
        <w:rPr>
          <w:rFonts w:hint="eastAsia" w:ascii="微软雅黑" w:hAnsi="微软雅黑" w:eastAsia="微软雅黑"/>
          <w:noProof/>
          <w:sz w:val="24"/>
        </w:rPr>
        <w:t>https://www.weforum.org/stories/2026/05/with-industrial-clusters-south-africa-moving-up-manufacturing-value-chain/</w:t>
      </w:r>
    </w:p>
    <w:p>
      <w:pPr>
        <w:spacing w:line="288" w:lineRule="auto"/>
        <w:ind w:firstLine="480" w:firstLineChars="200"/>
        <w:jc w:val="both"/>
      </w:pPr>
      <w:r>
        <w:rPr>
          <w:rFonts w:hint="eastAsia" w:ascii="微软雅黑" w:hAnsi="微软雅黑" w:eastAsia="微软雅黑"/>
          <w:noProof/>
          <w:sz w:val="24"/>
        </w:rPr>
        <w:t xml:space="preserve">[46] Regional Economic Snapshot (June 2026) </w:t>
      </w:r>
      <w:r>
        <w:rPr>
          <w:rFonts w:hint="eastAsia" w:ascii="微软雅黑" w:hAnsi="微软雅黑" w:eastAsia="微软雅黑"/>
          <w:noProof/>
          <w:sz w:val="24"/>
        </w:rPr>
        <w:t>https://greaterwashingtonpartnership.com/publications/regional-economic-snapshot-june-2026/</w:t>
      </w:r>
    </w:p>
    <w:p>
      <w:pPr>
        <w:spacing w:line="288" w:lineRule="auto"/>
        <w:ind w:firstLine="480" w:firstLineChars="200"/>
        <w:jc w:val="both"/>
      </w:pPr>
      <w:r>
        <w:rPr>
          <w:rFonts w:hint="eastAsia" w:ascii="微软雅黑" w:hAnsi="微软雅黑" w:eastAsia="微软雅黑"/>
          <w:noProof/>
          <w:sz w:val="24"/>
        </w:rPr>
        <w:t xml:space="preserve">[47] Federal Opportunity Zones - Incentives | LED </w:t>
      </w:r>
      <w:r>
        <w:rPr>
          <w:rFonts w:hint="eastAsia" w:ascii="微软雅黑" w:hAnsi="微软雅黑" w:eastAsia="微软雅黑"/>
          <w:noProof/>
          <w:sz w:val="24"/>
        </w:rPr>
        <w:t>https://www.opportunitylouisiana.gov/incentive/federal-opportunity-zones</w:t>
      </w:r>
    </w:p>
    <w:p>
      <w:pPr>
        <w:spacing w:line="288" w:lineRule="auto"/>
        <w:ind w:firstLine="480" w:firstLineChars="200"/>
        <w:jc w:val="both"/>
      </w:pPr>
      <w:r>
        <w:rPr>
          <w:rFonts w:hint="eastAsia" w:ascii="微软雅黑" w:hAnsi="微软雅黑" w:eastAsia="微软雅黑"/>
          <w:noProof/>
          <w:sz w:val="24"/>
        </w:rPr>
        <w:t xml:space="preserve">[48] State Tax Incentive Evaluations Database </w:t>
      </w:r>
      <w:r>
        <w:rPr>
          <w:rFonts w:hint="eastAsia" w:ascii="微软雅黑" w:hAnsi="微软雅黑" w:eastAsia="微软雅黑"/>
          <w:noProof/>
          <w:sz w:val="24"/>
        </w:rPr>
        <w:t>https://www.ncsl.org/fiscal/state-tax-incentive-evaluations-database</w:t>
      </w:r>
    </w:p>
    <w:p>
      <w:pPr>
        <w:spacing w:line="288" w:lineRule="auto"/>
        <w:ind w:firstLine="480" w:firstLineChars="200"/>
        <w:jc w:val="both"/>
      </w:pPr>
      <w:r>
        <w:rPr>
          <w:rFonts w:hint="eastAsia" w:ascii="微软雅黑" w:hAnsi="微软雅黑" w:eastAsia="微软雅黑"/>
          <w:noProof/>
          <w:sz w:val="24"/>
        </w:rPr>
        <w:t xml:space="preserve">[49] Webinar — Assessing State and Local Incentives for Attracting New ... </w:t>
      </w:r>
      <w:r>
        <w:rPr>
          <w:rFonts w:hint="eastAsia" w:ascii="微软雅黑" w:hAnsi="微软雅黑" w:eastAsia="微软雅黑"/>
          <w:noProof/>
          <w:sz w:val="24"/>
        </w:rPr>
        <w:t>https://www.youtube.com/watch?v=z0ztT8H3O_Y</w:t>
      </w:r>
    </w:p>
    <w:p>
      <w:pPr>
        <w:spacing w:line="288" w:lineRule="auto"/>
        <w:ind w:firstLine="480" w:firstLineChars="200"/>
        <w:jc w:val="both"/>
      </w:pPr>
      <w:r>
        <w:rPr>
          <w:rFonts w:hint="eastAsia" w:ascii="微软雅黑" w:hAnsi="微软雅黑" w:eastAsia="微软雅黑"/>
          <w:noProof/>
          <w:sz w:val="24"/>
        </w:rPr>
        <w:t xml:space="preserve">[50] Economic Incentives and Resources </w:t>
      </w:r>
      <w:r>
        <w:rPr>
          <w:rFonts w:hint="eastAsia" w:ascii="微软雅黑" w:hAnsi="微软雅黑" w:eastAsia="微软雅黑"/>
          <w:noProof/>
          <w:sz w:val="24"/>
        </w:rPr>
        <w:t>https://www.nysedc.org/economic_incentives_and_resour.php</w:t>
      </w:r>
    </w:p>
    <w:p>
      <w:pPr>
        <w:spacing w:line="288" w:lineRule="auto"/>
        <w:ind w:firstLine="480" w:firstLineChars="200"/>
        <w:jc w:val="both"/>
      </w:pPr>
      <w:r>
        <w:rPr>
          <w:rFonts w:hint="eastAsia" w:ascii="微软雅黑" w:hAnsi="微软雅黑" w:eastAsia="微软雅黑"/>
          <w:noProof/>
          <w:sz w:val="24"/>
        </w:rPr>
        <w:t xml:space="preserve">[51] Portfolio Committee on Land Reform &amp; Rural Development, 13 ... </w:t>
      </w:r>
      <w:r>
        <w:rPr>
          <w:rFonts w:hint="eastAsia" w:ascii="微软雅黑" w:hAnsi="微软雅黑" w:eastAsia="微软雅黑"/>
          <w:noProof/>
          <w:sz w:val="24"/>
        </w:rPr>
        <w:t>https://www.youtube.com/watch?v=65Ov1iSUXdc</w:t>
      </w:r>
    </w:p>
    <w:p>
      <w:pPr>
        <w:spacing w:line="288" w:lineRule="auto"/>
        <w:ind w:firstLine="480" w:firstLineChars="200"/>
        <w:jc w:val="both"/>
      </w:pPr>
      <w:r>
        <w:rPr>
          <w:rFonts w:hint="eastAsia" w:ascii="微软雅黑" w:hAnsi="微软雅黑" w:eastAsia="微软雅黑"/>
          <w:noProof/>
          <w:sz w:val="24"/>
        </w:rPr>
        <w:t xml:space="preserve">[52] The South African government is hoarding land - Newsday </w:t>
      </w:r>
      <w:r>
        <w:rPr>
          <w:rFonts w:hint="eastAsia" w:ascii="微软雅黑" w:hAnsi="微软雅黑" w:eastAsia="微软雅黑"/>
          <w:noProof/>
          <w:sz w:val="24"/>
        </w:rPr>
        <w:t>https://newsday.co.za/south-africa/14268/the-south-african-government-is-hoarding-land/</w:t>
      </w:r>
    </w:p>
    <w:p>
      <w:pPr>
        <w:spacing w:line="288" w:lineRule="auto"/>
        <w:ind w:firstLine="480" w:firstLineChars="200"/>
        <w:jc w:val="both"/>
      </w:pPr>
      <w:r>
        <w:rPr>
          <w:rFonts w:hint="eastAsia" w:ascii="微软雅黑" w:hAnsi="微软雅黑" w:eastAsia="微软雅黑"/>
          <w:noProof/>
          <w:sz w:val="24"/>
        </w:rPr>
        <w:t xml:space="preserve">[53] DA backs drive to unlock value from 801 unused state properties </w:t>
      </w:r>
      <w:r>
        <w:rPr>
          <w:rFonts w:hint="eastAsia" w:ascii="微软雅黑" w:hAnsi="微软雅黑" w:eastAsia="微软雅黑"/>
          <w:noProof/>
          <w:sz w:val="24"/>
        </w:rPr>
        <w:t>https://www.da.org.za/2026/05/da-backs-drive-to-unlock-value-from-801-unused-state-properties</w:t>
      </w:r>
    </w:p>
    <w:p>
      <w:pPr>
        <w:spacing w:line="288" w:lineRule="auto"/>
        <w:ind w:firstLine="480" w:firstLineChars="200"/>
        <w:jc w:val="both"/>
      </w:pPr>
      <w:r>
        <w:rPr>
          <w:rFonts w:hint="eastAsia" w:ascii="微软雅黑" w:hAnsi="微软雅黑" w:eastAsia="微软雅黑"/>
          <w:noProof/>
          <w:sz w:val="24"/>
        </w:rPr>
        <w:t xml:space="preserve">[54] South Africa's Land Reform Must Not Undermine Private Property ... </w:t>
      </w:r>
      <w:r>
        <w:rPr>
          <w:rFonts w:hint="eastAsia" w:ascii="微软雅黑" w:hAnsi="微软雅黑" w:eastAsia="微软雅黑"/>
          <w:noProof/>
          <w:sz w:val="24"/>
        </w:rPr>
        <w:t>https://www.africanliberty.org/2026/06/10/south-africas-land-reform-must-not-undermine-private-property-rights/</w:t>
      </w:r>
    </w:p>
    <w:p>
      <w:pPr>
        <w:spacing w:line="288" w:lineRule="auto"/>
        <w:ind w:firstLine="480" w:firstLineChars="200"/>
        <w:jc w:val="both"/>
      </w:pPr>
      <w:r>
        <w:rPr>
          <w:rFonts w:hint="eastAsia" w:ascii="微软雅黑" w:hAnsi="微软雅黑" w:eastAsia="微软雅黑"/>
          <w:noProof/>
          <w:sz w:val="24"/>
        </w:rPr>
        <w:t xml:space="preserve">[55] Select Committee on Agriculture, Land Reform and Mineral Resources </w:t>
      </w:r>
      <w:r>
        <w:rPr>
          <w:rFonts w:hint="eastAsia" w:ascii="微软雅黑" w:hAnsi="微软雅黑" w:eastAsia="微软雅黑"/>
          <w:noProof/>
          <w:sz w:val="24"/>
        </w:rPr>
        <w:t>https://www.youtube.com/watch?v=wzHrn9JFzc8</w:t>
      </w:r>
    </w:p>
    <w:p>
      <w:pPr>
        <w:spacing w:line="288" w:lineRule="auto"/>
        <w:ind w:firstLine="480" w:firstLineChars="200"/>
        <w:jc w:val="both"/>
      </w:pPr>
      <w:r>
        <w:rPr>
          <w:rFonts w:hint="eastAsia" w:ascii="微软雅黑" w:hAnsi="微软雅黑" w:eastAsia="微软雅黑"/>
          <w:noProof/>
          <w:sz w:val="24"/>
        </w:rPr>
        <w:t xml:space="preserve">[56] South Africa risks investment delays over its mining rights system </w:t>
      </w:r>
      <w:r>
        <w:rPr>
          <w:rFonts w:hint="eastAsia" w:ascii="微软雅黑" w:hAnsi="微软雅黑" w:eastAsia="微软雅黑"/>
          <w:noProof/>
          <w:sz w:val="24"/>
        </w:rPr>
        <w:t>https://africa.businessinsider.com/local/markets/south-africa-risks-investment-delays-over-its-mining-rights-system/t2l354p</w:t>
      </w:r>
    </w:p>
    <w:p>
      <w:pPr>
        <w:spacing w:line="288" w:lineRule="auto"/>
        <w:ind w:firstLine="480" w:firstLineChars="200"/>
        <w:jc w:val="both"/>
      </w:pPr>
      <w:r>
        <w:rPr>
          <w:rFonts w:hint="eastAsia" w:ascii="微软雅黑" w:hAnsi="微软雅黑" w:eastAsia="微软雅黑"/>
          <w:noProof/>
          <w:sz w:val="24"/>
        </w:rPr>
        <w:t xml:space="preserve">[57] Uniting against a mining giant: How a rural community in Melmoth ... </w:t>
      </w:r>
      <w:r>
        <w:rPr>
          <w:rFonts w:hint="eastAsia" w:ascii="微软雅黑" w:hAnsi="微软雅黑" w:eastAsia="微软雅黑"/>
          <w:noProof/>
          <w:sz w:val="24"/>
        </w:rPr>
        <w:t>https://www.sciencedirect.com/science/article/pii/S2590291126001531</w:t>
      </w:r>
    </w:p>
    <w:p>
      <w:pPr>
        <w:spacing w:line="288" w:lineRule="auto"/>
        <w:ind w:firstLine="480" w:firstLineChars="200"/>
        <w:jc w:val="both"/>
      </w:pPr>
      <w:r>
        <w:rPr>
          <w:rFonts w:hint="eastAsia" w:ascii="微软雅黑" w:hAnsi="微软雅黑" w:eastAsia="微软雅黑"/>
          <w:noProof/>
          <w:sz w:val="24"/>
        </w:rPr>
        <w:t xml:space="preserve">[58] SA moves to overhaul troubled mining licensing system - YouTube </w:t>
      </w:r>
      <w:r>
        <w:rPr>
          <w:rFonts w:hint="eastAsia" w:ascii="微软雅黑" w:hAnsi="微软雅黑" w:eastAsia="微软雅黑"/>
          <w:noProof/>
          <w:sz w:val="24"/>
        </w:rPr>
        <w:t>https://www.youtube.com/watch?v=KxwrvCHjXZs</w:t>
      </w:r>
    </w:p>
    <w:p>
      <w:pPr>
        <w:spacing w:line="288" w:lineRule="auto"/>
        <w:ind w:firstLine="480" w:firstLineChars="200"/>
        <w:jc w:val="both"/>
      </w:pPr>
      <w:r>
        <w:rPr>
          <w:rFonts w:hint="eastAsia" w:ascii="微软雅黑" w:hAnsi="微软雅黑" w:eastAsia="微软雅黑"/>
          <w:noProof/>
          <w:sz w:val="24"/>
        </w:rPr>
        <w:t xml:space="preserve">[60] Clean energy, dirty mining: Rights abuses rise across Africa </w:t>
      </w:r>
      <w:r>
        <w:rPr>
          <w:rFonts w:hint="eastAsia" w:ascii="微软雅黑" w:hAnsi="微软雅黑" w:eastAsia="微软雅黑"/>
          <w:noProof/>
          <w:sz w:val="24"/>
        </w:rPr>
        <w:t>https://www.mining.com/web/clean-energy-dirty-mining-rights-abuses-rise-across-africa/</w:t>
      </w:r>
    </w:p>
    <w:p>
      <w:pPr>
        <w:spacing w:line="288" w:lineRule="auto"/>
        <w:ind w:firstLine="480" w:firstLineChars="200"/>
        <w:jc w:val="both"/>
      </w:pPr>
      <w:r>
        <w:rPr>
          <w:rFonts w:hint="eastAsia" w:ascii="微软雅黑" w:hAnsi="微软雅黑" w:eastAsia="微软雅黑"/>
          <w:noProof/>
          <w:sz w:val="24"/>
        </w:rPr>
        <w:t xml:space="preserve">[61] South Africa Targets Key Mining Registry by End of March - Bloomberg </w:t>
      </w:r>
      <w:r>
        <w:rPr>
          <w:rFonts w:hint="eastAsia" w:ascii="微软雅黑" w:hAnsi="微软雅黑" w:eastAsia="微软雅黑"/>
          <w:noProof/>
          <w:sz w:val="24"/>
        </w:rPr>
        <w:t>https://www.bloomberg.com/news/articles/2026-06-09/south-africa-targets-key-mining-registry-by-end-of-march</w:t>
      </w:r>
    </w:p>
    <w:p>
      <w:pPr>
        <w:spacing w:line="288" w:lineRule="auto"/>
        <w:ind w:firstLine="480" w:firstLineChars="200"/>
        <w:jc w:val="both"/>
      </w:pPr>
      <w:r>
        <w:rPr>
          <w:rFonts w:hint="eastAsia" w:ascii="微软雅黑" w:hAnsi="微软雅黑" w:eastAsia="微软雅黑"/>
          <w:noProof/>
          <w:sz w:val="24"/>
        </w:rPr>
        <w:t xml:space="preserve">[62] Mining triggers extensive additional deforestation in sub-Saharan ... </w:t>
      </w:r>
      <w:r>
        <w:rPr>
          <w:rFonts w:hint="eastAsia" w:ascii="微软雅黑" w:hAnsi="微软雅黑" w:eastAsia="微软雅黑"/>
          <w:noProof/>
          <w:sz w:val="24"/>
        </w:rPr>
        <w:t>https://www.nature.com/articles/s41586-026-10551-2</w:t>
      </w:r>
    </w:p>
    <w:p>
      <w:pPr>
        <w:spacing w:line="288" w:lineRule="auto"/>
        <w:ind w:firstLine="480" w:firstLineChars="200"/>
        <w:jc w:val="both"/>
      </w:pPr>
      <w:r>
        <w:rPr>
          <w:rFonts w:hint="eastAsia" w:ascii="微软雅黑" w:hAnsi="微软雅黑" w:eastAsia="微软雅黑"/>
          <w:noProof/>
          <w:sz w:val="24"/>
        </w:rPr>
        <w:t xml:space="preserve">[63]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[64] South Africa's move away from coal marred by legacy of abandoned ... </w:t>
      </w:r>
      <w:r>
        <w:rPr>
          <w:rFonts w:hint="eastAsia" w:ascii="微软雅黑" w:hAnsi="微软雅黑" w:eastAsia="微软雅黑"/>
          <w:noProof/>
          <w:sz w:val="24"/>
        </w:rPr>
        <w:t>https://news.mongabay.com/2026/06/south-africas-move-away-from-coal-marred-by-legacy-of-abandoned-mines-report/</w:t>
      </w:r>
    </w:p>
    <w:p>
      <w:pPr>
        <w:spacing w:line="288" w:lineRule="auto"/>
        <w:ind w:firstLine="480" w:firstLineChars="200"/>
        <w:jc w:val="both"/>
      </w:pPr>
      <w:r>
        <w:rPr>
          <w:rFonts w:hint="eastAsia" w:ascii="微软雅黑" w:hAnsi="微软雅黑" w:eastAsia="微软雅黑"/>
          <w:noProof/>
          <w:sz w:val="24"/>
        </w:rPr>
        <w:t xml:space="preserve">[66] Mine cost outlook 2026: Inflation, new supply reshape ... - S&amp;P Global </w:t>
      </w:r>
      <w:r>
        <w:rPr>
          <w:rFonts w:hint="eastAsia" w:ascii="微软雅黑" w:hAnsi="微软雅黑" w:eastAsia="微软雅黑"/>
          <w:noProof/>
          <w:sz w:val="24"/>
        </w:rPr>
        <w:t>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[67] Valuation of Non-Producing Mineral Properties </w:t>
      </w:r>
      <w:r>
        <w:rPr>
          <w:rFonts w:hint="eastAsia" w:ascii="微软雅黑" w:hAnsi="微软雅黑" w:eastAsia="微软雅黑"/>
          <w:noProof/>
          <w:sz w:val="24"/>
        </w:rPr>
        <w:t>https://globalarbitrationreview.com/guide/the-guide-mining-arbitrations/2nd-edition/article/valuation-of-non-producing-mineral-properties</w:t>
      </w:r>
    </w:p>
    <w:p>
      <w:pPr>
        <w:spacing w:line="288" w:lineRule="auto"/>
        <w:ind w:firstLine="480" w:firstLineChars="200"/>
        <w:jc w:val="both"/>
      </w:pPr>
      <w:r>
        <w:rPr>
          <w:rFonts w:hint="eastAsia" w:ascii="微软雅黑" w:hAnsi="微软雅黑" w:eastAsia="微软雅黑"/>
          <w:noProof/>
          <w:sz w:val="24"/>
        </w:rPr>
        <w:t xml:space="preserve">[68] Registration for Mining Indaba 2026 is now officially open! Join ... </w:t>
      </w:r>
      <w:r>
        <w:rPr>
          <w:rFonts w:hint="eastAsia" w:ascii="微软雅黑" w:hAnsi="微软雅黑" w:eastAsia="微软雅黑"/>
          <w:noProof/>
          <w:sz w:val="24"/>
        </w:rPr>
        <w:t>https://www.instagram.com/reel/DMpfoXbNWp7/?hl=en</w:t>
      </w:r>
    </w:p>
    <w:p>
      <w:pPr>
        <w:spacing w:line="288" w:lineRule="auto"/>
        <w:ind w:firstLine="480" w:firstLineChars="200"/>
        <w:jc w:val="both"/>
      </w:pPr>
      <w:r>
        <w:rPr>
          <w:rFonts w:hint="eastAsia" w:ascii="微软雅黑" w:hAnsi="微软雅黑" w:eastAsia="微软雅黑"/>
          <w:noProof/>
          <w:sz w:val="24"/>
        </w:rPr>
        <w:t xml:space="preserve">[69] [PDF] Annual Mining Report 2026 - BDO South Africa </w:t>
      </w:r>
      <w:r>
        <w:rPr>
          <w:rFonts w:hint="eastAsia" w:ascii="微软雅黑" w:hAnsi="微软雅黑" w:eastAsia="微软雅黑"/>
          <w:noProof/>
          <w:sz w:val="24"/>
        </w:rPr>
        <w:t>https://www.bdo.co.za/getattachment/a8bbf375-c289-4a9f-a779-867fbfa1870d/BDO-Mining-Report-2026.pdf?lang=en-ZA</w:t>
      </w:r>
    </w:p>
    <w:p>
      <w:pPr>
        <w:spacing w:line="288" w:lineRule="auto"/>
        <w:ind w:firstLine="480" w:firstLineChars="200"/>
        <w:jc w:val="both"/>
      </w:pPr>
      <w:r>
        <w:rPr>
          <w:rFonts w:hint="eastAsia" w:ascii="微软雅黑" w:hAnsi="微软雅黑" w:eastAsia="微软雅黑"/>
          <w:noProof/>
          <w:sz w:val="24"/>
        </w:rPr>
        <w:t xml:space="preserve">[70] Mine 2026: Ambition to action - PwC </w:t>
      </w:r>
      <w:r>
        <w:rPr>
          <w:rFonts w:hint="eastAsia" w:ascii="微软雅黑" w:hAnsi="微软雅黑" w:eastAsia="微软雅黑"/>
          <w:noProof/>
          <w:sz w:val="24"/>
        </w:rPr>
        <w:t>https://www.pwc.com/gx/en/industries/energy-utilities-resources/publications/mine.html</w:t>
      </w:r>
    </w:p>
    <w:p>
      <w:pPr>
        <w:spacing w:line="288" w:lineRule="auto"/>
        <w:ind w:firstLine="480" w:firstLineChars="200"/>
        <w:jc w:val="both"/>
      </w:pPr>
      <w:r>
        <w:rPr>
          <w:rFonts w:hint="eastAsia" w:ascii="微软雅黑" w:hAnsi="微软雅黑" w:eastAsia="微软雅黑"/>
          <w:noProof/>
          <w:sz w:val="24"/>
        </w:rPr>
        <w:t xml:space="preserve">[74] South African billionaire Rob Hersov has warned that the country ... </w:t>
      </w:r>
      <w:r>
        <w:rPr>
          <w:rFonts w:hint="eastAsia" w:ascii="微软雅黑" w:hAnsi="微软雅黑" w:eastAsia="微软雅黑"/>
          <w:noProof/>
          <w:sz w:val="24"/>
        </w:rPr>
        <w:t>https://www.instagram.com/p/DZpX-BfFVRr/</w:t>
      </w:r>
    </w:p>
    <w:p>
      <w:pPr>
        <w:spacing w:line="288" w:lineRule="auto"/>
        <w:ind w:firstLine="480" w:firstLineChars="200"/>
        <w:jc w:val="both"/>
      </w:pPr>
      <w:r>
        <w:rPr>
          <w:rFonts w:hint="eastAsia" w:ascii="微软雅黑" w:hAnsi="微软雅黑" w:eastAsia="微软雅黑"/>
          <w:noProof/>
          <w:sz w:val="24"/>
        </w:rPr>
        <w:t xml:space="preserve">[75] Illegal mining surge forces industry to confront SA security </w:t>
      </w:r>
      <w:r>
        <w:rPr>
          <w:rFonts w:hint="eastAsia" w:ascii="微软雅黑" w:hAnsi="微软雅黑" w:eastAsia="微软雅黑"/>
          <w:noProof/>
          <w:sz w:val="24"/>
        </w:rPr>
        <w:t>https://www.africanmining.co.za/2026/06/12/illegal-mining-surge-forces-industry-to-confront-sa-security/</w:t>
      </w:r>
    </w:p>
    <w:p>
      <w:pPr>
        <w:spacing w:line="288" w:lineRule="auto"/>
        <w:ind w:firstLine="480" w:firstLineChars="200"/>
        <w:jc w:val="both"/>
      </w:pPr>
      <w:r>
        <w:rPr>
          <w:rFonts w:hint="eastAsia" w:ascii="微软雅黑" w:hAnsi="微软雅黑" w:eastAsia="微软雅黑"/>
          <w:noProof/>
          <w:sz w:val="24"/>
        </w:rPr>
        <w:t xml:space="preserve">[76] South Africa's Mine Closure Crisis and its Just Transition </w:t>
      </w:r>
      <w:r>
        <w:rPr>
          <w:rFonts w:hint="eastAsia" w:ascii="微软雅黑" w:hAnsi="微软雅黑" w:eastAsia="微软雅黑"/>
          <w:noProof/>
          <w:sz w:val="24"/>
        </w:rPr>
        <w:t>https://africanclimatewire.org/2026/06/south-africas-mine-closure-crisis-part-and-its-just-transition/</w:t>
      </w:r>
    </w:p>
    <w:p>
      <w:pPr>
        <w:spacing w:line="288" w:lineRule="auto"/>
        <w:ind w:firstLine="480" w:firstLineChars="200"/>
        <w:jc w:val="both"/>
      </w:pPr>
      <w:r>
        <w:rPr>
          <w:rFonts w:hint="eastAsia" w:ascii="微软雅黑" w:hAnsi="微软雅黑" w:eastAsia="微软雅黑"/>
          <w:noProof/>
          <w:sz w:val="24"/>
        </w:rPr>
        <w:t xml:space="preserve">[77] DID YOU KNOW? In South Africa, the law says: the polluter must pay ... </w:t>
      </w:r>
      <w:r>
        <w:rPr>
          <w:rFonts w:hint="eastAsia" w:ascii="微软雅黑" w:hAnsi="微软雅黑" w:eastAsia="微软雅黑"/>
          <w:noProof/>
          <w:sz w:val="24"/>
        </w:rPr>
        <w:t>https://www.instagram.com/p/DUaTft4iCjO/</w:t>
      </w:r>
    </w:p>
    <w:p>
      <w:pPr>
        <w:spacing w:line="288" w:lineRule="auto"/>
        <w:ind w:firstLine="480" w:firstLineChars="200"/>
        <w:jc w:val="both"/>
      </w:pPr>
      <w:r>
        <w:rPr>
          <w:rFonts w:hint="eastAsia" w:ascii="微软雅黑" w:hAnsi="微软雅黑" w:eastAsia="微软雅黑"/>
          <w:noProof/>
          <w:sz w:val="24"/>
        </w:rPr>
        <w:t xml:space="preserve">[78] South Africa: The court restates the cradle to grave principle in mining </w:t>
      </w:r>
      <w:r>
        <w:rPr>
          <w:rFonts w:hint="eastAsia" w:ascii="微软雅黑" w:hAnsi="微软雅黑" w:eastAsia="微软雅黑"/>
          <w:noProof/>
          <w:sz w:val="24"/>
        </w:rPr>
        <w:t>https://bowmanslaw.com/insights/south-africa-the-court-restates-the-cradle-to-grave-principle-in-mining/</w:t>
      </w:r>
    </w:p>
    <w:p>
      <w:pPr>
        <w:spacing w:line="288" w:lineRule="auto"/>
        <w:ind w:firstLine="480" w:firstLineChars="200"/>
        <w:jc w:val="both"/>
      </w:pPr>
      <w:r>
        <w:rPr>
          <w:rFonts w:hint="eastAsia" w:ascii="微软雅黑" w:hAnsi="微软雅黑" w:eastAsia="微软雅黑"/>
          <w:noProof/>
          <w:sz w:val="24"/>
        </w:rPr>
        <w:t xml:space="preserve">[79] The contribution of South African mining companies to the ... </w:t>
      </w:r>
      <w:r>
        <w:rPr>
          <w:rFonts w:hint="eastAsia" w:ascii="微软雅黑" w:hAnsi="微软雅黑" w:eastAsia="微软雅黑"/>
          <w:noProof/>
          <w:sz w:val="24"/>
        </w:rPr>
        <w:t>https://www.sciencedirect.com/science/article/abs/pii/S2214790X25002163</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Investment Volume (R billions)</c:v>
                </c:pt>
              </c:strCache>
            </c:strRef>
          </c:tx>
          <c:spPr>
            <a:solidFill>
              <a:srgbClr val="FF7733"/>
            </a:solidFill>
            <a:ln>
              <a:solidFill>
                <a:srgbClr val="FF7733"/>
              </a:solidFill>
            </a:ln>
          </c:spPr>
          <c:invertIfNegative val="false"/>
          <c:cat>
            <c:strRef>
              <c:f>Sheet1!$A$2:$A$5</c:f>
              <c:strCache>
                <c:ptCount val="4"/>
                <c:pt idx="0">
                  <c:v>Equites Property Fund</c:v>
                </c:pt>
                <c:pt idx="1">
                  <c:v>Growthpoint Properties</c:v>
                </c:pt>
                <c:pt idx="2">
                  <c:v>Fortress REIT</c:v>
                </c:pt>
                <c:pt idx="3">
                  <c:v>Redefine Properties</c:v>
                </c:pt>
              </c:strCache>
            </c:strRef>
          </c:cat>
          <c:val>
            <c:numRef>
              <c:f>Sheet1!$B$2:$B$5</c:f>
              <c:numCache>
                <c:ptCount val="4"/>
                <c:pt idx="0">
                  <c:v>12.5</c:v>
                </c:pt>
                <c:pt idx="1">
                  <c:v>10.2</c:v>
                </c:pt>
                <c:pt idx="2">
                  <c:v>8.4</c:v>
                </c:pt>
                <c:pt idx="3">
                  <c:v>6.7</c:v>
                </c:pt>
              </c:numCache>
            </c:numRef>
          </c:val>
        </c:ser>
        <c:gapWidth val="125"/>
        <c:axId val="9619652"/>
        <c:axId val="6209619"/>
      </c:barChart>
      <c:catAx>
        <c:axId val="961965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209619"/>
        <c:crosses val="autoZero"/>
      </c:catAx>
      <c:valAx>
        <c:axId val="620961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61965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Investment in Incentive Zones (Billion ZAR)</c:v>
                </c:pt>
              </c:strCache>
            </c:strRef>
          </c:tx>
          <c:spPr>
            <a:solidFill>
              <a:srgbClr val="FF7733"/>
            </a:solidFill>
            <a:ln>
              <a:solidFill>
                <a:srgbClr val="FF7733"/>
              </a:solidFill>
            </a:ln>
          </c:spPr>
          <c:invertIfNegative val="false"/>
          <c:cat>
            <c:strRef>
              <c:f>Sheet1!$A$2:$A$5</c:f>
              <c:strCache>
                <c:ptCount val="4"/>
                <c:pt idx="0">
                  <c:v>2020</c:v>
                </c:pt>
                <c:pt idx="1">
                  <c:v>2021</c:v>
                </c:pt>
                <c:pt idx="2">
                  <c:v>2022</c:v>
                </c:pt>
                <c:pt idx="3">
                  <c:v>2023</c:v>
                </c:pt>
              </c:strCache>
            </c:strRef>
          </c:cat>
          <c:val>
            <c:numRef>
              <c:f>Sheet1!$B$2:$B$5</c:f>
              <c:numCache>
                <c:ptCount val="4"/>
                <c:pt idx="0">
                  <c:v>15.2</c:v>
                </c:pt>
                <c:pt idx="1">
                  <c:v>18.7</c:v>
                </c:pt>
                <c:pt idx="2">
                  <c:v>24.5</c:v>
                </c:pt>
                <c:pt idx="3">
                  <c:v>31</c:v>
                </c:pt>
              </c:numCache>
            </c:numRef>
          </c:val>
        </c:ser>
        <c:ser>
          <c:idx val="1"/>
          <c:order val="1"/>
          <c:tx>
            <c:strRef>
              <c:f>Sheet1!$C$1</c:f>
              <c:strCache>
                <c:ptCount val="1"/>
                <c:pt idx="0">
                  <c:v>Investment in Non-Incentive Zones (Billion ZAR)</c:v>
                </c:pt>
              </c:strCache>
            </c:strRef>
          </c:tx>
          <c:spPr>
            <a:solidFill>
              <a:srgbClr val="F8D256"/>
            </a:solidFill>
            <a:ln>
              <a:solidFill>
                <a:srgbClr val="F8D256"/>
              </a:solidFill>
            </a:ln>
          </c:spPr>
          <c:invertIfNegative val="false"/>
          <c:cat>
            <c:strRef>
              <c:f>Sheet1!$A$2:$A$5</c:f>
              <c:strCache>
                <c:ptCount val="4"/>
                <c:pt idx="0">
                  <c:v>2020</c:v>
                </c:pt>
                <c:pt idx="1">
                  <c:v>2021</c:v>
                </c:pt>
                <c:pt idx="2">
                  <c:v>2022</c:v>
                </c:pt>
                <c:pt idx="3">
                  <c:v>2023</c:v>
                </c:pt>
              </c:strCache>
            </c:strRef>
          </c:cat>
          <c:val>
            <c:numRef>
              <c:f>Sheet1!$C$2:$C$5</c:f>
              <c:numCache>
                <c:ptCount val="4"/>
                <c:pt idx="0">
                  <c:v>20.5</c:v>
                </c:pt>
                <c:pt idx="1">
                  <c:v>21</c:v>
                </c:pt>
                <c:pt idx="2">
                  <c:v>22.1</c:v>
                </c:pt>
                <c:pt idx="3">
                  <c:v>23.5</c:v>
                </c:pt>
              </c:numCache>
            </c:numRef>
          </c:val>
        </c:ser>
        <c:gapWidth val="125"/>
        <c:axId val="3228643"/>
        <c:axId val="2695630"/>
      </c:barChart>
      <c:catAx>
        <c:axId val="322864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695630"/>
        <c:crosses val="autoZero"/>
      </c:catAx>
      <c:valAx>
        <c:axId val="2695630"/>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22864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Litigation</c:v>
                </c:pt>
                <c:pt idx="1">
                  <c:v>Mediation</c:v>
                </c:pt>
                <c:pt idx="2">
                  <c:v>Arbitration</c:v>
                </c:pt>
                <c:pt idx="3">
                  <c:v>Administrative Appeals</c:v>
                </c:pt>
              </c:strCache>
            </c:strRef>
          </c:cat>
          <c:val>
            <c:numRef>
              <c:f>Sheet1!$B$2:$B$5</c:f>
              <c:numCache>
                <c:ptCount val="4"/>
                <c:pt idx="0">
                  <c:v>45</c:v>
                </c:pt>
                <c:pt idx="1">
                  <c:v>30</c:v>
                </c:pt>
                <c:pt idx="2">
                  <c:v>15</c:v>
                </c:pt>
                <c:pt idx="3">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