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8y3vt5id6ye" w:id="0"/>
      <w:bookmarkEnd w:id="0"/>
      <w:r w:rsidDel="00000000" w:rsidR="00000000" w:rsidRPr="00000000">
        <w:rPr>
          <w:rtl w:val="0"/>
        </w:rPr>
        <w:t xml:space="preserve">Strategic Analysis of IT Holding Structures and Statutory Frameworks in South Africa\n\nIn the contemporary South African corporate environment, the establishment of an IT holding company such as Veramani represents a sophisticated strategic maneuver designed to centralize intellectual property, streamline governance, and manage the complex risk profiles associated with diverse technology portfolios. As a specialized corporate vehicle within the Veralogix Group, Veramani must navigate a multifaceted regulatory landscape governed primarily by the Companies Act 71 of 2008, the King IV Report on Corporate Governance, and the stringent tax directives of the South African Revenue Service (SARS) [cite: 1, 2, 3].\n\n## 1. The Standard CIPC Registration Framework for IT Holding Entities\n\nThe most prevalent CIPC (Companies and Intellectual Property Commission) structure for an IT holding group in South Africa is the Private Company, designated as a Proprietary Limited or "(Pty) Ltd." [cite: 4, 5]. This registration requires the submission of a Notice of Incorporation (CoR14.1) and a Memorandum of Incorporation (MOI), which serves as the foundational governance document [cite: 4, 6]. For a holding entity that does not trade independently, the MOI must be meticulously drafted to empower the board to exercise control over its subsidiaries through both equity ownership and management intervention [cite: 5, 7].\n\n### CIPC Registration and Compliance Requirements\n\n| Compliance Pillar | Requirement Details | Statutory Basis |\n| :--- | :--- | :--- |\n| </w:t>
      </w:r>
      <w:r w:rsidDel="00000000" w:rsidR="00000000" w:rsidRPr="00000000">
        <w:rPr>
          <w:b w:val="1"/>
          <w:bCs w:val="1"/>
          <w:rtl w:val="0"/>
        </w:rPr>
        <w:t xml:space="preserve">Company Type</w:t>
      </w:r>
      <w:r w:rsidDel="00000000" w:rsidR="00000000" w:rsidRPr="00000000">
        <w:rPr>
          <w:rtl w:val="0"/>
        </w:rPr>
        <w:t xml:space="preserve"> | Private Company (Pty) Ltd | Companies Act S14 [cite: 4] |\n| </w:t>
      </w:r>
      <w:r w:rsidDel="00000000" w:rsidR="00000000" w:rsidRPr="00000000">
        <w:rPr>
          <w:b w:val="1"/>
          <w:bCs w:val="1"/>
          <w:rtl w:val="0"/>
        </w:rPr>
        <w:t xml:space="preserve">MOI Status</w:t>
      </w:r>
      <w:r w:rsidDel="00000000" w:rsidR="00000000" w:rsidRPr="00000000">
        <w:rPr>
          <w:rtl w:val="0"/>
        </w:rPr>
        <w:t xml:space="preserve"> | Customized to allow investment and management focus | Companies Act S15 [cite: 7] |\n| </w:t>
      </w:r>
      <w:r w:rsidDel="00000000" w:rsidR="00000000" w:rsidRPr="00000000">
        <w:rPr>
          <w:b w:val="1"/>
          <w:bCs w:val="1"/>
          <w:rtl w:val="0"/>
        </w:rPr>
        <w:t xml:space="preserve">Director Mandate</w:t>
      </w:r>
      <w:r w:rsidDel="00000000" w:rsidR="00000000" w:rsidRPr="00000000">
        <w:rPr>
          <w:rtl w:val="0"/>
        </w:rPr>
        <w:t xml:space="preserve"> | Minimum of one South African resident director | Companies Act S66 [cite: 4] |\n| </w:t>
      </w:r>
      <w:r w:rsidDel="00000000" w:rsidR="00000000" w:rsidRPr="00000000">
        <w:rPr>
          <w:b w:val="1"/>
          <w:bCs w:val="1"/>
          <w:rtl w:val="0"/>
        </w:rPr>
        <w:t xml:space="preserve">Beneficial Ownership</w:t>
      </w:r>
      <w:r w:rsidDel="00000000" w:rsidR="00000000" w:rsidRPr="00000000">
        <w:rPr>
          <w:rtl w:val="0"/>
        </w:rPr>
        <w:t xml:space="preserve"> | Mandatory filing of ultimate natural person owners | General Laws Amendment Act 22 [cite: 8] |\n| </w:t>
      </w:r>
      <w:r w:rsidDel="00000000" w:rsidR="00000000" w:rsidRPr="00000000">
        <w:rPr>
          <w:b w:val="1"/>
          <w:bCs w:val="1"/>
          <w:rtl w:val="0"/>
        </w:rPr>
        <w:t xml:space="preserve">Annual Returns</w:t>
      </w:r>
      <w:r w:rsidDel="00000000" w:rsidR="00000000" w:rsidRPr="00000000">
        <w:rPr>
          <w:rtl w:val="0"/>
        </w:rPr>
        <w:t xml:space="preserve"> | Filed within 30 business days of the anniversary date | Companies Act S33 [cite: 4] |\n\nRecent legislative amendments, specifically the General Laws Amendment Act 22 of 2022, have introduced a rigorous Beneficial Ownership (BO) transparency regime [cite: 8]. Veramani is legally obligated to maintain a Beneficial Interest Register that identifies any natural person holding a 5% or greater stake in the company, whether that stake is held directly or through intermediary corporate veils [cite: 5, 8]. This requirement is critical for maintaining compliance in the wake of South Africa's FATF greylisting, as failure to disclose ultimate human owners can lead to criminal prosecution under Section 214 of the Companies Act [cite: 8].\n\n## 2. Dynamics of Subsidiary Relationships and Risk Ring-Fencing\n\nUnder South African law, a subsidiary is defined by the parent company's ability to control the majority of the voting rights or the composition of its board of directors [cite: 5]. A holding company like Veramani generally maintains a 51% to 100% shareholding in its operating entities (Bioniq, Vcom, YAL.ai), ensuring that strategic direction is cascaded from the apex level [cite: 5, 9]. Each subsidiary maintains its own separate legal personality, which is the cornerstone of the limited liability doctrine [cite: 10].\n\nThis separation ensures that the financial liabilities or legal disputes of one subsidiary—such as a data breach in the AI anti-phishing product or an infrastructure failure in the aerial fibre network—do not automatically jeopardize the capital of the holding company or other "sister" subsidiaries [cite: 6, 10]. However, this legal wall is not absolute; under Section 20(9) of the Companies Act, a court may "pierce the corporate veil" if the holding company is found to have abused the separate juristic personality of the subsidiary for fraudulent purposes [cite: 10].\n\n## 3. Comprehensive Tax Implications and Group Relief Mechanisms\n\nThe fiscal health of an IT holding company is largely determined by its ability to utilize the tax relief provisions provided by the Income Tax Act (ITA). While South Africa does not permit consolidated tax filing for groups (each entity must file its own tax return at a 27% rate), the ITA offers several "Group Relief" provisions for companies within a 70% or greater shareholding relationship [cite: 11, 12].\n\n### 3.1 Dividends Withholding Tax (DWT) Optimization\nProfits generated by trading subsidiaries such as Bioniq are typically flowed upward to Veramani in the form of dividends. While dividends paid to individuals are subject to a 20% DWT, distributions to a South African tax-resident company are exempt [cite: 3, 13]. This allows Veramani to act as a central capital pool, receiving untaxed dividends that can be reinvested into higher-risk tech ventures like YAL.ai [cite: 3, 12].\n\n### 3.2 Inter-Company Asset Transfers and Capital Gains Tax (CGT)\nIT groups frequently undergo internal restructurings to optimize operational efficiency. Section 42 (Asset-for-Share Transactions) and Section 45 (Intra-Group Transactions) of the ITA allow for the tax-neutral transfer of assets—such as proprietary software code or network hardware—between group companies [cite: 12]. These sections effectively postpone the CGT liability until the asset is sold to an external third party, ensuring that the group's liquidity is not hampered by internal re-organizations [cite: 3, 12].\n\n## 4. Corporate Governance and the King IV Paradigm\n\nFor a diversified technology holding company, governance is not merely a box-ticking exercise but a vital tool for ensuring long-term sustainability. The King IV Code advocates for an "apply and explain" methodology, requiring the Veramani board to demonstrate how its governance practices achieve outcomes such as effective control and legitimacy [cite: 2, 14].\n\nKey governance structures essential for an IT holding company include specialized committees that oversee the high-stakes sectors of its subsidiaries [cite: 14]. The board must balance the decentralized entrepreneurial spirit of its tech divisions with a centralized risk oversight function [cite: 14]. This is particularly relevant for the Social and Ethics Committee, which must monitor the group’s impact on digital transformation in township communities (via Vcom) and ensuring compliance with the Protection of Personal Information Act (POPIA) across all AI-driven platforms [cite: 14, 15].",</w:t>
      </w:r>
    </w:p>
    <w:p w:rsidR="00000000" w:rsidDel="00000000" w:rsidP="00000000" w:rsidRDefault="00000000" w:rsidRPr="00000000" w14:paraId="00000002">
      <w:pPr>
        <w:rPr/>
      </w:pPr>
      <w:r w:rsidDel="00000000" w:rsidR="00000000" w:rsidRPr="00000000">
        <w:rPr>
          <w:rtl w:val="0"/>
        </w:rPr>
        <w:t xml:space="preserve">"subsidiary_map": "# Subsidiary Strategic Mapping: The Veramani IT and Digital Ecosystem\n\nVeramani IT Holding Company functions as the centralized technological orchestration layer for the Veralogix Group. Its primary mandate is to manage a diverse array of specialized subsidiaries that collectively provide an end-to-end industrial technology stack, specifically targeted at the mining and telecommunications sectors [cite: 16, 17, 18].\n\n## 1. Veramani IT Division: The Orchestration and AI Fabric\n\nVeramani IT is the "central brain" of the group, responsible for architecting the overarching AI and data architecture for the 16 Veralogix companies [cite: 16, 19]. Its core mission is the deployment of a sovereign AI fabric that ingests data from disparate sources—including Odoo ERP, field telemetry, and site reports—into a unified corporate knowledge graph [cite: 16].\n\n| Relationship Pillar | Implementation Details |\n| :--- | :--- |\n| </w:t>
      </w:r>
      <w:r w:rsidDel="00000000" w:rsidR="00000000" w:rsidRPr="00000000">
        <w:rPr>
          <w:b w:val="1"/>
          <w:bCs w:val="1"/>
          <w:rtl w:val="0"/>
        </w:rPr>
        <w:t xml:space="preserve">Trading Relationship</w:t>
      </w:r>
      <w:r w:rsidDel="00000000" w:rsidR="00000000" w:rsidRPr="00000000">
        <w:rPr>
          <w:rtl w:val="0"/>
        </w:rPr>
        <w:t xml:space="preserve"> | Provides high-level management and AI-agentic orchestration for all group subsidiaries [cite: 16]. |\n| </w:t>
      </w:r>
      <w:r w:rsidDel="00000000" w:rsidR="00000000" w:rsidRPr="00000000">
        <w:rPr>
          <w:b w:val="1"/>
          <w:bCs w:val="1"/>
          <w:rtl w:val="0"/>
        </w:rPr>
        <w:t xml:space="preserve">Revenue Flow Model</w:t>
      </w:r>
      <w:r w:rsidDel="00000000" w:rsidR="00000000" w:rsidRPr="00000000">
        <w:rPr>
          <w:rtl w:val="0"/>
        </w:rPr>
        <w:t xml:space="preserve"> | Management fees and shared service charges billed to operating entities based on usage of the AI fabric [cite: 20, 21]. |\n| </w:t>
      </w:r>
      <w:r w:rsidDel="00000000" w:rsidR="00000000" w:rsidRPr="00000000">
        <w:rPr>
          <w:b w:val="1"/>
          <w:bCs w:val="1"/>
          <w:rtl w:val="0"/>
        </w:rPr>
        <w:t xml:space="preserve">Shared Services</w:t>
      </w:r>
      <w:r w:rsidDel="00000000" w:rsidR="00000000" w:rsidRPr="00000000">
        <w:rPr>
          <w:rtl w:val="0"/>
        </w:rPr>
        <w:t xml:space="preserve"> | Manages the central retrieval spine, corporate knowledge graphs, and agentic dispatch system [cite: 16]. |\n\nVeramani has recently expanded its operational footprint into India (Veramanie Technologies PvT), establishing a dedicated team of red, blue, and purple security teams alongside app and web development verticals [cite: 22, 23]. This international expansion is projected to generate significant revenue, with the cyber security division alone targeting over R28 million in income [cite: 22].\n\n## 2. Bioniq (ISP): The Connectivity Backbone\n\nBioniq provides the mission-critical connectivity layer for the group’s industrial operations. Registered as Bioniq (Pty) Ltd (2015/338013/07), it utilizes a hybrid network of fibre-optic backbones and high-capacity wireless microwave infrastructure to serve remote mining and agricultural areas that national ISPs often overlook [cite: 9, 18, 24].\n\n- </w:t>
      </w:r>
      <w:r w:rsidDel="00000000" w:rsidR="00000000" w:rsidRPr="00000000">
        <w:rPr>
          <w:b w:val="1"/>
          <w:bCs w:val="1"/>
          <w:rtl w:val="0"/>
        </w:rPr>
        <w:t xml:space="preserve">Trading Relationship:</w:t>
      </w:r>
      <w:r w:rsidDel="00000000" w:rsidR="00000000" w:rsidRPr="00000000">
        <w:rPr>
          <w:rtl w:val="0"/>
        </w:rPr>
        <w:t xml:space="preserve"> Acts as the primary ISP for Veralogix mine sites, ensuring the uptime of real-time freight telemetry and condition monitoring systems [cite: 16].\n- </w:t>
      </w:r>
      <w:r w:rsidDel="00000000" w:rsidR="00000000" w:rsidRPr="00000000">
        <w:rPr>
          <w:b w:val="1"/>
          <w:bCs w:val="1"/>
          <w:rtl w:val="0"/>
        </w:rPr>
        <w:t xml:space="preserve">Revenue Flow Model:</w:t>
      </w:r>
      <w:r w:rsidDel="00000000" w:rsidR="00000000" w:rsidRPr="00000000">
        <w:rPr>
          <w:rtl w:val="0"/>
        </w:rPr>
        <w:t xml:space="preserve"> Recurring subscription revenue from domestic and corporate clients, scaling up to 1 Gbps symmetrical links [cite: 1, 18].\n- </w:t>
      </w:r>
      <w:r w:rsidDel="00000000" w:rsidR="00000000" w:rsidRPr="00000000">
        <w:rPr>
          <w:b w:val="1"/>
          <w:bCs w:val="1"/>
          <w:rtl w:val="0"/>
        </w:rPr>
        <w:t xml:space="preserve">Shared Services:</w:t>
      </w:r>
      <w:r w:rsidDel="00000000" w:rsidR="00000000" w:rsidRPr="00000000">
        <w:rPr>
          <w:rtl w:val="0"/>
        </w:rPr>
        <w:t xml:space="preserve"> Leverages Veramani's AI fabric to optimize bandwidth management and network monitoring across remote sites [cite: 25].\n\n## 3. Vcom: The Infrastructure Layer and Township Connectivity\n\nVcom (Pty) Ltd (2024/916862/07) specializes in the design, deployment, and maintenance of aerial fibre networks [cite: 15]. Positioned within the VEA Group's investment portfolio, Vcom bridges the digital divide by bringing high-speed connectivity to underserved township communities and low LSM areas [cite: 15, 26].\n\n- </w:t>
      </w:r>
      <w:r w:rsidDel="00000000" w:rsidR="00000000" w:rsidRPr="00000000">
        <w:rPr>
          <w:b w:val="1"/>
          <w:bCs w:val="1"/>
          <w:rtl w:val="0"/>
        </w:rPr>
        <w:t xml:space="preserve">Trading Relationship:</w:t>
      </w:r>
      <w:r w:rsidDel="00000000" w:rsidR="00000000" w:rsidRPr="00000000">
        <w:rPr>
          <w:rtl w:val="0"/>
        </w:rPr>
        <w:t xml:space="preserve"> Collaborates with Bioniq to provide bundled ISP and hotspot solutions, creating a ubiquitous internet experience for end-users [cite: 25].\n- </w:t>
      </w:r>
      <w:r w:rsidDel="00000000" w:rsidR="00000000" w:rsidRPr="00000000">
        <w:rPr>
          <w:b w:val="1"/>
          <w:bCs w:val="1"/>
          <w:rtl w:val="0"/>
        </w:rPr>
        <w:t xml:space="preserve">Revenue Flow Model:</w:t>
      </w:r>
      <w:r w:rsidDel="00000000" w:rsidR="00000000" w:rsidRPr="00000000">
        <w:rPr>
          <w:rtl w:val="0"/>
        </w:rPr>
        <w:t xml:space="preserve"> Project-based revenue from large-scale fibre builds, micro-trenching, and SLA-backed maintenance for municipalities [cite: 15, 26].\n- </w:t>
      </w:r>
      <w:r w:rsidDel="00000000" w:rsidR="00000000" w:rsidRPr="00000000">
        <w:rPr>
          <w:b w:val="1"/>
          <w:bCs w:val="1"/>
          <w:rtl w:val="0"/>
        </w:rPr>
        <w:t xml:space="preserve">Shared Services:</w:t>
      </w:r>
      <w:r w:rsidDel="00000000" w:rsidR="00000000" w:rsidRPr="00000000">
        <w:rPr>
          <w:rtl w:val="0"/>
        </w:rPr>
        <w:t xml:space="preserve"> Integrates its network lifecycle management with Veramani's IT infrastructure to streamline internal operations and reduce OPEX [cite: 25].\n\n## 4. YAL.ai: The Security and AI Fraud Protection Layer\n\nYAL.ai provides a specialized AI-powered communication application designed to detect and block phishing SMS and voice fraud in real-time [cite: 1]. Using multilingual scam detection and on-device processing, it ensures that sensitive data remains within the user's control [cite: 10, 13].\n\n- </w:t>
      </w:r>
      <w:r w:rsidDel="00000000" w:rsidR="00000000" w:rsidRPr="00000000">
        <w:rPr>
          <w:b w:val="1"/>
          <w:bCs w:val="1"/>
          <w:rtl w:val="0"/>
        </w:rPr>
        <w:t xml:space="preserve">Trading Relationship:</w:t>
      </w:r>
      <w:r w:rsidDel="00000000" w:rsidR="00000000" w:rsidRPr="00000000">
        <w:rPr>
          <w:rtl w:val="0"/>
        </w:rPr>
        <w:t xml:space="preserve"> Integrated into the Veralogix "risk-technology" vertical, providing security-as-a-service to group employees and external clients [cite: 27].\n- </w:t>
      </w:r>
      <w:r w:rsidDel="00000000" w:rsidR="00000000" w:rsidRPr="00000000">
        <w:rPr>
          <w:b w:val="1"/>
          <w:bCs w:val="1"/>
          <w:rtl w:val="0"/>
        </w:rPr>
        <w:t xml:space="preserve">Revenue Flow Model:</w:t>
      </w:r>
      <w:r w:rsidDel="00000000" w:rsidR="00000000" w:rsidRPr="00000000">
        <w:rPr>
          <w:rtl w:val="0"/>
        </w:rPr>
        <w:t xml:space="preserve"> Likely a SaaS (Software-as-a-Service) licensing model, providing recurring revenue per user seat [cite: 28].\n- </w:t>
      </w:r>
      <w:r w:rsidDel="00000000" w:rsidR="00000000" w:rsidRPr="00000000">
        <w:rPr>
          <w:b w:val="1"/>
          <w:bCs w:val="1"/>
          <w:rtl w:val="0"/>
        </w:rPr>
        <w:t xml:space="preserve">Synergy:</w:t>
      </w:r>
      <w:r w:rsidDel="00000000" w:rsidR="00000000" w:rsidRPr="00000000">
        <w:rPr>
          <w:rtl w:val="0"/>
        </w:rPr>
        <w:t xml:space="preserve"> Directly complements Bioniq's connectivity offerings, allowing for a secure-by-default internet package that protects industrial clients from telecommunication attacks [cite: 1, 28].\n\n## 5. Summary of Subsidiary Synergy and Revenue Flow\n\n| Entity | Primary Product/Service | Key Internal Customer | Projected Synergies |\n| :--- | :--- | :--- | :--- |\n| </w:t>
      </w:r>
      <w:r w:rsidDel="00000000" w:rsidR="00000000" w:rsidRPr="00000000">
        <w:rPr>
          <w:b w:val="1"/>
          <w:bCs w:val="1"/>
          <w:rtl w:val="0"/>
        </w:rPr>
        <w:t xml:space="preserve">Veramani IT</w:t>
      </w:r>
      <w:r w:rsidDel="00000000" w:rsidR="00000000" w:rsidRPr="00000000">
        <w:rPr>
          <w:rtl w:val="0"/>
        </w:rPr>
        <w:t xml:space="preserve"> | AI &amp; Data Orchestration | All 16 Veralogix Entities | Centralized intelligence and signal routing [cite: 16]. |\n| </w:t>
      </w:r>
      <w:r w:rsidDel="00000000" w:rsidR="00000000" w:rsidRPr="00000000">
        <w:rPr>
          <w:b w:val="1"/>
          <w:bCs w:val="1"/>
          <w:rtl w:val="0"/>
        </w:rPr>
        <w:t xml:space="preserve">Bioniq</w:t>
      </w:r>
      <w:r w:rsidDel="00000000" w:rsidR="00000000" w:rsidRPr="00000000">
        <w:rPr>
          <w:rtl w:val="0"/>
        </w:rPr>
        <w:t xml:space="preserve"> | Fibre &amp; Wireless ISP | Veralogix Mining &amp; Plant | Uptime for real-time fleet telemetry [cite: 16]. |\n| </w:t>
      </w:r>
      <w:r w:rsidDel="00000000" w:rsidR="00000000" w:rsidRPr="00000000">
        <w:rPr>
          <w:b w:val="1"/>
          <w:bCs w:val="1"/>
          <w:rtl w:val="0"/>
        </w:rPr>
        <w:t xml:space="preserve">Vcom</w:t>
      </w:r>
      <w:r w:rsidDel="00000000" w:rsidR="00000000" w:rsidRPr="00000000">
        <w:rPr>
          <w:rtl w:val="0"/>
        </w:rPr>
        <w:t xml:space="preserve"> | Aerial Fibre Build | Municipalities/Bioniq | Infrastructure for bundled retail ISP packages [cite: 25]. |\n| </w:t>
      </w:r>
      <w:r w:rsidDel="00000000" w:rsidR="00000000" w:rsidRPr="00000000">
        <w:rPr>
          <w:b w:val="1"/>
          <w:bCs w:val="1"/>
          <w:rtl w:val="0"/>
        </w:rPr>
        <w:t xml:space="preserve">YAL.ai</w:t>
      </w:r>
      <w:r w:rsidDel="00000000" w:rsidR="00000000" w:rsidRPr="00000000">
        <w:rPr>
          <w:rtl w:val="0"/>
        </w:rPr>
        <w:t xml:space="preserve"> | AI Anti-Phishing | External Corporate Clients | High-margin security SaaS for industrial portals [cite: 1]. |",</w:t>
        <w:br w:type="textWrapping"/>
        <w:t xml:space="preserve">"benchmark_context": "# South African IT Sector Holding Company Benchmarking\n\nThe IT sector in South Africa is characterized by a mix of massive, legacy systems integrators and highly specialized, agile holding groups. Veramani's strategic positioning within the mining and industrial sector requires benchmarking against tier-one peers to optimize its overheads and governance [cite: 17, 24].\n\n## 1. Comparable South African IT Holding Groups\n\n| Peer Group | Core Strategic Positioning | Scale and Workforce | Key Differentiator |\n| :--- | :--- | :--- | :--- |\n| </w:t>
      </w:r>
      <w:r w:rsidDel="00000000" w:rsidR="00000000" w:rsidRPr="00000000">
        <w:rPr>
          <w:b w:val="1"/>
          <w:bCs w:val="1"/>
          <w:rtl w:val="0"/>
        </w:rPr>
        <w:t xml:space="preserve">Dimension Data (NTT)</w:t>
      </w:r>
      <w:r w:rsidDel="00000000" w:rsidR="00000000" w:rsidRPr="00000000">
        <w:rPr>
          <w:rtl w:val="0"/>
        </w:rPr>
        <w:t xml:space="preserve"> | Global Managed Services | Multinational Enterprise | Tier-one data center and cloud infrastructure [cite: 29, 30]. |\n| </w:t>
      </w:r>
      <w:r w:rsidDel="00000000" w:rsidR="00000000" w:rsidRPr="00000000">
        <w:rPr>
          <w:b w:val="1"/>
          <w:bCs w:val="1"/>
          <w:rtl w:val="0"/>
        </w:rPr>
        <w:t xml:space="preserve">BCX (Telkom Group)</w:t>
      </w:r>
      <w:r w:rsidDel="00000000" w:rsidR="00000000" w:rsidRPr="00000000">
        <w:rPr>
          <w:rtl w:val="0"/>
        </w:rPr>
        <w:t xml:space="preserve"> | 4IR Digital Strategy | 7,000 Employees | Institutional scale; serving large municipalities and mines [cite: 17, 24]. |\n| </w:t>
      </w:r>
      <w:r w:rsidDel="00000000" w:rsidR="00000000" w:rsidRPr="00000000">
        <w:rPr>
          <w:b w:val="1"/>
          <w:bCs w:val="1"/>
          <w:rtl w:val="0"/>
        </w:rPr>
        <w:t xml:space="preserve">EOH Holdings (iOCO)</w:t>
      </w:r>
      <w:r w:rsidDel="00000000" w:rsidR="00000000" w:rsidRPr="00000000">
        <w:rPr>
          <w:rtl w:val="0"/>
        </w:rPr>
        <w:t xml:space="preserve"> | IT/OT Unification | 4,500+ Professionals | Expert in bridging PLCs/SCADA with modern cloud [cite: 24]. |\n| </w:t>
      </w:r>
      <w:r w:rsidDel="00000000" w:rsidR="00000000" w:rsidRPr="00000000">
        <w:rPr>
          <w:b w:val="1"/>
          <w:bCs w:val="1"/>
          <w:rtl w:val="0"/>
        </w:rPr>
        <w:t xml:space="preserve">Datacentrix</w:t>
      </w:r>
      <w:r w:rsidDel="00000000" w:rsidR="00000000" w:rsidRPr="00000000">
        <w:rPr>
          <w:rtl w:val="0"/>
        </w:rPr>
        <w:t xml:space="preserve"> | Hybrid IT Integration | 1,500 Employees | Focus on data readiness and AI governance [cite: 24, 30]. |\n| </w:t>
      </w:r>
      <w:r w:rsidDel="00000000" w:rsidR="00000000" w:rsidRPr="00000000">
        <w:rPr>
          <w:b w:val="1"/>
          <w:bCs w:val="1"/>
          <w:rtl w:val="0"/>
        </w:rPr>
        <w:t xml:space="preserve">Altron Group</w:t>
      </w:r>
      <w:r w:rsidDel="00000000" w:rsidR="00000000" w:rsidRPr="00000000">
        <w:rPr>
          <w:rtl w:val="0"/>
        </w:rPr>
        <w:t xml:space="preserve"> | Regulatory Compliance | Large Enterprise | Leveraging mandatory safety systems as an IT gateway [cite: 24]. |\n\n## 2. Typical Financial and Overhead Benchmarks\n\nAnalysis of the South African tech industry shows that the sector currently trades at a Price-to-Earnings (PE) ratio of 11.7x, which is a significant contraction from the 3-year average of 58.1x [cite: 31]. This suggests that investors are currently valuing stability and efficient cost management over speculative high growth. Earnings are forecast to grow at approximately 7.4% annually for the sector [cite: 31].\n\n### 2.1 Overhead Ratios in IT Holding Groups\nOverhead ratios in South African IT holding companies typically range from </w:t>
      </w:r>
      <w:r w:rsidDel="00000000" w:rsidR="00000000" w:rsidRPr="00000000">
        <w:rPr>
          <w:b w:val="1"/>
          <w:bCs w:val="1"/>
          <w:rtl w:val="0"/>
        </w:rPr>
        <w:t xml:space="preserve">15% to 35%</w:t>
      </w:r>
      <w:r w:rsidDel="00000000" w:rsidR="00000000" w:rsidRPr="00000000">
        <w:rPr>
          <w:rtl w:val="0"/>
        </w:rPr>
        <w:t xml:space="preserve"> of total revenue [cite: 32]. Groups that follow a lean management model with minimal centralized staff can achieve ratios below 20%, whereas companies that maintain a heavy internal shared services department—such as Veramani's 20-person team in India and 10+ person team in SA—often see overheads closer to 35% [cite: 22, 32].\n\n- </w:t>
      </w:r>
      <w:r w:rsidDel="00000000" w:rsidR="00000000" w:rsidRPr="00000000">
        <w:rPr>
          <w:b w:val="1"/>
          <w:bCs w:val="1"/>
          <w:rtl w:val="0"/>
        </w:rPr>
        <w:t xml:space="preserve">Administrative Salaries:</w:t>
      </w:r>
      <w:r w:rsidDel="00000000" w:rsidR="00000000" w:rsidRPr="00000000">
        <w:rPr>
          <w:rtl w:val="0"/>
        </w:rPr>
        <w:t xml:space="preserve"> A major driver of overhead, encompassing CIOs, FM (Financial Managers), and HR professionals [cite: 22].\n- </w:t>
      </w:r>
      <w:r w:rsidDel="00000000" w:rsidR="00000000" w:rsidRPr="00000000">
        <w:rPr>
          <w:b w:val="1"/>
          <w:bCs w:val="1"/>
          <w:rtl w:val="0"/>
        </w:rPr>
        <w:t xml:space="preserve">Hardware &amp; Software Surcharges:</w:t>
      </w:r>
      <w:r w:rsidDel="00000000" w:rsidR="00000000" w:rsidRPr="00000000">
        <w:rPr>
          <w:rtl w:val="0"/>
        </w:rPr>
        <w:t xml:space="preserve"> Centralized procurement of internal tools often adds a 5% to 10% surcharge back to the operating subsidiaries [cite: 22, 33].\n- </w:t>
      </w:r>
      <w:r w:rsidDel="00000000" w:rsidR="00000000" w:rsidRPr="00000000">
        <w:rPr>
          <w:b w:val="1"/>
          <w:bCs w:val="1"/>
          <w:rtl w:val="0"/>
        </w:rPr>
        <w:t xml:space="preserve">Profit Margins:</w:t>
      </w:r>
      <w:r w:rsidDel="00000000" w:rsidR="00000000" w:rsidRPr="00000000">
        <w:rPr>
          <w:rtl w:val="0"/>
        </w:rPr>
        <w:t xml:space="preserve"> Large-scale enterprises like Datacentrix maintain stable profit ratios of approximately 0.14 (14%), whereas smaller, more specialized IT firms can see ratios as high as 0.23 (23%) if overhead is tightly controlled [cite: 34].\n\n## 3. Governance Structures and Best Practices\n\nLeading IT holding groups maintain a Unitary Board structure, typically comprising a balanced mix of executive and independent non-executive directors [cite: 8, 14]. This balance is essential for providing objective judgment and challenging management on high-risk technical decisions [cite: 14].\n\n### 3.1 Board Committee Architecture\n- </w:t>
      </w:r>
      <w:r w:rsidDel="00000000" w:rsidR="00000000" w:rsidRPr="00000000">
        <w:rPr>
          <w:b w:val="1"/>
          <w:bCs w:val="1"/>
          <w:rtl w:val="0"/>
        </w:rPr>
        <w:t xml:space="preserve">Audit and Risk Committee:</w:t>
      </w:r>
      <w:r w:rsidDel="00000000" w:rsidR="00000000" w:rsidRPr="00000000">
        <w:rPr>
          <w:rtl w:val="0"/>
        </w:rPr>
        <w:t xml:space="preserve"> Must prioritize data sovereignty, POPIA compliance, and the unique cybersecurity risks of AI [cite: 1, 2].\n- </w:t>
      </w:r>
      <w:r w:rsidDel="00000000" w:rsidR="00000000" w:rsidRPr="00000000">
        <w:rPr>
          <w:b w:val="1"/>
          <w:bCs w:val="1"/>
          <w:rtl w:val="0"/>
        </w:rPr>
        <w:t xml:space="preserve">Remuneration Committee:</w:t>
      </w:r>
      <w:r w:rsidDel="00000000" w:rsidR="00000000" w:rsidRPr="00000000">
        <w:rPr>
          <w:rtl w:val="0"/>
        </w:rPr>
        <w:t xml:space="preserve"> Ensures that executive pay is tied to the successful digital transformation of the group's subsidiaries [cite: 14].\n- </w:t>
      </w:r>
      <w:r w:rsidDel="00000000" w:rsidR="00000000" w:rsidRPr="00000000">
        <w:rPr>
          <w:b w:val="1"/>
          <w:bCs w:val="1"/>
          <w:rtl w:val="0"/>
        </w:rPr>
        <w:t xml:space="preserve">B-BBEE Strategy:</w:t>
      </w:r>
      <w:r w:rsidDel="00000000" w:rsidR="00000000" w:rsidRPr="00000000">
        <w:rPr>
          <w:rtl w:val="0"/>
        </w:rPr>
        <w:t xml:space="preserve"> High-performing groups like Datacentrix maintain a </w:t>
      </w:r>
      <w:r w:rsidDel="00000000" w:rsidR="00000000" w:rsidRPr="00000000">
        <w:rPr>
          <w:b w:val="1"/>
          <w:bCs w:val="1"/>
          <w:rtl w:val="0"/>
        </w:rPr>
        <w:t xml:space="preserve">Level 1 B-BBEE rating</w:t>
      </w:r>
      <w:r w:rsidDel="00000000" w:rsidR="00000000" w:rsidRPr="00000000">
        <w:rPr>
          <w:rtl w:val="0"/>
        </w:rPr>
        <w:t xml:space="preserve">, which is essential for winning large-scale SOE tenders in South Africa [cite: 24, 35]. Veramani should aim for a consolidated scorecard to leverage the parent's ownership status across its newer subsidiaries [cite: 8].\n\n### 3.2 Listing Requirements for Capital Expansion\nShould Veramani seek to list on the JSE to raise growth capital, it must navigate the 2026 JSE Simplification Project rules. Listing on the Main Board requires an NAV of at least R500 million, while the AltX board offers a more accessible path for high-growth tech firms with an NAV of R50 million and no historical profit requirement [cite: 8].",</w:t>
        <w:br w:type="textWrapping"/>
        <w:t xml:space="preserve">"open_questions": "# Strategic Clarifications and Corporate Registry Summary\n\nBased on an exhaustive review of Veralogix Group’s internal documentation, CIPC registry records, and market intelligence, the following answers resolve the primary open questions for Veramani [cite: 9, 18].\n\n## 1. Veramani Registration and Status\n\nResearch definitively confirms that </w:t>
      </w:r>
      <w:r w:rsidDel="00000000" w:rsidR="00000000" w:rsidRPr="00000000">
        <w:rPr>
          <w:b w:val="1"/>
          <w:bCs w:val="1"/>
          <w:rtl w:val="0"/>
        </w:rPr>
        <w:t xml:space="preserve">Veramani is a registered holding company</w:t>
      </w:r>
      <w:r w:rsidDel="00000000" w:rsidR="00000000" w:rsidRPr="00000000">
        <w:rPr>
          <w:rtl w:val="0"/>
        </w:rPr>
        <w:t xml:space="preserve">, not merely a trading name [cite: 9]. It is established as a central management vehicle and IT services provider [cite: 17].\n\n- </w:t>
      </w:r>
      <w:r w:rsidDel="00000000" w:rsidR="00000000" w:rsidRPr="00000000">
        <w:rPr>
          <w:b w:val="1"/>
          <w:bCs w:val="1"/>
          <w:rtl w:val="0"/>
        </w:rPr>
        <w:t xml:space="preserve">Exact CIPC Name:</w:t>
      </w:r>
      <w:r w:rsidDel="00000000" w:rsidR="00000000" w:rsidRPr="00000000">
        <w:rPr>
          <w:rtl w:val="0"/>
        </w:rPr>
        <w:t xml:space="preserve"> VERAMANI (PTY) LTD [cite: 9].\n- </w:t>
      </w:r>
      <w:r w:rsidDel="00000000" w:rsidR="00000000" w:rsidRPr="00000000">
        <w:rPr>
          <w:b w:val="1"/>
          <w:bCs w:val="1"/>
          <w:rtl w:val="0"/>
        </w:rPr>
        <w:t xml:space="preserve">CIPC Registration Number:</w:t>
      </w:r>
      <w:r w:rsidDel="00000000" w:rsidR="00000000" w:rsidRPr="00000000">
        <w:rPr>
          <w:rtl w:val="0"/>
        </w:rPr>
        <w:t xml:space="preserve"> 2026/745083/07 [cite: 9].\n- </w:t>
      </w:r>
      <w:r w:rsidDel="00000000" w:rsidR="00000000" w:rsidRPr="00000000">
        <w:rPr>
          <w:b w:val="1"/>
          <w:bCs w:val="1"/>
          <w:rtl w:val="0"/>
        </w:rPr>
        <w:t xml:space="preserve">Physical Headquarters:</w:t>
      </w:r>
      <w:r w:rsidDel="00000000" w:rsidR="00000000" w:rsidRPr="00000000">
        <w:rPr>
          <w:rtl w:val="0"/>
        </w:rPr>
        <w:t xml:space="preserve"> 3A Laver Street, Clubville, Middelburg, 1050 [cite: 1, 18].\n- </w:t>
      </w:r>
      <w:r w:rsidDel="00000000" w:rsidR="00000000" w:rsidRPr="00000000">
        <w:rPr>
          <w:b w:val="1"/>
          <w:bCs w:val="1"/>
          <w:rtl w:val="0"/>
        </w:rPr>
        <w:t xml:space="preserve">Administrative Lead:</w:t>
      </w:r>
      <w:r w:rsidDel="00000000" w:rsidR="00000000" w:rsidRPr="00000000">
        <w:rPr>
          <w:rtl w:val="0"/>
        </w:rPr>
        <w:t xml:space="preserve"> Anil [Surname TBC], serving as the CIO/overall lead [cite: 22].\n\n## 2. Ownership and Shareholding Structures\n\nThe current shareholding of the technology subsidiaries is centralized at the apex holding level rather than being held directly by the Veramani intermediate company [cite: 9].\n\n- </w:t>
      </w:r>
      <w:r w:rsidDel="00000000" w:rsidR="00000000" w:rsidRPr="00000000">
        <w:rPr>
          <w:b w:val="1"/>
          <w:bCs w:val="1"/>
          <w:rtl w:val="0"/>
        </w:rPr>
        <w:t xml:space="preserve">Bioniq (Pty) Ltd (2015/338013/07):</w:t>
      </w:r>
      <w:r w:rsidDel="00000000" w:rsidR="00000000" w:rsidRPr="00000000">
        <w:rPr>
          <w:rtl w:val="0"/>
        </w:rPr>
        <w:t xml:space="preserve"> 100% shareholding is held by </w:t>
      </w:r>
      <w:r w:rsidDel="00000000" w:rsidR="00000000" w:rsidRPr="00000000">
        <w:rPr>
          <w:b w:val="1"/>
          <w:bCs w:val="1"/>
          <w:rtl w:val="0"/>
        </w:rPr>
        <w:t xml:space="preserve">Veralogix Holdings (Pty) Ltd</w:t>
      </w:r>
      <w:r w:rsidDel="00000000" w:rsidR="00000000" w:rsidRPr="00000000">
        <w:rPr>
          <w:rtl w:val="0"/>
        </w:rPr>
        <w:t xml:space="preserve"> [cite: 9].\n- </w:t>
      </w:r>
      <w:r w:rsidDel="00000000" w:rsidR="00000000" w:rsidRPr="00000000">
        <w:rPr>
          <w:b w:val="1"/>
          <w:bCs w:val="1"/>
          <w:rtl w:val="0"/>
        </w:rPr>
        <w:t xml:space="preserve">Vcom (Pty) Ltd (2024/916862/07):</w:t>
      </w:r>
      <w:r w:rsidDel="00000000" w:rsidR="00000000" w:rsidRPr="00000000">
        <w:rPr>
          <w:rtl w:val="0"/>
        </w:rPr>
        <w:t xml:space="preserve"> 100% shareholding is held by </w:t>
      </w:r>
      <w:r w:rsidDel="00000000" w:rsidR="00000000" w:rsidRPr="00000000">
        <w:rPr>
          <w:b w:val="1"/>
          <w:bCs w:val="1"/>
          <w:rtl w:val="0"/>
        </w:rPr>
        <w:t xml:space="preserve">Veralogix Holdings (Pty) Ltd</w:t>
      </w:r>
      <w:r w:rsidDel="00000000" w:rsidR="00000000" w:rsidRPr="00000000">
        <w:rPr>
          <w:rtl w:val="0"/>
        </w:rPr>
        <w:t xml:space="preserve"> [cite: 9].\n- </w:t>
      </w:r>
      <w:r w:rsidDel="00000000" w:rsidR="00000000" w:rsidRPr="00000000">
        <w:rPr>
          <w:b w:val="1"/>
          <w:bCs w:val="1"/>
          <w:rtl w:val="0"/>
        </w:rPr>
        <w:t xml:space="preserve">Veramani’s Role:</w:t>
      </w:r>
      <w:r w:rsidDel="00000000" w:rsidR="00000000" w:rsidRPr="00000000">
        <w:rPr>
          <w:rtl w:val="0"/>
        </w:rPr>
        <w:t xml:space="preserve"> While not currently the direct shareholder in the CIPC registry, Veramani functions as the </w:t>
      </w:r>
      <w:r w:rsidDel="00000000" w:rsidR="00000000" w:rsidRPr="00000000">
        <w:rPr>
          <w:b w:val="1"/>
          <w:bCs w:val="1"/>
          <w:rtl w:val="0"/>
        </w:rPr>
        <w:t xml:space="preserve">contractual manager and service provider</w:t>
      </w:r>
      <w:r w:rsidDel="00000000" w:rsidR="00000000" w:rsidRPr="00000000">
        <w:rPr>
          <w:rtl w:val="0"/>
        </w:rPr>
        <w:t xml:space="preserve"> [cite: 28, 29]. This is formalized through Management Services Agreements (MSAs), where Veramani provides the "AI Fabric" and technical oversight in exchange for management fees [cite: 20, 25].\n\n## 3. Relationship with Veralogix Mining\n\nVeramani IT and Veralogix Mining are "sister" divisions that form a vertically integrated industrial ecosystem under the control of </w:t>
      </w:r>
      <w:r w:rsidDel="00000000" w:rsidR="00000000" w:rsidRPr="00000000">
        <w:rPr>
          <w:b w:val="1"/>
          <w:bCs w:val="1"/>
          <w:rtl w:val="0"/>
        </w:rPr>
        <w:t xml:space="preserve">George Peter van der Merwe</w:t>
      </w:r>
      <w:r w:rsidDel="00000000" w:rsidR="00000000" w:rsidRPr="00000000">
        <w:rPr>
          <w:rtl w:val="0"/>
        </w:rPr>
        <w:t xml:space="preserve"> [cite: 1, 9, 18].\n\n- </w:t>
      </w:r>
      <w:r w:rsidDel="00000000" w:rsidR="00000000" w:rsidRPr="00000000">
        <w:rPr>
          <w:b w:val="1"/>
          <w:bCs w:val="1"/>
          <w:rtl w:val="0"/>
        </w:rPr>
        <w:t xml:space="preserve">Strategic Link:</w:t>
      </w:r>
      <w:r w:rsidDel="00000000" w:rsidR="00000000" w:rsidRPr="00000000">
        <w:rPr>
          <w:rtl w:val="0"/>
        </w:rPr>
        <w:t xml:space="preserve"> Veralogix Mining conducts the physical extraction and logistics (Salaria, Treadstone), while Veramani IT provides the digital infrastructure to make these mines "intelligent" [cite: 8, 18].\n- </w:t>
      </w:r>
      <w:r w:rsidDel="00000000" w:rsidR="00000000" w:rsidRPr="00000000">
        <w:rPr>
          <w:b w:val="1"/>
          <w:bCs w:val="1"/>
          <w:rtl w:val="0"/>
        </w:rPr>
        <w:t xml:space="preserve">Synergistic Dependency:</w:t>
      </w:r>
      <w:r w:rsidDel="00000000" w:rsidR="00000000" w:rsidRPr="00000000">
        <w:rPr>
          <w:rtl w:val="0"/>
        </w:rPr>
        <w:t xml:space="preserve"> The mining division relies on Bioniq for remote connectivity and Veramani’s AI fabric for cross-company signal routing, such as automatically detecting and responding to site security breaches or logistics bottlenecks [cite: 16].\n\n## 4. Consolidated Group Registry Overview\n\n| Entity Name | Registration Number | Primary Function | Primary Shareholder |\n| :--- | :--- | :--- | :--- |\n| </w:t>
      </w:r>
      <w:r w:rsidDel="00000000" w:rsidR="00000000" w:rsidRPr="00000000">
        <w:rPr>
          <w:b w:val="1"/>
          <w:bCs w:val="1"/>
          <w:rtl w:val="0"/>
        </w:rPr>
        <w:t xml:space="preserve">Veralogix Group (Holdings)</w:t>
      </w:r>
      <w:r w:rsidDel="00000000" w:rsidR="00000000" w:rsidRPr="00000000">
        <w:rPr>
          <w:rtl w:val="0"/>
        </w:rPr>
        <w:t xml:space="preserve"> | K2022266878 | Ultimate Parent | GP van der Merwe [cite: 9, 18] |\n| </w:t>
      </w:r>
      <w:r w:rsidDel="00000000" w:rsidR="00000000" w:rsidRPr="00000000">
        <w:rPr>
          <w:b w:val="1"/>
          <w:bCs w:val="1"/>
          <w:rtl w:val="0"/>
        </w:rPr>
        <w:t xml:space="preserve">Veramani (Pty) Ltd</w:t>
      </w:r>
      <w:r w:rsidDel="00000000" w:rsidR="00000000" w:rsidRPr="00000000">
        <w:rPr>
          <w:rtl w:val="0"/>
        </w:rPr>
        <w:t xml:space="preserve"> | 2026/745083/07 | IT Holding &amp; AI Fabric | Veralogix Holdings [cite: 9] |\n| </w:t>
      </w:r>
      <w:r w:rsidDel="00000000" w:rsidR="00000000" w:rsidRPr="00000000">
        <w:rPr>
          <w:b w:val="1"/>
          <w:bCs w:val="1"/>
          <w:rtl w:val="0"/>
        </w:rPr>
        <w:t xml:space="preserve">Bioniq (Pty) Ltd</w:t>
      </w:r>
      <w:r w:rsidDel="00000000" w:rsidR="00000000" w:rsidRPr="00000000">
        <w:rPr>
          <w:rtl w:val="0"/>
        </w:rPr>
        <w:t xml:space="preserve"> | 2015/338013/07 | Connectivity Backbone | Veralogix Holdings [cite: 9] |\n| </w:t>
      </w:r>
      <w:r w:rsidDel="00000000" w:rsidR="00000000" w:rsidRPr="00000000">
        <w:rPr>
          <w:b w:val="1"/>
          <w:bCs w:val="1"/>
          <w:rtl w:val="0"/>
        </w:rPr>
        <w:t xml:space="preserve">V-com (Pty) Ltd</w:t>
      </w:r>
      <w:r w:rsidDel="00000000" w:rsidR="00000000" w:rsidRPr="00000000">
        <w:rPr>
          <w:rtl w:val="0"/>
        </w:rPr>
        <w:t xml:space="preserve"> | 2024/916862/07 | Aerial Fibre Build | Veralogix Holdings [cite: 9] |\n| </w:t>
      </w:r>
      <w:r w:rsidDel="00000000" w:rsidR="00000000" w:rsidRPr="00000000">
        <w:rPr>
          <w:b w:val="1"/>
          <w:bCs w:val="1"/>
          <w:rtl w:val="0"/>
        </w:rPr>
        <w:t xml:space="preserve">Veralogix Mining (Pty) Ltd</w:t>
      </w:r>
      <w:r w:rsidDel="00000000" w:rsidR="00000000" w:rsidRPr="00000000">
        <w:rPr>
          <w:rtl w:val="0"/>
        </w:rPr>
        <w:t xml:space="preserve"> | 2019/619782/07 | Contract Mining | Veralogix Holdings [cite: 9] |"</w:t>
        <w:br w:type="textWrapping"/>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Sources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[Company research report.docx](https://drive.google.com/open?id=1U7lU_vOKXm4NRgTAUWMCxa7h2adDCvJV)</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[Corporate Governance for Subsidiaries in South Africa - Lawzana](https://lawzana.com/articles/south-africa/corporate-governance-for-subsidiaries-in-south-africa-1110)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[Global tax guide to doing business in South Africa - Dentons](https://www.dentons.com/en/services-and-solutions/global-tax-guide-to-doing-business-in/south-africa)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 [CIPC Company Registration Guide: Pty Ltd Setup - BoDocs.blog](https://www.blog.bodocs.co.za/2025/08/13/cipc-private-company-registration-guide-pty-ltd/)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5. [Holding Companies Explained](https://companypartners.co.za/holding-companies-explained/)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6. [How to Set Up a Subsidiary in South Africa | G-P - Globalization Partners](https://www.globalization-partners.com/globalpedia/south-africa/subsidiary/)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7. [CIPC Guidelines for New Companies | PDF | Board Of Directors | Proxy Voting - Scribd](https://www.scribd.com/document/741745050/CoR15-1-A-9409424602)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8. [Veralogix Holdings _ Properties _ Projects (Corporate Structure Intelligence).md](https://drive.google.com/open?id=18H09WE992KqCQcUryqp4m41BOfNMiY6J)</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9. [1487c794-a398-4256-9e67-519d46961706_Correspondence Part 12.md](https://drive.google.com/open?id=1VvH-a5E46Lhyf3tgbN4N5Vfjc8kgjFo1)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10. [PIERCING THE CORPORATE VEIL IN A HOLDING / SUBSIDIARY RELATIONSHIP - University of Pretoria](https://repository.up.ac.za/bitstreams/5165ac16-88b1-4f5b-8ed4-03b42086a864/download)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11. [South Africa Branch Subsidiary: Key Differences Explained | EOACC](https://eoacc.com/industry-specific-advice/business-in-south-africa/south-africa-branch-subsidiary-key-differences-explained/)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12. [South Africa Tax Guide | Moore Global](https://www.moore-global.com/services/tax/international-corporate-tax/south-africa/)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13. [South Africa - Corporate - Withholding taxes - Worldwide Tax Summaries](https://taxsummaries.pwc.com/south-africa/corporate/withholding-taxes)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14. [Market Intelligence Framework for Veralogix Holdings and Subsidiaries.docx](https://drive.google.com/open?id=1_aaq8FoAldv1Ki34fKOTKlP6qIU20L6Z)</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15. [VCOM Infrastructure Portal](https://v-com.co.za/)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16. [Veralogix Signal Routing Rules](https://drive.google.com/open?id=1CcZOXDbhYiL32GnDSdGGMbw_l0dBtD_2IBtnTvQPOhw)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17. [Veramani Market Intelligence Report](https://drive.google.com/open?id=1LJyNZZq8Db6LIT0ALHwApwc4mvnuuGcT)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18. [Veralogix Group - Detailed Research Report](https://drive.google.com/open?id=1Qz4DnPB--HS8inBXC8leR8DB01SrRH3xXVtIIMDsvIs)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19. [Veralogix Signal Routing Rules](https://drive.google.com/open?id=1eEg4ymQXRNNSKSVTLUolZZkYZBleaV7GI5aJjYZK3Zc)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20. [Document from Andries Liebenberg](https://drive.google.com/open?id=1FKkH2sPeDtdCcbU9kNdXdkR_-MAa08DK)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21. [Veralogix_Brief_to_NGD_Maritz_SC_V5 (1).docx](https://drive.google.com/open?id=1gQFb8BDQ0rj0VYbRDE_Ki3c9lTFCbbDJ)</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22. [00005875-Veramani Tracker for George.xlsx](https://drive.google.com/open?id=1EHN_l2WbLozmyM0tWylHmUvYEBHWVecE)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23. [00008986-Veramani Tracker for George.xlsx](https://drive.google.com/open?id=1FQUQD0OWf9J0IyhalGSgi5u_uogpvwi4)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24. [Veramani Competitive Intelligence Research](https://drive.google.com/open?id=1buETNlePg_J0BsoMqMD4iAOL2bET5VTErP8jXOh_nx0)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25. [Competitive and Market Intelligence for Vcom in South Africa_20260713111203.docx](https://drive.google.com/open?id=1nn2HGWFP7NQY4X1EABGntaOtflR7tZVy)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26. [Portfolio – VEA Group](https://veagroup.co.za/portfolio/)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27. [Company research report.docx](https://drive.google.com/open?id=1K76iFtupbwNrwLsXSydQe2jbYOc9LnVt)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28. [https://drive.google.com/open?id=1IP6jAq1X0AxUD7uSKXCvCrPTl-CNxZ3e](https://drive.google.com/open?id=1IP6jAq1X0AxUD7uSKXCvCrPTl-CNxZ3e)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29. [https://drive.google.com/open?id=1GfCe4GT4Du0KjnIGC-W_pzVHloZpBkFk](https://drive.google.com/open?id=1GfCe4GT4Du0KjnIGC-W_pzVHloZpBkFk)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30. [Dcx annual report.cdr - Datacentrix](https://www.datacentrix.co.za/uploads/8/3/1/1/83111140/datacentrix_annual_report_2026.pdf)</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31. [South African (JSE) Tech Sector Analysis - Simply Wall St](https://simplywall.st/markets/za/tech)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32. [Overhead Ratio: Definition, Calculation &amp; Examples - Ramp](https://ramp.com/blog/business-banking/overhead-ratio)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33. [Overhead surcharges &amp; benchmark data - Costdata](https://www.costdata.de/en/blog/overhead-surcharges-overhead-costs-benchmark-data-benchmarks)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34. [Quarterly Financial Statistics: Ratio Analysis](https://www.statssa.gov.za/?p=1656)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35. [Datacentrix Infocentrix Second Edition 2023 A4.cdr](https://www.datacentrix.co.za/uploads/8/3/1/1/83111140/datacentrix_infocentrix_second_edition_2023_a4.pdf)</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Medium">
    <w:embedRegular w:fontKey="{00000000-0000-0000-0000-000000000000}" r:id="rId3" w:subsetted="0"/>
    <w:embedBold w:fontKey="{00000000-0000-0000-0000-000000000000}" r:id="rId4" w:subsetted="0"/>
  </w:font>
  <w:font w:name="Kalam">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color w:val="1f1f1f"/>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Kalam" w:cs="Kalam" w:eastAsia="Kalam" w:hAnsi="Kalam"/>
      <w:b w:val="1"/>
      <w:bCs w:val="1"/>
      <w:color w:val="1f1f1f"/>
      <w:sz w:val="48"/>
      <w:szCs w:val="48"/>
    </w:rPr>
  </w:style>
  <w:style w:type="paragraph" w:styleId="Heading2">
    <w:name w:val="heading 2"/>
    <w:basedOn w:val="Normal"/>
    <w:next w:val="Normal"/>
    <w:pPr>
      <w:keepNext w:val="1"/>
      <w:keepLines w:val="1"/>
      <w:pageBreakBefore w:val="0"/>
      <w:spacing w:after="80" w:before="360" w:lineRule="auto"/>
    </w:pPr>
    <w:rPr>
      <w:rFonts w:ascii="Kalam" w:cs="Kalam" w:eastAsia="Kalam" w:hAnsi="Kalam"/>
      <w:b w:val="1"/>
      <w:bCs w:val="1"/>
      <w:color w:val="1f1f1f"/>
      <w:sz w:val="36"/>
      <w:szCs w:val="36"/>
    </w:rPr>
  </w:style>
  <w:style w:type="paragraph" w:styleId="Heading3">
    <w:name w:val="heading 3"/>
    <w:basedOn w:val="Normal"/>
    <w:next w:val="Normal"/>
    <w:pPr>
      <w:keepNext w:val="1"/>
      <w:keepLines w:val="1"/>
      <w:pageBreakBefore w:val="0"/>
      <w:spacing w:after="80" w:before="280" w:lineRule="auto"/>
    </w:pPr>
    <w:rPr>
      <w:rFonts w:ascii="Kalam" w:cs="Kalam" w:eastAsia="Kalam" w:hAnsi="Kalam"/>
      <w:b w:val="1"/>
      <w:bCs w:val="1"/>
      <w:color w:val="1f1f1f"/>
      <w:sz w:val="28"/>
      <w:szCs w:val="28"/>
    </w:rPr>
  </w:style>
  <w:style w:type="paragraph" w:styleId="Heading4">
    <w:name w:val="heading 4"/>
    <w:basedOn w:val="Normal"/>
    <w:next w:val="Normal"/>
    <w:pPr>
      <w:keepNext w:val="1"/>
      <w:keepLines w:val="1"/>
      <w:pageBreakBefore w:val="0"/>
      <w:spacing w:after="40" w:before="240" w:lineRule="auto"/>
    </w:pPr>
    <w:rPr>
      <w:rFonts w:ascii="Kalam" w:cs="Kalam" w:eastAsia="Kalam" w:hAnsi="Kalam"/>
      <w:b w:val="1"/>
      <w:bCs w:val="1"/>
      <w:color w:val="1f1f1f"/>
      <w:sz w:val="24"/>
      <w:szCs w:val="24"/>
    </w:rPr>
  </w:style>
  <w:style w:type="paragraph" w:styleId="Heading5">
    <w:name w:val="heading 5"/>
    <w:basedOn w:val="Normal"/>
    <w:next w:val="Normal"/>
    <w:pPr>
      <w:keepNext w:val="1"/>
      <w:keepLines w:val="1"/>
      <w:pageBreakBefore w:val="0"/>
      <w:spacing w:after="40" w:before="220" w:lineRule="auto"/>
    </w:pPr>
    <w:rPr>
      <w:rFonts w:ascii="Lexend Medium" w:cs="Lexend Medium" w:eastAsia="Lexend Medium" w:hAnsi="Lexend Medium"/>
      <w:b w:val="1"/>
      <w:bCs w:val="1"/>
      <w:color w:val="1f1f1f"/>
      <w:sz w:val="24"/>
      <w:szCs w:val="24"/>
    </w:rPr>
  </w:style>
  <w:style w:type="paragraph" w:styleId="Heading6">
    <w:name w:val="heading 6"/>
    <w:basedOn w:val="Normal"/>
    <w:next w:val="Normal"/>
    <w:pPr>
      <w:keepNext w:val="1"/>
      <w:keepLines w:val="1"/>
      <w:pageBreakBefore w:val="0"/>
      <w:spacing w:after="40" w:before="200" w:lineRule="auto"/>
    </w:pPr>
    <w:rPr>
      <w:rFonts w:ascii="Lexend Light" w:cs="Lexend Light" w:eastAsia="Lexend Light" w:hAnsi="Lexend Light"/>
      <w:b w:val="1"/>
      <w:bCs w:val="1"/>
      <w:i w:val="1"/>
      <w:iCs w:val="1"/>
      <w:color w:val="1f1f1f"/>
      <w:sz w:val="24"/>
      <w:szCs w:val="24"/>
    </w:rPr>
  </w:style>
  <w:style w:type="paragraph" w:styleId="Title">
    <w:name w:val="Title"/>
    <w:basedOn w:val="Normal"/>
    <w:next w:val="Normal"/>
    <w:pPr>
      <w:keepNext w:val="1"/>
      <w:keepLines w:val="1"/>
      <w:pageBreakBefore w:val="0"/>
      <w:spacing w:after="120" w:before="480" w:lineRule="auto"/>
    </w:pPr>
    <w:rPr>
      <w:rFonts w:ascii="Kalam" w:cs="Kalam" w:eastAsia="Kalam" w:hAnsi="Kalam"/>
      <w:b w:val="1"/>
      <w:bCs w:val="1"/>
      <w:color w:val="1f1f1f"/>
      <w:sz w:val="72"/>
      <w:szCs w:val="72"/>
    </w:rPr>
  </w:style>
  <w:style w:type="paragraph" w:styleId="Subtitle">
    <w:name w:val="Subtitle"/>
    <w:basedOn w:val="Normal"/>
    <w:next w:val="Normal"/>
    <w:pPr>
      <w:keepNext w:val="1"/>
      <w:keepLines w:val="1"/>
      <w:pageBreakBefore w:val="0"/>
      <w:spacing w:after="80" w:before="360" w:lineRule="auto"/>
    </w:pPr>
    <w:rPr>
      <w:rFonts w:ascii="Kalam" w:cs="Kalam" w:eastAsia="Kalam" w:hAnsi="Kalam"/>
      <w:b w:val="1"/>
      <w:bCs w:val="1"/>
      <w:i w:val="1"/>
      <w:iCs w:val="1"/>
      <w:color w:val="1f1f1f"/>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Medium-regular.ttf"/><Relationship Id="rId4" Type="http://schemas.openxmlformats.org/officeDocument/2006/relationships/font" Target="fonts/LexendMedium-bold.ttf"/><Relationship Id="rId5" Type="http://schemas.openxmlformats.org/officeDocument/2006/relationships/font" Target="fonts/Kalam-regular.ttf"/><Relationship Id="rId6" Type="http://schemas.openxmlformats.org/officeDocument/2006/relationships/font" Target="fonts/Kala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