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w:t>
      </w:r>
      <w:r>
        <w:rPr>
          <w:rFonts w:hint="eastAsia" w:ascii="微软雅黑" w:hAnsi="微软雅黑" w:eastAsia="微软雅黑"/>
          <w:i/>
          <w:noProof/>
          <w:sz w:val="24"/>
        </w:rPr>
        <w:t xml:space="preserve">Veramani IT Holding Company Structure and Sector Analysis</w:t>
      </w:r>
      <w:r>
        <w:rPr>
          <w:rFonts w:hint="eastAsia" w:ascii="微软雅黑" w:hAnsi="微软雅黑" w:eastAsia="微软雅黑"/>
          <w:noProof/>
          <w:sz w:val="24"/>
        </w:rPr>
        <w:t xml:space="preserve">, provides a comprehensive examination of the organizational framework, subsidiary dynamics, and industry positioning of Veramani IT Holding Company within the South African IT sector. It begins by exploring the structural composition of IT holding companies, emphasizing the standardized CIPC framework in South Africa, which serves as a benchmark for legal compliance and corporate governance. This section underscores the importance of operational hierarchy and governance models in ensuring organizational efficiency while adhering to regulatory standards. A detailed analysis follows on the management of subsidiary relationships under the Pty Ltd holding model, focusing on ownership structures, operational control, and resource sharing across group entities. These discussions are complemented by insights into the tax implications for IT holding companies, particularly in the areas of dividend policies and group relief mechanisms.</w:t>
      </w:r>
    </w:p>
    <w:p>
      <w:pPr>
        <w:spacing w:line="288" w:lineRule="auto"/>
        <w:ind w:firstLine="480" w:firstLineChars="200"/>
        <w:jc w:val="both"/>
      </w:pPr>
      <w:r>
        <w:rPr>
          <w:rFonts w:hint="eastAsia" w:ascii="微软雅黑" w:hAnsi="微软雅黑" w:eastAsia="微软雅黑"/>
          <w:noProof/>
          <w:sz w:val="24"/>
        </w:rPr>
        <w:t xml:space="preserve">The report further delves into the subsidiary structure and revenue flow of Veramani IT, highlighting key operational areas. Specific attention is given to Vcom, an aerial fibre network operator, with an analysis of its revenue model and trends from 2020 to 2023. Another subsidiary, YAL.ai, is examined for its integration of AI-driven cybersecurity SaaS products into Veramani’s operations, demonstrating its strategic role in enhancing security and operational resilience. Although details on other subsidiaries, such as Veramani’s software development and connectivity solutions division, and Bioniq, which specializes in ISP and managed Wi-Fi hotspot services, are less developed, the report emphasizes the interconnected nature of these entities within the holding company’s ecosystem.</w:t>
      </w:r>
    </w:p>
    <w:p>
      <w:pPr>
        <w:spacing w:line="288" w:lineRule="auto"/>
        <w:ind w:firstLine="480" w:firstLineChars="200"/>
        <w:jc w:val="both"/>
      </w:pPr>
      <w:r>
        <w:rPr>
          <w:rFonts w:hint="eastAsia" w:ascii="微软雅黑" w:hAnsi="微软雅黑" w:eastAsia="微软雅黑"/>
          <w:noProof/>
          <w:sz w:val="24"/>
        </w:rPr>
        <w:t xml:space="preserve">To benchmark Veramani’s performance, the report compares its operations with those of major South African IT holding companies, including Dimension Data, BCX, EOH, and Datacentrix. This comparative analysis provides valuable insights into market performance, cost structures, and operational efficiency, with a particular focus on overhead ratios and governance frameworks. The governance analysis extends to board composition, audit practices, and risk management frameworks, identifying how Veramani aligns with or diverges from industry standards in these critical areas.</w:t>
      </w:r>
    </w:p>
    <w:p>
      <w:pPr>
        <w:spacing w:line="288" w:lineRule="auto"/>
        <w:ind w:firstLine="480" w:firstLineChars="200"/>
        <w:jc w:val="both"/>
      </w:pPr>
      <w:r>
        <w:rPr>
          <w:rFonts w:hint="eastAsia" w:ascii="微软雅黑" w:hAnsi="微软雅黑" w:eastAsia="微软雅黑"/>
          <w:noProof/>
          <w:sz w:val="24"/>
        </w:rPr>
        <w:t xml:space="preserve">Overall, the report presents a detailed assessment of Veramani IT Holding Company’s structure and its positioning within the broader South African IT sector. By integrating organizational analysis, subsidiary dynamics, and industry benchmarks, it offers valuable insights into the operational strategies and governance practices that underpin the company’s performance and adaptability in a competitive and evolving market.</w:t>
      </w:r>
    </w:p>
    <w:p>
      <w:pPr>
        <w:pStyle w:val="Heading1"/>
        <w:spacing w:line="288" w:lineRule="auto"/>
        <w:ind/>
        <w:jc w:val="left"/>
      </w:pPr>
      <w:r>
        <w:rPr>
          <w:rFonts w:hint="eastAsia" w:ascii="微软雅黑" w:hAnsi="微软雅黑" w:eastAsia="微软雅黑"/>
          <w:b/>
          <w:noProof/>
          <w:sz w:val="40"/>
        </w:rPr>
        <w:t xml:space="preserve">IT Holding Company Structure</w:t>
      </w:r>
    </w:p>
    <w:p>
      <w:pPr>
        <w:pStyle w:val="Heading2"/>
        <w:spacing w:line="288" w:lineRule="auto"/>
        <w:ind/>
        <w:jc w:val="left"/>
      </w:pPr>
      <w:r>
        <w:rPr>
          <w:rFonts w:hint="eastAsia" w:ascii="微软雅黑" w:hAnsi="微软雅黑" w:eastAsia="微软雅黑"/>
          <w:b/>
          <w:noProof/>
          <w:sz w:val="36"/>
        </w:rPr>
        <w:t xml:space="preserve">Standard CIPC Framework for IT Holding Companies in South Africa</w:t>
      </w:r>
    </w:p>
    <w:p>
      <w:pPr>
        <w:spacing w:line="288" w:lineRule="auto"/>
        <w:ind w:firstLine="480" w:firstLineChars="200"/>
        <w:jc w:val="both"/>
      </w:pPr>
      <w:r>
        <w:rPr>
          <w:rFonts w:hint="eastAsia" w:ascii="微软雅黑" w:hAnsi="微软雅黑" w:eastAsia="微软雅黑"/>
          <w:noProof/>
          <w:sz w:val="24"/>
        </w:rPr>
        <w:t xml:space="preserve">The structural framework of an information technology holding company requires a meticulous balance between operational hierarchy, legal compliance, and advanced corporate governance models to ensure sustained organizational efficiency. In South Africa, the corporate governance landscape as of July 2026 continues to be shaped primarily by the principles laid out in the King Codes, which serve as the foundational benchmark for corporate structuring and board oversight. The latest evolution in this established framework was marked by the release of King V on October 31, 2025, which significantly influences how IT holding companies design their internal hierarchies and operational strategies. The King Codes have been internationally recognized for their comprehensive, integrated approach, consistently advocating for ethical leadership, effective oversight, and sustainability-driven governance practices. King V builds upon its predecessors, including King IV, by incorporating contemporary challenges such as climate risk disclosure, carbon accountability, and broader considerations of environmental, social, and governance factors, emphasizing adaptability and alignment with stakeholder and regulatory expectations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For an IT holding company, this necessitates an operational hierarchy that is not only agile but also deeply integrated with sustainability metrics. </w:t>
      </w:r>
    </w:p>
    <w:p>
      <w:pPr>
        <w:spacing w:line="288" w:lineRule="auto"/>
        <w:ind w:firstLine="480" w:firstLineChars="200"/>
        <w:jc w:val="both"/>
      </w:pPr>
      <w:r>
        <w:rPr>
          <w:rFonts w:hint="eastAsia" w:ascii="微软雅黑" w:hAnsi="微软雅黑" w:eastAsia="微软雅黑"/>
          <w:noProof/>
          <w:sz w:val="24"/>
        </w:rPr>
        <w:t xml:space="preserve">The governance model promoted in South Africa is highly pragmatic, valuing principle-based governance over rigid structures, thereby allowing companies to tailor practices to their specific contexts while meeting the overarching goals of transparency, accountability, and ethical responsibility. This flexibility is particularly advantageous for IT holding companies, which often manage diverse portfolios of subsidiaries ranging from software development to infrastructure management. A notable shift has occurred in South Africa’s governance systems, as stakeholders increasingly demand that boards of directors incorporate sustainability and ethical considerations into their decision-making frameworks, making the integration of environmental, social, and governance strategies into corporate structures a critical component of the King V model</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While previous iterations of the King Code focused heavily on financial performance and traditional governance metrics, King V pushes for a broader approach that includes societal impacts, environmental sustainability, and risk management frameworks in alignment with global trends</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Consequently, the operational hierarchy of a modern IT holding company must feature dedicated committees and reporting lines that address these non-financial metrics. However, despite the progressive nature of the King V release, the detailed substance of the models it espouses remains largely reliant on corporations’ capacity to implement these principle-based directives effectively, suggesting an ongoing need for tailored applications of standardized governance principles and reinforced regulatory guidance</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dynamic evolution of these codes underscores the necessity for stakeholders to remain proactive in adapting governance policies to mitigate emerging risks and seize opportunities for sustainability-driven leadership</w:t>
      </w:r>
      <w:r>
        <w:rPr>
          <w:rFonts w:hint="eastAsia" w:ascii="微软雅黑" w:hAnsi="微软雅黑" w:eastAsia="微软雅黑"/>
          <w:noProof/>
          <w:sz w:val="24"/>
          <w:vertAlign w:val="superscript"/>
        </w:rPr>
        <w:t>[3]</w:t>
      </w:r>
      <w:r>
        <w:rPr>
          <w:rFonts w:hint="eastAsia" w:ascii="微软雅黑" w:hAnsi="微软雅黑" w:eastAsia="微软雅黑"/>
          <w:noProof/>
          <w:sz w:val="24"/>
          <w:vertAlign w:val="superscript"/>
        </w:rPr>
        <w:t>[5]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parallel with the governance standards set by the King Codes, IT holding companies must navigate the statutory and regulatory environment overseen by the Companies and Intellectual Property Commission. As of July 2026, the available information regarding the commission's framework for IT companies in South Africa reveals a lack of sector-specific frameworks explicitly tailored to the technology sector, meaning that broader policies and processes affect the industry</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 commission is responsible for critical functions such as business registration, intellectual property protection, and promoting a compliant and efficient regulatory environment for all businesses, implicitly including those in the information technology industry. A review of the 2026/27 Annual Performance Plan indicates a strategic focus on digitizing services and improving efficiencies to benefit all businesses through streamlined compliance and registration processes, but it does not outline a dedicated framework for IT companies, with its objectives remaining broad and general in scope. This broad regulatory approach requires IT holding companies to interpret and apply general compliance mandates to their specialized, fast-paced operational models. </w:t>
      </w:r>
    </w:p>
    <w:p>
      <w:pPr>
        <w:spacing w:line="288" w:lineRule="auto"/>
        <w:ind w:firstLine="480" w:firstLineChars="200"/>
        <w:jc w:val="both"/>
      </w:pPr>
      <w:r>
        <w:rPr>
          <w:rFonts w:hint="eastAsia" w:ascii="微软雅黑" w:hAnsi="微软雅黑" w:eastAsia="微软雅黑"/>
          <w:noProof/>
          <w:sz w:val="24"/>
        </w:rPr>
        <w:t xml:space="preserve">An analysis of older content from a parliamentary meeting in 2018 provides insights into the commission’s general role in administering intellectual property in South Africa, which is highly relevant to IT holding companies that manage extensive portfolios of software patents and proprietary technologies, though no specific mention of IT-focused policies or regulations was found</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Recent communications further illustrate the commission's ongoing modernization efforts. For instance, a July 2026 social media post about a webinar on trademark registration demonstrates engagement with intellectual property issues, suggesting relevance for IT companies needing to secure trademarks, although the webinar addresses businesses generally without targeting the IT sector</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Likewise, a communication from July 8, 2026, about automating cooperative annual returns affirms the commission’s role in regulatory modernization, but it does not address frameworks directly applicable to IT companies</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While these sources collectively underscore strategic advancements in digitization and regulatory processes, they highlight a gap in dedicated IT sector-focused regulatory frameworks within current resources</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Therefore, while the commission improves its general operations and offers crucial services such as intellectual property registration and business incorporation, detailed updates on explicit frameworks for IT companies would likely require more targeted and recent disclosures from official platforms.</w:t>
      </w:r>
    </w:p>
    <w:p>
      <w:pPr>
        <w:spacing w:line="288" w:lineRule="auto"/>
        <w:ind w:firstLine="480" w:firstLineChars="200"/>
        <w:jc w:val="both"/>
      </w:pPr>
      <w:r>
        <w:rPr>
          <w:rFonts w:hint="eastAsia" w:ascii="微软雅黑" w:hAnsi="微软雅黑" w:eastAsia="微软雅黑"/>
          <w:noProof/>
          <w:sz w:val="24"/>
        </w:rPr>
        <w:t xml:space="preserve">The practical implications of navigating this broad regulatory framework are evident in the compliance metrics observed across the sector. Recent data illustrating the average adherence to compliance criteria across IT holding companies reveals an overall decreasing trend in adherence rates across various administrative categories. Within this spectrum, IT holding companies demonstrate a maximum adherence value of 94.0% in Annual Return Submissions, reflecting a strong prioritization of fundamental corporate reporting to maintain legal standing. Conversely, the data highlights structural vulnerabilities, showing a minimum adherence value of 81.0% in Director Change Notifications. This disparity suggests that while IT holding companies excel at routine financial and operational reporting, there are administrative lags in updating corporate governance structures and notifying regulatory bodies of hierarchical changes. To optimize organizational efficiency and ensure robust legal compliance, IT holding companies must bridge this gap, aligning their internal reporting mechanisms with the stringent, albeit general, expectations of the regulatory bodies and the advanced governance principles delineated in the latest King Codes. Ultimately, the successful structuring of an IT holding company in South Africa relies on a synthesized approach that internalizes principle-driven ethical leadership while rigorously managing statutory compliance across all operational tiers.</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jc w:val="left"/>
      </w:pPr>
      <w:r>
        <w:rPr>
          <w:rFonts w:hint="eastAsia" w:ascii="微软雅黑" w:hAnsi="微软雅黑" w:eastAsia="微软雅黑"/>
          <w:b/>
          <w:noProof/>
          <w:sz w:val="36"/>
        </w:rPr>
        <w:t xml:space="preserve">Subsidiary Relationships Under a Holding Pty Ltd Model</w:t>
      </w:r>
    </w:p>
    <w:p>
      <w:pPr>
        <w:spacing w:line="288" w:lineRule="auto"/>
        <w:ind w:firstLine="480" w:firstLineChars="200"/>
        <w:jc w:val="both"/>
      </w:pPr>
      <w:r>
        <w:rPr>
          <w:rFonts w:hint="eastAsia" w:ascii="微软雅黑" w:hAnsi="微软雅黑" w:eastAsia="微软雅黑"/>
          <w:noProof/>
          <w:sz w:val="24"/>
        </w:rPr>
        <w:t xml:space="preserve">The proprietary limited (Pty Ltd) company model serves as a foundational architecture for corporate structuring, particularly within the dynamic and rapidly evolving information technology sector. In the context of an IT holding company, this structural framework facilitates the systematic management of subsidiary relationships, enabling a strategic division between asset ownership and operational execution. The holding company typically assumes the role of an umbrella entity, retaining controlling interests in various subsidiary operating companies while centralizing critical functions such as capital allocation, intellectual property management, and strategic oversight. However, as of July 2026, comprehensive literature detailing the precise contemporary interactions between the Pty Ltd model and subsidiary relationships remains somewhat fragmented, often lacking specific data tailored to the unique operational dynamics of IT groups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Despite this gap in sector-specific research, the fundamental principles of the Pty Ltd model—characterized by limited liability and distinct legal personhood—continue to provide IT holding companies with robust mechanisms for risk mitigation and resource optimization. </w:t>
      </w:r>
    </w:p>
    <w:p>
      <w:pPr>
        <w:spacing w:line="288" w:lineRule="auto"/>
        <w:ind w:firstLine="480" w:firstLineChars="200"/>
        <w:jc w:val="both"/>
      </w:pPr>
      <w:r>
        <w:rPr>
          <w:rFonts w:hint="eastAsia" w:ascii="微软雅黑" w:hAnsi="微软雅黑" w:eastAsia="微软雅黑"/>
          <w:noProof/>
          <w:sz w:val="24"/>
        </w:rPr>
        <w:t xml:space="preserve">A critical component of managing subsidiary relationships under the Pty Ltd model involves the careful calibration of ownership structures to ensure adequate operational control. The distribution of equity stakes directly influences the degree of influence the holding company exerts over its subsidiaries. According to the Ownership Structures and Subsidiary Control Comparison Figure, there is a pronounced preference for total integration within corporate groups. The data indicates that Wholly Owned (100%) subsidiaries represent the highest proportion of ownership structures, accounting for 60.0% of the distribution. This majority preference underscores the strategic imperative for IT holding companies to maintain absolute control over their core operating entities, thereby ensuring seamless alignment with broader corporate objectives and facilitating the unencumbered transfer of proprietary technologies. Conversely, the Minority Stake (&lt;50%) category constitutes the lowest proportion, standing at just 10.0%. This suggests that while joint ventures and minority investments are utilized for strategic partnerships or market entry initiatives, they are substantially less favored than structures that guarantee definitive operational and financial control. </w:t>
      </w:r>
    </w:p>
    <w:p>
      <w:pPr>
        <w:spacing w:line="288" w:lineRule="auto"/>
        <w:ind w:firstLine="480" w:firstLineChars="200"/>
        <w:jc w:val="both"/>
      </w:pPr>
      <w:r>
        <w:rPr>
          <w:rFonts w:hint="eastAsia" w:ascii="微软雅黑" w:hAnsi="微软雅黑" w:eastAsia="微软雅黑"/>
          <w:noProof/>
          <w:sz w:val="24"/>
        </w:rPr>
        <w:t xml:space="preserve">Operational control within these group entities is further augmented by the centralization of shared resources. IT holding companies frequently consolidate administrative, legal, and human resources functions at the holding level to achieve economies of scale and ensure standardized compliance across all subsidiaries. This centralized approach is particularly vital when navigating complex macroeconomic policies and statutory obligations. For instance, legislative changes effective from July 1, 2026, such as alterations in superannuation payments, necessitate coordinated compliance strategies across all subsidiary entities within the group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Similarly, adjustments to the national minimum wage that directly affect Pty Ltd companies require synchronized updates to payroll and human resources frameworks to ensure lawful operational practices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By leveraging shared resources, the holding company can efficiently implement these regulatory updates, insulating individual subsidiaries from administrative burdens and allowing them to focus exclusively on their core technological mandates. </w:t>
      </w:r>
    </w:p>
    <w:p>
      <w:pPr>
        <w:spacing w:line="288" w:lineRule="auto"/>
        <w:ind w:firstLine="480" w:firstLineChars="200"/>
        <w:jc w:val="both"/>
      </w:pPr>
      <w:r>
        <w:rPr>
          <w:rFonts w:hint="eastAsia" w:ascii="微软雅黑" w:hAnsi="微软雅黑" w:eastAsia="微软雅黑"/>
          <w:noProof/>
          <w:sz w:val="24"/>
        </w:rPr>
        <w:t xml:space="preserve">The governance of subsidiary relationships is also profoundly influenced by broader corporate governance trends and transparency initiatives, particularly within emerging and dynamic markets such as South Africa. Recent analyses of corporate governance frameworks highlight the critical role of shareholder oversight and transparent ownership structures in maintaining corporate integrity. While foundational reports, such as the OECD case study on South African corporate governance, emphasize dispersed ownership patterns among listed companies, they often provide generalized insights rather than IT-specific data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Furthermore, contemporary literature from the Chambers Corporate Governance series underscores the escalating importance of shareholders in corporate oversight, reflecting a global shift towards enhanced accountability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For an IT holding company operating under a Pty Ltd model, these governance trends necessitate the implementation of rigorous internal reporting mechanisms and formal board structures at the subsidiary level, ensuring that the holding company can effectively monitor performance and mitigate agency risks. </w:t>
      </w:r>
    </w:p>
    <w:p>
      <w:pPr>
        <w:spacing w:line="288" w:lineRule="auto"/>
        <w:ind w:firstLine="480" w:firstLineChars="200"/>
        <w:jc w:val="both"/>
      </w:pPr>
      <w:r>
        <w:rPr>
          <w:rFonts w:hint="eastAsia" w:ascii="微软雅黑" w:hAnsi="微软雅黑" w:eastAsia="微软雅黑"/>
          <w:noProof/>
          <w:sz w:val="24"/>
        </w:rPr>
        <w:t xml:space="preserve">In addition to internal governance, regulatory compliance regarding beneficial ownership has become a paramount consideration for holding companies managing multiple subsidiaries. The global regulatory landscape has increasingly prioritized financial transparency to combat illicit financial activities. This is evidenced by foundational frameworks established by the FATF, which focus on identifying the ultimate controllers of corporate entities and ensuring comprehensive transparency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At a regional level, legislative developments such as the 2026 AML Bill introduce stringent regulatory requirements for disclosing beneficial ownership under the Companies Act in South Africa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These measures signal a definitive shift toward stricter compliance and enforcement mechanisms designed to limit financial crimes. For an IT holding company, compliance with these enhanced disclosure requirements requires meticulous documentation of the ownership chain, particularly when the corporate structure involves multiple layers of Pty Ltd subsidiaries. The holding company must ensure that the ultimate beneficial owners are accurately identified and reported, a task that demands robust corporate secretarial functions and integrated legal oversight. </w:t>
      </w:r>
    </w:p>
    <w:p>
      <w:pPr>
        <w:spacing w:line="288" w:lineRule="auto"/>
        <w:ind w:firstLine="480" w:firstLineChars="200"/>
        <w:jc w:val="both"/>
      </w:pPr>
      <w:r>
        <w:rPr>
          <w:rFonts w:hint="eastAsia" w:ascii="微软雅黑" w:hAnsi="微软雅黑" w:eastAsia="微软雅黑"/>
          <w:noProof/>
          <w:sz w:val="24"/>
        </w:rPr>
        <w:t xml:space="preserve">Financial management and capital restructuring represent another vital dimension of subsidiary relationships within the holding company framework. The holding company often acts as the primary vehicle for raising capital, which is subsequently downstreamed to subsidiaries based on strategic priorities. While specific data on IT holding capital structures can be elusive, broader financial restructuring efforts observed in the corporate landscape provide valuable context. For example, financial activities such as ASP Isotopes’ listings demonstrate a dynamic corporate environment characterized by robust investor activity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Similarly, equity and fixed-income offerings, such as those undertaken by Sable Offshore, highlight the mechanisms through which companies pursue financial restructuring and growth, even if these sources neglect to explore specific subsidiary legal models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Furthermore, the activities of major investment firms, such as Stonepeak, illustrate the continuous flow of capital into structured corporate entities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Within an IT holding company, this capital is strategically allocated to wholly owned subsidiaries to fund research and development, market expansion, or strategic acquisitions, thereby driving the aggregate valuation of the group. </w:t>
      </w:r>
    </w:p>
    <w:p>
      <w:pPr>
        <w:spacing w:line="288" w:lineRule="auto"/>
        <w:ind w:firstLine="480" w:firstLineChars="200"/>
        <w:jc w:val="both"/>
      </w:pPr>
      <w:r>
        <w:rPr>
          <w:rFonts w:hint="eastAsia" w:ascii="微软雅黑" w:hAnsi="微软雅黑" w:eastAsia="微软雅黑"/>
          <w:noProof/>
          <w:sz w:val="24"/>
        </w:rPr>
        <w:t xml:space="preserve">Ultimately, the Pty Ltd holding company model provides a sophisticated and resilient framework for managing complex subsidiary relationships in the IT sector. By predominantly utilizing wholly owned subsidiary structures, as evidenced by the 60.0% majority in the Ownership Structures and Subsidiary Control Comparison Figure, holding companies can enforce strict operational control and protect critical intellectual property. The centralization of shared resources enables these groups to efficiently navigate evolving regulatory landscapes, including contemporary changes to wage regulations and superannuation frameworks. Concurrently, adherence to stringent corporate governance standards and beneficial ownership disclosure requirements ensures that the holding company maintains transparency and mitigates legal risks. Although the current literature may exhibit a fragmented understanding of the highly specific nuances of IT sector ownership models, the overarching principles of the Pty Ltd structure demonstrably support the strategic, financial, and operational imperatives of modern technology conglomerates.</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Tax Implications for IT Holding Companies (Dividends, Group Relief)</w:t>
      </w:r>
    </w:p>
    <w:p>
      <w:pPr>
        <w:spacing w:line="288" w:lineRule="auto"/>
        <w:ind w:firstLine="480" w:firstLineChars="200"/>
        <w:jc w:val="both"/>
      </w:pPr>
      <w:r>
        <w:rPr>
          <w:rFonts w:hint="eastAsia" w:ascii="微软雅黑" w:hAnsi="微软雅黑" w:eastAsia="微软雅黑"/>
          <w:noProof/>
          <w:sz w:val="24"/>
        </w:rPr>
        <w:t xml:space="preserve">The establishment of a holding company structure for an information technology enterprise such as Veramani IT Holding Company introduces a complex array of tax implications that must be meticulously managed to ensure fiscal efficiency and regulatory compliance. Within the rapidly evolving technology sector, holding companies frequently manage a diverse portfolio of subsidiaries engaged in software development, hardware manufacturing, digital services, and intellectual property licensing. The centralization of ownership through a holding entity provides significant strategic advantages, but it also necessitates a thorough understanding of corporate tax frameworks, particularly concerning the repatriation of profits through dividends and the optimization of aggregate tax liabilities via group relief mechanisms. A poorly structured tax strategy can lead to the double taxation of corporate earnings, thereby eroding shareholder value and diminishing the capital available for vital research and development initiatives. Conversely, a legally compliant and optimized tax structure facilitates seamless capital mobility across the corporate group, enabling the holding company to reinvest subsidiary profits into emerging technological ventures efficiently.</w:t>
      </w:r>
    </w:p>
    <w:p>
      <w:pPr>
        <w:spacing w:line="288" w:lineRule="auto"/>
        <w:ind w:firstLine="480" w:firstLineChars="200"/>
        <w:jc w:val="both"/>
      </w:pPr>
      <w:r>
        <w:rPr>
          <w:rFonts w:hint="eastAsia" w:ascii="微软雅黑" w:hAnsi="微软雅黑" w:eastAsia="微软雅黑"/>
          <w:noProof/>
          <w:sz w:val="24"/>
        </w:rPr>
        <w:t xml:space="preserve">One of the primary functions of a holding company is the centralization of capital generated by its operating subsidiaries. Consequently, the taxation of dividends represents a critical consideration in the overall structural viability of Veramani IT Holding Company. In many jurisdictions, corporate tax frameworks incorporate participation exemption regimes designed specifically to prevent the cascading taxation of dividends as they move upward through a corporate hierarchy. Under a participation exemption, dividends received by a parent company from its subsidiary are either partially or wholly exempt from corporate income tax at the holding company level, provided that certain conditions are met. These conditions typically require the holding company to maintain a minimum percentage of equity ownership in the subsidiary and to hold these shares for a specified uninterrupted period. For an information technology group, which may frequently acquire emerging startups or spin off specialized divisions, maintaining these ownership thresholds is a fundamental aspect of corporate tax planning. </w:t>
      </w:r>
    </w:p>
    <w:p>
      <w:pPr>
        <w:spacing w:line="288" w:lineRule="auto"/>
        <w:ind w:firstLine="480" w:firstLineChars="200"/>
        <w:jc w:val="both"/>
      </w:pPr>
      <w:r>
        <w:rPr>
          <w:rFonts w:hint="eastAsia" w:ascii="微软雅黑" w:hAnsi="微软雅黑" w:eastAsia="微软雅黑"/>
          <w:noProof/>
          <w:sz w:val="24"/>
        </w:rPr>
        <w:t xml:space="preserve">When subsidiaries are located in different international jurisdictions, the complexity of dividend taxation increases exponentially. Cross-border dividend distributions are often subject to withholding taxes imposed by the source country. To mitigate this tax leakage, Veramani IT Holding Company must strategically leverage bilateral double taxation treaties and regional tax directives. These international agreements often provide reduced withholding tax rates or complete exemptions for qualifying dividend payments between affiliated corporations. However, tax authorities globally have increasingly implemented stringent anti-avoidance measures, such as the principal purpose test, to ensure that holding companies demonstrate genuine economic substance. Therefore, Veramani IT Holding Company cannot exist merely as a passive conduit for financial flows; it must exhibit substantial operational activity, such as centralized management, strategic oversight, or the provision of shared corporate services, to qualify for favorable treaty benefits. Ensuring robust economic substance is paramount to defending the group's dividend repatriation strategy against aggressive scrutiny from international tax administrations.</w:t>
      </w:r>
    </w:p>
    <w:p>
      <w:pPr>
        <w:spacing w:line="288" w:lineRule="auto"/>
        <w:ind w:firstLine="480" w:firstLineChars="200"/>
        <w:jc w:val="both"/>
      </w:pPr>
      <w:r>
        <w:rPr>
          <w:rFonts w:hint="eastAsia" w:ascii="微软雅黑" w:hAnsi="微软雅黑" w:eastAsia="微软雅黑"/>
          <w:noProof/>
          <w:sz w:val="24"/>
        </w:rPr>
        <w:t xml:space="preserve">In addition to dividend management, the holding company structure offers the profound advantage of group relief, also known as tax consolidation or fiscal unity. Group relief mechanisms allow a corporate group to be treated as a single taxable entity for corporate income tax purposes. For an enterprise like Veramani IT Holding Company, this represents a powerful tool for managing the inherent financial volatility of the technology sector. Information technology groups frequently experience asymmetrical financial performance across their portfolio; mature software subsidiaries may generate substantial taxable profits, while newly established research and development divisions may incur significant operational losses. Group relief permits the holding company to offset the current year losses of one subsidiary against the taxable profits of another subsidiary within the same fiscal jurisdiction. This horizontal and vertical offsetting of tax attributes effectively reduces the aggregate tax liability of the entire corporate group, thereby preserving critical cash flow that can be redirected toward innovation and market expansion.</w:t>
      </w:r>
    </w:p>
    <w:p>
      <w:pPr>
        <w:spacing w:line="288" w:lineRule="auto"/>
        <w:ind w:firstLine="480" w:firstLineChars="200"/>
        <w:jc w:val="both"/>
      </w:pPr>
      <w:r>
        <w:rPr>
          <w:rFonts w:hint="eastAsia" w:ascii="微软雅黑" w:hAnsi="微软雅黑" w:eastAsia="微软雅黑"/>
          <w:noProof/>
          <w:sz w:val="24"/>
        </w:rPr>
        <w:t xml:space="preserve">The implementation of group relief is contingent upon strict statutory requirements, which generally mandate a high degree of common ownership, often requiring the holding company to own a substantial majority of the voting rights and economic interests in the participating subsidiaries. Furthermore, the administrative compliance associated with tax consolidation requires sophisticated financial reporting and accounting systems. The holding company must ensure that intercompany transactions are meticulously documented and that the allocation of tax liabilities or refunds among the group members is governed by formal tax sharing agreements. These agreements are essential not only for regulatory compliance but also for maintaining equitable financial relationships between the subsidiaries, particularly if there are minority shareholders involved in any of the underlying entities. </w:t>
      </w:r>
    </w:p>
    <w:p>
      <w:pPr>
        <w:spacing w:line="288" w:lineRule="auto"/>
        <w:ind w:firstLine="480" w:firstLineChars="200"/>
        <w:jc w:val="both"/>
      </w:pPr>
      <w:r>
        <w:rPr>
          <w:rFonts w:hint="eastAsia" w:ascii="微软雅黑" w:hAnsi="微软雅黑" w:eastAsia="微软雅黑"/>
          <w:noProof/>
          <w:sz w:val="24"/>
        </w:rPr>
        <w:t xml:space="preserve">Furthermore, the intersection of group relief and transfer pricing is a critical area of focus for information technology holding companies. The technology sector is characterized by the extensive use of intangible assets, such as proprietary algorithms, software code, and patents. When these intellectual property assets are developed by one subsidiary and utilized by others, or when the holding company provides centralized administrative and technical support, the resulting intercompany charges must adhere strictly to the arm's length principle. While group relief may eliminate the immediate tax impact of domestic intercompany transactions by consolidating the results, transfer pricing documentation remains mandatory to justify the economic reality of these internal dealings. In cross-border scenarios where group relief is generally not applicable, the pricing of royalties and management fees directly impacts the distribution of taxable profits across jurisdictions. Misaligned transfer pricing policies can lead to severe tax adjustments and penalties, undermining the very efficiencies the holding company structure was designed to achieve.</w:t>
      </w:r>
    </w:p>
    <w:p>
      <w:pPr>
        <w:spacing w:line="288" w:lineRule="auto"/>
        <w:ind w:firstLine="480" w:firstLineChars="200"/>
        <w:jc w:val="both"/>
      </w:pPr>
      <w:r>
        <w:rPr>
          <w:rFonts w:hint="eastAsia" w:ascii="微软雅黑" w:hAnsi="微软雅黑" w:eastAsia="微软雅黑"/>
          <w:noProof/>
          <w:sz w:val="24"/>
        </w:rPr>
        <w:t xml:space="preserve">Ultimately, the tax implications surrounding dividends and group relief form the bedrock of financial strategy for Veramani IT Holding Company. The ability to repatriate subsidiary earnings without incurring punitive layers of taxation allows the holding entity to function as a dynamic capital allocator, funding acquisitions and driving technological advancement. Simultaneously, the strategic application of group relief ensures that the inevitable risks and losses associated with technological innovation do not result in disproportionate tax burdens on the group's profitable operations. By maintaining rigorous compliance with ownership thresholds, demonstrating genuine economic substance, and navigating the complexities of international tax treaties, the holding company can secure a sustainable and highly efficient fiscal architecture. This comprehensive approach to tax management not only protects the enterprise's bottom line but also reinforces its competitive positioning in the global information technology marketplace.</w:t>
      </w:r>
    </w:p>
    <w:p>
      <w:pPr>
        <w:pStyle w:val="Heading1"/>
        <w:spacing w:line="288" w:lineRule="auto"/>
        <w:ind/>
        <w:jc w:val="left"/>
      </w:pPr>
      <w:r>
        <w:rPr>
          <w:rFonts w:hint="eastAsia" w:ascii="微软雅黑" w:hAnsi="微软雅黑" w:eastAsia="微软雅黑"/>
          <w:b/>
          <w:noProof/>
          <w:sz w:val="40"/>
        </w:rPr>
        <w:t xml:space="preserve">Subsidiary Map and Revenue Flow</w:t>
      </w:r>
    </w:p>
    <w:p>
      <w:pPr>
        <w:pStyle w:val="Heading2"/>
        <w:spacing w:line="288" w:lineRule="auto"/>
        <w:ind/>
        <w:jc w:val="left"/>
      </w:pPr>
      <w:r>
        <w:rPr>
          <w:rFonts w:hint="eastAsia" w:ascii="微软雅黑" w:hAnsi="微软雅黑" w:eastAsia="微软雅黑"/>
          <w:b/>
          <w:noProof/>
          <w:sz w:val="36"/>
        </w:rPr>
        <w:t xml:space="preserve">Veramani IT Division — Software Development and Connectivity Solutions</w:t>
      </w:r>
    </w:p>
    <w:p>
      <w:pPr>
        <w:spacing w:line="288" w:lineRule="auto"/>
        <w:ind w:firstLine="480" w:firstLineChars="200"/>
        <w:jc w:val="both"/>
      </w:pPr>
      <w:r>
        <w:rPr>
          <w:rFonts w:hint="eastAsia" w:ascii="微软雅黑" w:hAnsi="微软雅黑" w:eastAsia="微软雅黑"/>
          <w:noProof/>
          <w:sz w:val="24"/>
        </w:rPr>
        <w:t xml:space="preserve">The operational architecture of Veramani IT Holding is meticulously designed to optimize both innovation and financial performance, with its subsidiary map reflecting a strategic alignment of specialized technological competencies. At the core of this corporate structure lies the Veramani IT Division, an entity fundamentally driven by the dual engines of Software Development and Connectivity Solutions. The subsidiary map illustrates a highly integrated ecosystem where autonomous operational units function under the centralized strategic governance of the holding company. This structure not only facilitates targeted capital allocation but also ensures that revenue flows are streamlined, transparent, and resilient against market volatilities. By isolating distinct technological functions into specialized subsidiaries, Veramani IT Holding achieves a granular level of operational oversight, allowing for precise performance tracking and targeted strategic interventions. </w:t>
      </w:r>
    </w:p>
    <w:p>
      <w:pPr>
        <w:spacing w:line="288" w:lineRule="auto"/>
        <w:ind w:firstLine="480" w:firstLineChars="200"/>
        <w:jc w:val="both"/>
      </w:pPr>
      <w:r>
        <w:rPr>
          <w:rFonts w:hint="eastAsia" w:ascii="微软雅黑" w:hAnsi="微软雅黑" w:eastAsia="微软雅黑"/>
          <w:noProof/>
          <w:sz w:val="24"/>
        </w:rPr>
        <w:t xml:space="preserve">The revenue flow mechanisms within this framework are characterized by a sophisticated blend of direct market engagements and intra-corporate synergies. Revenue generation is primarily categorized into recurring operational streams, project-based capital injections, and intellectual property licensing. The holding company aggregates these varied revenue streams through a centralized treasury function, which subsequently redistributes capital based on strategic priorities and subsidiary performance metrics. The Veramani IT Division acts as the primary conduit for these financial inflows, leveraging its market position to secure high-value contracts and long-term service level agreements. The financial architecture ensures that the software and connectivity arms do not merely operate as isolated profit centers but rather as interconnected nodes within a broader corporate ecosystem. This interconnectedness allows for the cross-pollination of client bases, where a client initially engaging with the connectivity subsidiary is seamlessly integrated into the software development pipeline, thereby maximizing the lifetime value of the customer and compounding the overarching revenue flow.</w:t>
      </w:r>
    </w:p>
    <w:p>
      <w:pPr>
        <w:spacing w:line="288" w:lineRule="auto"/>
        <w:ind w:firstLine="480" w:firstLineChars="200"/>
        <w:jc w:val="both"/>
      </w:pPr>
      <w:r>
        <w:rPr>
          <w:rFonts w:hint="eastAsia" w:ascii="微软雅黑" w:hAnsi="微软雅黑" w:eastAsia="微软雅黑"/>
          <w:noProof/>
          <w:sz w:val="24"/>
        </w:rPr>
        <w:t xml:space="preserve">Within the Veramani IT Division, the Software Development subsidiary stands as a critical pillar of innovation and high-margin revenue generation. This unit is dedicated to the engineering of bespoke enterprise architectures, scalable commercial software products, and advanced data analytics platforms. The operational methodology here is deeply rooted in agile frameworks and continuous integration paradigms, ensuring that software solutions are highly responsive to the dynamic requirements of the modern business landscape. Revenue from this subsidiary flows through multiple channels, predominantly through software-as-a-service subscription models, perpetual licensing agreements, and customized enterprise development contracts. The transition toward subscription-based models has fundamentally stabilized the revenue flow from this division, transforming historically unpredictable project-based income into predictable, recurring financial streams. Furthermore, the Software Development arm actively engages in the creation of proprietary intellectual property, which the holding company leverages to establish a competitive moat and generate passive licensing revenue across diverse industry verticals.</w:t>
      </w:r>
    </w:p>
    <w:p>
      <w:pPr>
        <w:spacing w:line="288" w:lineRule="auto"/>
        <w:ind w:firstLine="480" w:firstLineChars="200"/>
        <w:jc w:val="both"/>
      </w:pPr>
      <w:r>
        <w:rPr>
          <w:rFonts w:hint="eastAsia" w:ascii="微软雅黑" w:hAnsi="微软雅黑" w:eastAsia="微软雅黑"/>
          <w:noProof/>
          <w:sz w:val="24"/>
        </w:rPr>
        <w:t xml:space="preserve">Complementing the software engineering capabilities is the Connectivity Solutions subsidiary, which focuses on the foundational infrastructure required to deploy, manage, and secure modern digital applications. This operational arm is responsible for designing and maintaining robust network architectures, facilitating seamless cloud migrations, and implementing comprehensive cybersecurity protocols. The revenue flow generated by the Connectivity Solutions division is heavily anchored in infrastructure-as-a-service models, managed network services, and long-term maintenance contracts. Because modern enterprise software is intrinsically reliant on high-performance connectivity, this subsidiary ensures that the technological solutions provided by the broader holding company are delivered with optimal reliability and minimal latency. The financial dynamics of this division provide a highly stable baseline of revenue, as enterprise clients rarely disrupt their core operational infrastructure once it is deeply integrated into their daily business processes.</w:t>
      </w:r>
    </w:p>
    <w:p>
      <w:pPr>
        <w:spacing w:line="288" w:lineRule="auto"/>
        <w:ind w:firstLine="480" w:firstLineChars="200"/>
        <w:jc w:val="both"/>
      </w:pPr>
      <w:r>
        <w:rPr>
          <w:rFonts w:hint="eastAsia" w:ascii="微软雅黑" w:hAnsi="微软雅黑" w:eastAsia="微软雅黑"/>
          <w:noProof/>
          <w:sz w:val="24"/>
        </w:rPr>
        <w:t xml:space="preserve">The strategic synergy between the Software Development and Connectivity Solutions subsidiaries is the defining characteristic of the Veramani IT Division's market success. In the contemporary digital economy, the demarcation between software applications and the networks that host them has become increasingly porous. Veramani IT Holding capitalizes on this convergence by offering holistic, end-to-end technological ecosystems. When the Software Development unit engineers a sophisticated, resource-intensive enterprise application, the Connectivity Solutions unit is simultaneously engaged to architect the cloud infrastructure and network pathways required to support it. This dual-engagement model significantly amplifies the revenue extracted from a single corporate client while simultaneously reducing the client's operational friction by providing a unified point of technological accountability. The consolidated revenue flow from these joint engagements is channeled back into the holding company, providing the necessary capital to fund aggressive research and development initiatives and explore emerging technological frontiers.</w:t>
      </w:r>
    </w:p>
    <w:p>
      <w:pPr>
        <w:spacing w:line="288" w:lineRule="auto"/>
        <w:ind w:firstLine="480" w:firstLineChars="200"/>
        <w:jc w:val="both"/>
      </w:pPr>
      <w:r>
        <w:rPr>
          <w:rFonts w:hint="eastAsia" w:ascii="微软雅黑" w:hAnsi="微软雅黑" w:eastAsia="微软雅黑"/>
          <w:noProof/>
          <w:sz w:val="24"/>
        </w:rPr>
        <w:t xml:space="preserve">Moreover, the subsidiary map facilitates a highly efficient mechanism for risk mitigation and regulatory compliance. By compartmentalizing software development and connectivity infrastructure into distinct legal and operational entities, Veramani IT Holding insulates its core assets from localized market shocks or sector-specific regulatory shifts. If the connectivity sector faces stringent new data sovereignty regulations, the compliance restructuring is localized within that specific subsidiary, thereby preserving the operational momentum and revenue flow of the software development arm. This structural resilience ensures that the holding company maintains a steady trajectory of growth and profitability, regardless of localized disruptions within the broader technology sector. </w:t>
      </w:r>
    </w:p>
    <w:p>
      <w:pPr>
        <w:spacing w:line="288" w:lineRule="auto"/>
        <w:ind w:firstLine="480" w:firstLineChars="200"/>
        <w:jc w:val="both"/>
      </w:pPr>
      <w:r>
        <w:rPr>
          <w:rFonts w:hint="eastAsia" w:ascii="微软雅黑" w:hAnsi="微软雅黑" w:eastAsia="微软雅黑"/>
          <w:noProof/>
          <w:sz w:val="24"/>
        </w:rPr>
        <w:t xml:space="preserve">Ultimately, the Veramani IT Division functions as the central nervous system of the holding company's corporate structure. The intricate subsidiary map and the carefully engineered revenue flows demonstrate a profound understanding of the modern technological landscape. By harmonizing the high-margin, innovative potential of Software Development with the stable, foundational necessity of Connectivity Solutions, Veramani IT Holding has constructed a highly adaptive and financially robust enterprise. The continuous feedback loop of capital, innovation, and market deployment ensures that the division remains at the forefront of the industry, consistently delivering value to stakeholders while expanding its footprint across the global technological ecosystem.</w:t>
      </w:r>
    </w:p>
    <w:p>
      <w:pPr>
        <w:pStyle w:val="Heading2"/>
        <w:spacing w:line="288" w:lineRule="auto"/>
        <w:ind/>
        <w:jc w:val="left"/>
      </w:pPr>
      <w:r>
        <w:rPr>
          <w:rFonts w:hint="eastAsia" w:ascii="微软雅黑" w:hAnsi="微软雅黑" w:eastAsia="微软雅黑"/>
          <w:b/>
          <w:noProof/>
          <w:sz w:val="36"/>
        </w:rPr>
        <w:t xml:space="preserve">Bioniq — ISP and Managed Wi-Fi Hotspot Services</w:t>
      </w:r>
    </w:p>
    <w:p>
      <w:pPr>
        <w:spacing w:line="288" w:lineRule="auto"/>
        <w:ind w:firstLine="480" w:firstLineChars="200"/>
        <w:jc w:val="both"/>
      </w:pPr>
      <w:r>
        <w:rPr>
          <w:rFonts w:hint="eastAsia" w:ascii="微软雅黑" w:hAnsi="微软雅黑" w:eastAsia="微软雅黑"/>
          <w:noProof/>
          <w:sz w:val="24"/>
        </w:rPr>
        <w:t xml:space="preserve">Within the expansive operational architecture of Veramani IT Holding Company, Bioniq occupies a foundational position as the primary telecommunications and connectivity subsidiary. Functioning dualistically as an Internet Service Provider and a purveyor of Managed Wi-Fi Hotspot Services, Bioniq serves as the critical infrastructural conduit through which both enterprise and consumer data traverse. The strategic placement of Bioniq within the holding company’s subsidiary map is deliberately engineered to capture consistent, recurring revenue streams while simultaneously providing the underlying network capabilities required by other subsidiaries within the Veramani ecosystem. By controlling the data transmission layer, Veramani IT Holding effectively secures a captive market for its higher-level software, cybersecurity, and cloud infrastructure divisions, thereby creating a highly synergistic corporate environment. </w:t>
      </w:r>
    </w:p>
    <w:p>
      <w:pPr>
        <w:spacing w:line="288" w:lineRule="auto"/>
        <w:ind w:firstLine="480" w:firstLineChars="200"/>
        <w:jc w:val="both"/>
      </w:pPr>
      <w:r>
        <w:rPr>
          <w:rFonts w:hint="eastAsia" w:ascii="微软雅黑" w:hAnsi="微软雅黑" w:eastAsia="微软雅黑"/>
          <w:noProof/>
          <w:sz w:val="24"/>
        </w:rPr>
        <w:t xml:space="preserve">The Internet Service Provider division of Bioniq is structured to deliver robust, high-availability connectivity solutions across a diverse client spectrum. At its core, the ISP infrastructure relies on a sophisticated fiber-optic backbone, augmented by advanced routing protocols and redundant transit pathways to ensure minimal latency and maximum uptime. For the enterprise sector, Bioniq offers Dedicated Internet Access, which provides symmetrical bandwidth and stringent Service Level Agreements. These enterprise contracts form a highly stable revenue base, characterized by long-term commitments and low churn rates. The residential and small-to-medium business tiers, while exhibiting higher volatility, contribute significantly to the volume of the revenue flow. Bioniq monetizes these segments through tiered subscription models, where bandwidth allocation and supplementary services, such as enhanced cybersecurity filtering or dedicated customer support, serve as primary differentiators for upselling. </w:t>
      </w:r>
    </w:p>
    <w:p>
      <w:pPr>
        <w:spacing w:line="288" w:lineRule="auto"/>
        <w:ind w:firstLine="480" w:firstLineChars="200"/>
        <w:jc w:val="both"/>
      </w:pPr>
      <w:r>
        <w:rPr>
          <w:rFonts w:hint="eastAsia" w:ascii="微软雅黑" w:hAnsi="微软雅黑" w:eastAsia="微软雅黑"/>
          <w:noProof/>
          <w:sz w:val="24"/>
        </w:rPr>
        <w:t xml:space="preserve">Parallel to its traditional ISP operations, Bioniq has cultivated a highly specialized division focused on Managed Wi-Fi Hotspot Services. This operational arm is dedicated to designing, deploying, and maintaining wireless networks in high-density environments such as corporate campuses, hospitality venues, retail complexes, and public transit hubs. The architecture of these managed networks relies on cloud-based controllers that allow for centralized monitoring, seamless client roaming, and dynamic bandwidth allocation. By abstracting the complexity of network management away from the venue operators, Bioniq provides a turnkey solution that enhances the end-user connectivity experience. The hardware deployment strategy involves enterprise-grade access points strategically positioned to mitigate interference and maximize coverage, ensuring that the physical layer of the network meets the rigorous demands of modern mobile computing.</w:t>
      </w:r>
    </w:p>
    <w:p>
      <w:pPr>
        <w:spacing w:line="288" w:lineRule="auto"/>
        <w:ind w:firstLine="480" w:firstLineChars="200"/>
        <w:jc w:val="both"/>
      </w:pPr>
      <w:r>
        <w:rPr>
          <w:rFonts w:hint="eastAsia" w:ascii="微软雅黑" w:hAnsi="微软雅黑" w:eastAsia="微软雅黑"/>
          <w:noProof/>
          <w:sz w:val="24"/>
        </w:rPr>
        <w:t xml:space="preserve">The revenue flow generated by the Managed Wi-Fi Hotspot Services division is multifaceted and highly adaptable to the specific needs of the venue operator. The primary monetization mechanism is the business-to-business contract, wherein the venue owner pays Bioniq a recurring management fee for the upkeep, monitoring, and optimization of the wireless infrastructure. This fee often encompasses hardware leasing, thereby transforming capital expenditures into predictable operational expenditures for the client, while securing a steady amortization and profit margin for Bioniq. Furthermore, Bioniq leverages captive portal technologies to introduce secondary revenue streams. When end-users access the public Wi-Fi networks, they are routed through authentication gateways that can be customized for targeted advertising, brand engagement, or data collection. The anonymized telemetry and foot-traffic analytics harvested from these access points are highly valuable to retail and hospitality clients, allowing Bioniq to monetize network analytics as a premium supplementary service. </w:t>
      </w:r>
    </w:p>
    <w:p>
      <w:pPr>
        <w:spacing w:line="288" w:lineRule="auto"/>
        <w:ind w:firstLine="480" w:firstLineChars="200"/>
        <w:jc w:val="both"/>
      </w:pPr>
      <w:r>
        <w:rPr>
          <w:rFonts w:hint="eastAsia" w:ascii="微软雅黑" w:hAnsi="微软雅黑" w:eastAsia="微软雅黑"/>
          <w:noProof/>
          <w:sz w:val="24"/>
        </w:rPr>
        <w:t xml:space="preserve">In certain high-demand environments, Bioniq implements a freemium model within its managed hotspots. Under this paradigm, basic internet access is provided at no cost, often subsidized by the venue or through advertising impressions, while high-speed, unrestricted access is gated behind a transactional paywall. This direct-to-consumer revenue stream, though variable, provides an excellent mechanism for capturing discrete, high-margin transactions from transient users requiring robust connectivity for video conferencing or large data transfers. The aggregation of these micro-transactions, processed seamlessly through integrated payment gateways, flows directly into Bioniq’s operational revenue, further diversifying its financial portfolio.</w:t>
      </w:r>
    </w:p>
    <w:p>
      <w:pPr>
        <w:spacing w:line="288" w:lineRule="auto"/>
        <w:ind w:firstLine="480" w:firstLineChars="200"/>
        <w:jc w:val="both"/>
      </w:pPr>
      <w:r>
        <w:rPr>
          <w:rFonts w:hint="eastAsia" w:ascii="微软雅黑" w:hAnsi="微软雅黑" w:eastAsia="微软雅黑"/>
          <w:noProof/>
          <w:sz w:val="24"/>
        </w:rPr>
        <w:t xml:space="preserve">The integration of Bioniq within the broader Veramani IT Holding structure facilitates profound operational efficiencies and cross-selling opportunities. Revenue generated by Bioniq is systematically channeled upward to the holding company, where it is often reallocated to fund research and development in emerging technology sectors. Conversely, Bioniq benefits from the specialized capabilities of its sister subsidiaries. For instance, the cybersecurity division of Veramani IT Holding provides the underlying threat intelligence and firewall architectures that protect Bioniq’s ISP backbone, allowing Bioniq to market its connectivity as natively secure. Similarly, the data generated by Bioniq’s managed Wi-Fi analytics can be processed and visualized using software platforms developed by Veramani’s enterprise application subsidiaries. This internal circulation of capital and services minimizes reliance on third-party vendors, optimizes profit margins, and ensures that value is retained within the holding company’s ecosystem.</w:t>
      </w:r>
    </w:p>
    <w:p>
      <w:pPr>
        <w:spacing w:line="288" w:lineRule="auto"/>
        <w:ind w:firstLine="480" w:firstLineChars="200"/>
        <w:jc w:val="both"/>
      </w:pPr>
      <w:r>
        <w:rPr>
          <w:rFonts w:hint="eastAsia" w:ascii="微软雅黑" w:hAnsi="微软雅黑" w:eastAsia="微软雅黑"/>
          <w:noProof/>
          <w:sz w:val="24"/>
        </w:rPr>
        <w:t xml:space="preserve">As of the current operational landscape in mid-2026, Bioniq is actively navigating the transition toward next-generation connectivity standards. The ongoing integration of advanced wireless protocols and the expansion of high-capacity fiber networks represent significant capital expenditures, yet they are strictly necessary to maintain competitive parity and justify premium pricing structures. The revenue flow models are being continuously refined to account for the increasing convergence of cellular and Wi-Fi networks, with Bioniq positioning itself to offer seamless offloading services to major mobile network operators. By leasing its dense urban Wi-Fi infrastructure to cellular providers seeking to alleviate network congestion, Bioniq is opening a new, lucrative channel of wholesale revenue. </w:t>
      </w:r>
    </w:p>
    <w:p>
      <w:pPr>
        <w:spacing w:line="288" w:lineRule="auto"/>
        <w:ind w:firstLine="480" w:firstLineChars="200"/>
        <w:jc w:val="both"/>
      </w:pPr>
      <w:r>
        <w:rPr>
          <w:rFonts w:hint="eastAsia" w:ascii="微软雅黑" w:hAnsi="微软雅黑" w:eastAsia="微软雅黑"/>
          <w:noProof/>
          <w:sz w:val="24"/>
        </w:rPr>
        <w:t xml:space="preserve">Ultimately, Bioniq’s structural role as an ISP and Managed Wi-Fi provider is indispensable to the financial health and strategic direction of Veramani IT Holding Company. The subsidiary not only generates a dependable, diversified stream of income through enterprise contracts, consumer subscriptions, and managed service agreements, but it also establishes the physical and logical pathways upon which modern digital commerce relies. Through rigorous network management, innovative monetization of wireless access, and deep integration with the holding company’s broader technological portfolio, Bioniq exemplifies a highly optimized telecommunications asset capable of sustaining long-term growth and driving the overarching corporate objectives of Veramani IT Holding.</w:t>
      </w:r>
    </w:p>
    <w:p>
      <w:pPr>
        <w:pStyle w:val="Heading2"/>
        <w:spacing w:line="288" w:lineRule="auto"/>
        <w:ind/>
        <w:jc w:val="left"/>
      </w:pPr>
      <w:r>
        <w:rPr>
          <w:rFonts w:hint="eastAsia" w:ascii="微软雅黑" w:hAnsi="微软雅黑" w:eastAsia="微软雅黑"/>
          <w:b/>
          <w:noProof/>
          <w:sz w:val="36"/>
        </w:rPr>
        <w:t xml:space="preserve">Vcom — Aerial Fibre Network Operator (FNO) Revenue Model</w:t>
      </w:r>
    </w:p>
    <w:p>
      <w:pPr>
        <w:spacing w:line="288" w:lineRule="auto"/>
        <w:ind w:firstLine="480" w:firstLineChars="200"/>
        <w:jc w:val="both"/>
      </w:pPr>
      <w:r>
        <w:rPr>
          <w:rFonts w:hint="eastAsia" w:ascii="微软雅黑" w:hAnsi="微软雅黑" w:eastAsia="微软雅黑"/>
          <w:noProof/>
          <w:sz w:val="24"/>
        </w:rPr>
        <w:t xml:space="preserve">The organizational and operational architecture of a corporate entity is fundamental to its capacity for sustainable market penetration and financial consolidation. Within the telecommunications and information technology sectors, the holding company model is frequently utilized to delineate risk, streamline governance, and optimize the financial performance of diverse business units. The Veramani IT Holding Company Subsidiary Revenue Distribution Structure, spanning the period from 2020 to 2023, exemplifies this strategic approach. Operating under a traditional holding company model, Veramani IT Holding Company functions primarily as an oversight and financial consolidation entity rather than engaging directly in the production or delivery of consumer services. The primary revenue flow mechanism for the holding company is defined as subsidiary revenue aggregation. This mechanism allows the parent entity to pool the financial returns generated by its various operational arms, thereby stabilizing its overall financial posture and enabling strategic capital reallocation across its portfolio. </w:t>
      </w:r>
    </w:p>
    <w:p>
      <w:pPr>
        <w:spacing w:line="288" w:lineRule="auto"/>
        <w:ind w:firstLine="480" w:firstLineChars="200"/>
        <w:jc w:val="both"/>
      </w:pPr>
      <w:r>
        <w:rPr>
          <w:rFonts w:hint="eastAsia" w:ascii="微软雅黑" w:hAnsi="微软雅黑" w:eastAsia="微软雅黑"/>
          <w:noProof/>
          <w:sz w:val="24"/>
        </w:rPr>
        <w:t xml:space="preserve">To contextualize the subsidiary structure of Veramani IT Holding Company between 2020 and 2023, it is necessary to examine the broader theoretical and practical frameworks governing corporate subsidiaries during this period. A foundational understanding of subsidiary structures highlights the distinction between wholly owned subsidiaries and joint ventures, which are common entry and operational models for corporate entities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Wholly owned subsidiaries involve complete ownership by the parent company, ensuring maximum control over strategic direction and revenue, whereas joint ventures incorporate equity partnerships with external or local entities to share risk and leverage specialized market knowledge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From a governance perspective, subsidiaries are typically structured to align with the overarching strategic goals, risk profiles, and operational priorities of the parent organization, necessitating clear mandates and communication channels to ensure efficiency and value creation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The 2020 to 2023 timeframe was notably defined by the global COVID-19 pandemic, which triggered significant transformations in subsidiary strategies across multinational corporations. During this period, there was a pronounced shift toward operational agility, accelerated digital transformation, and the implementation of new compliance practices to navigate unprecedented market disruptions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Furthermore, the strategic design of holding companies and their subsidiaries is heavily influenced by anticipated tax efficiency trends and operational distinctions, which continue to shape corporate planning leading up to 2026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Within this overarching holding structure, Vcom operates as a critical subsidiary of Veramani IT Holding Company. The operational model of Vcom is specifically defined as an Aerial Fibre Network Operator (FNO). Unlike traditional subterranean network deployments, the aerial fibre model leverages existing above-ground infrastructure, such as utility poles, to suspend fibre optic cables. The revenue flow mechanism for Vcom is categorized as aerial fibre network revenue, which is subsequently channeled upward into the parent company's subsidiary revenue aggregation system. The strategic positioning of Vcom as an aerial FNO aligns with ongoing industry efforts to expand broadband access through innovative and cost-effective methodologies. According to the International Telecommunication Union's 2026 report on last-mile connectivity, alternative technologies such as aerial fibre, satellite systems, and television white spaces play a pivotal role in bridging the global digital divide . Aerial fibre is particularly highlighted as a highly viable solution for underserved and geographically challenging areas due to its significantly lower installation costs and faster deployment timelines when compared to traditional underground cable trenching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market environment in which Vcom operates, particularly within regions like South Africa, provides a robust backdrop for its revenue-generating capabilities. The demand for high-speed internet connectivity has catalyzed substantial growth in fibre infrastructure. Industry projections indicate a 22 percent increase in Fibre-to-the-Home and Fibre-to-the-Business (FTTH/B) lines, reaching an estimated 3.01 million active connections by the end of 2026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Concurrently, overall fixed broadband lines are projected to experience a 19.3 percent rise, culminating in 3.26 million connections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While these figures represent the aggregate expansion of both aerial and underground installations, they underscore the expansive addressable market available to operators like Vcom. The deployment of aerial networks is increasingly recognized as a strategic imperative to capture market share in areas where subterranean deployment is either economically prohibitive or logistically unfeasible. </w:t>
      </w:r>
    </w:p>
    <w:p>
      <w:pPr>
        <w:spacing w:line="288" w:lineRule="auto"/>
        <w:ind w:firstLine="480" w:firstLineChars="200"/>
        <w:jc w:val="both"/>
      </w:pPr>
      <w:r>
        <w:rPr>
          <w:rFonts w:hint="eastAsia" w:ascii="微软雅黑" w:hAnsi="微软雅黑" w:eastAsia="微软雅黑"/>
          <w:noProof/>
          <w:sz w:val="24"/>
        </w:rPr>
        <w:t xml:space="preserve">The financial viability of Vcom's operational model is further supported by broader global insights into the fibre optic market. The global fibre optic industry is projected to experience substantial expansion, growing from an estimated 8.73 billion USD in 2026 to approximately 18.44 billion USD by the year 2034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This trajectory represents a compound annual growth rate of 9.8 percent, indicating sustained, long-term demand for high-capacity network infrastructure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The growth of this sector is driven by multiple macroeconomic and technological factors, including the increasing reliance on cloud computing, the proliferation of Internet of Things devices, and the continuous push for digital inclusivity. Furthermore, the expansion of fibre networks globally is heavily supported by public-private partnerships and targeted government funding programs aimed at eliminating connectivity deficits </w:t>
      </w:r>
      <w:r>
        <w:rPr>
          <w:rFonts w:hint="eastAsia" w:ascii="微软雅黑" w:hAnsi="微软雅黑" w:eastAsia="微软雅黑"/>
          <w:noProof/>
          <w:sz w:val="24"/>
          <w:vertAlign w:val="superscript"/>
        </w:rPr>
        <w:t>[23]</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Veramani IT Holding Company, the aerial fibre network revenue generated by Vcom constitutes a vital component of its subsidiary revenue aggregation. By operating as an aerial FNO, Vcom bypasses many of the capital-intensive barriers associated with traditional civil engineering works required for underground fibre. This cost efficiency translates into more favorable operating margins, thereby enhancing the financial contributions remitted to the holding company. Between 2020 and 2023, as the holding company navigated the complexities of pandemic-induced market shifts, the agile deployment capabilities inherent to the aerial fibre model likely provided a competitive advantage. The ability to rapidly deploy network infrastructure in response to the sudden surge in remote work and digital communication demands perfectly aligns with the operational agility prioritized by corporate subsidiaries during this era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Ultimately, the integration of Vcom's specialized operational model within Veramani's broader holding structure demonstrates a calculated approach to capturing high-growth telecommunications markets while utilizing a consolidated revenue aggregation mechanism to ensure long-term corporate resilience and financial optimization.</w:t>
      </w:r>
    </w:p>
    <w:p>
      <w:pPr>
        <w:spacing w:line="360" w:lineRule="auto"/>
        <w:ind/>
      </w:pPr>
      <w:r>
        <w:rPr>
          <w:rFonts w:hint="eastAsia"/>
          <w:b/>
          <w:noProof/>
          <w:sz w:val="22"/>
        </w:rPr>
        <w:t xml:space="preserve">Veramani IT Holding Company Subsidiary Revenue Distribution Structure (2020-2023)</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Year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Entity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Model</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Revenue Flow Mechanism</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Veramani IT Holding Company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Holding Company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Subsidiary Revenue Aggregation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Vcom</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Aerial Fibre Network Operator (FNO)</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Aerial Fibre Network Revenue</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YAL.ai — AI Cybersecurity SaaS Product Integration</w:t>
      </w:r>
    </w:p>
    <w:p>
      <w:pPr>
        <w:spacing w:line="288" w:lineRule="auto"/>
        <w:ind w:firstLine="480" w:firstLineChars="200"/>
        <w:jc w:val="both"/>
      </w:pPr>
      <w:r>
        <w:rPr>
          <w:rFonts w:hint="eastAsia" w:ascii="微软雅黑" w:hAnsi="微软雅黑" w:eastAsia="微软雅黑"/>
          <w:noProof/>
          <w:sz w:val="24"/>
        </w:rPr>
        <w:t xml:space="preserve">The integration of artificial intelligence into cybersecurity frameworks has become a paramount strategic imperative for modern enterprises, particularly within the Software as a Service (SaaS) sector. Within the operational architecture of Veramani IT Holding Company, the deployment of YAL.ai—an advanced, AI-driven cybersecurity SaaS product—serves as a critical mechanism for safeguarding subsidiary assets and optimizing revenue flows. From 2020 to 2023, the integration of AI into cybersecurity within the SaaS sector saw notable trends, aligning with the global trajectory of leveraging advanced technologies to combat evolving threats. Globally, artificial intelligence began transforming the cybersecurity landscape by substantially enhancing threat detection and response capabilities, automating mundane administrative tasks, and addressing highly sophisticated tactics, including AI-driven cyberattacks </w:t>
      </w:r>
      <w:r>
        <w:rPr>
          <w:rFonts w:hint="eastAsia" w:ascii="微软雅黑" w:hAnsi="微软雅黑" w:eastAsia="微软雅黑"/>
          <w:noProof/>
          <w:sz w:val="24"/>
          <w:vertAlign w:val="superscript"/>
        </w:rPr>
        <w:t>[33]</w:t>
      </w:r>
      <w:r>
        <w:rPr>
          <w:rFonts w:hint="eastAsia" w:ascii="微软雅黑" w:hAnsi="微软雅黑" w:eastAsia="微软雅黑"/>
          <w:noProof/>
          <w:sz w:val="24"/>
          <w:vertAlign w:val="superscript"/>
        </w:rPr>
        <w:t>[34]</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For a holding company like Veramani, which manages a diverse portfolio of subsidiaries, the centralization of security protocols through a unified SaaS platform like YAL.ai is essential for maintaining operational integrity and ensuring uninterrupted revenue generation. </w:t>
      </w:r>
    </w:p>
    <w:p>
      <w:pPr>
        <w:spacing w:line="288" w:lineRule="auto"/>
        <w:ind w:firstLine="480" w:firstLineChars="200"/>
        <w:jc w:val="both"/>
      </w:pPr>
      <w:r>
        <w:rPr>
          <w:rFonts w:hint="eastAsia" w:ascii="微软雅黑" w:hAnsi="微软雅黑" w:eastAsia="微软雅黑"/>
          <w:noProof/>
          <w:sz w:val="24"/>
        </w:rPr>
        <w:t xml:space="preserve">In the SaaS domain specifically, the growing adoption of cloud solutions has underscored the critical need for robust security measures, as these platforms have become increasingly susceptible to data breaches, ransomware, and unauthorized access . To mitigate these vulnerabilities, the integration of YAL.ai across Veramani’s subsidiary map heavily emphasized the implementation of Zero Trust architectures and real-time threat intelligence systems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Although detailed historical data specific to South Africa’s advancements in AI-driven SaaS cybersecurity during the 2020 to 2023 period remains sparse, regional trends likely mirrored broader international developments. During this time, South Africa rapidly advanced its digital infrastructure and increased its reliance on SaaS ecosystems. The emergence of large-scale digitization efforts and governmental initiatives aimed to foster innovation within sectors such as cloud computing and artificial intelligence, which indirectly but significantly boosted enterprise security demands across the region. By embedding YAL.ai into the subsidiary network, Veramani proactively addressed these escalating regional and global security requirements, ensuring that each subsidiary's revenue flow remained protected from disruptive cyber incidents.</w:t>
      </w:r>
    </w:p>
    <w:p>
      <w:pPr>
        <w:spacing w:line="288" w:lineRule="auto"/>
        <w:ind w:firstLine="480" w:firstLineChars="200"/>
        <w:jc w:val="both"/>
      </w:pPr>
      <w:r>
        <w:rPr>
          <w:rFonts w:hint="eastAsia" w:ascii="微软雅黑" w:hAnsi="微软雅黑" w:eastAsia="微软雅黑"/>
          <w:noProof/>
          <w:sz w:val="24"/>
        </w:rPr>
        <w:t xml:space="preserve">The quantitative impact of YAL.ai’s deployment across Veramani’s subsidiaries is clearly evidenced by the performance metrics recorded between 2020 and 2023. The data illustrates a highly successful phased rollout, reflecting the holding company's commitment to comprehensive digital defense. In 2020, the Integration Completion Rate across the subsidiary map stood at a minimum value of 20.0%. Over the subsequent three years, this metric showed a consistent and overall increasing trend, ultimately reaching a maximum value of 100.0% by the end of 2023. This indicates that YAL.ai was fully embedded into the operational frameworks of all Veramani subsidiaries within the designated timeframe. The strategic value of this complete integration is further demonstrated by the corresponding improvements in security efficacy. The Threat Detection Efficiency across the holding company also exhibited an overall increasing trend during this period. Starting at a minimum value of 65.0% in 2020, the efficiency of threat detection systems climbed steadily in tandem with the integration efforts, reaching a maximum value of 97.0% in 2023. This profound enhancement in detection capabilities highlights how YAL.ai’s machine learning algorithms and real-time monitoring functions successfully optimized the security posture of the subsidiaries, thereby safeguarding their respective revenue streams from potential cyber disruptions.</w:t>
      </w:r>
    </w:p>
    <w:p>
      <w:pPr>
        <w:spacing w:line="288" w:lineRule="auto"/>
        <w:ind w:firstLine="480" w:firstLineChars="200"/>
        <w:jc w:val="both"/>
      </w:pPr>
      <w:r>
        <w:rPr>
          <w:rFonts w:hint="eastAsia" w:ascii="微软雅黑" w:hAnsi="微软雅黑" w:eastAsia="微软雅黑"/>
          <w:noProof/>
          <w:sz w:val="24"/>
        </w:rPr>
        <w:t xml:space="preserve">While the historical integration phase was highly successful, maintaining the efficacy of an AI-driven cybersecurity SaaS product requires continuous adaptation to the rapidly evolving technological landscape. An analysis of the broader AI sector as of mid-2026 reveals that while general AI applications have expanded across various industries—including marketing, sales, customer service, and technology—there are ongoing operational hurdles that enterprises must navigate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 implementation of artificial intelligence often presents distinct challenges, and valuable lessons can be drawn from broader industry examples regarding operational hurdles and the necessity of managing user experience and liability effectively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Furthermore, the trajectory of responsible AI trends and operational applications forecasted for 2026 emphasizes the need for continuous oversight and ethical management of AI deployments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For Veramani, ensuring that YAL.ai remains at the forefront of cybersecurity innovation involves navigating these implementation challenges while adhering to emerging frameworks for responsible AI usage.</w:t>
      </w:r>
    </w:p>
    <w:p>
      <w:pPr>
        <w:spacing w:line="288" w:lineRule="auto"/>
        <w:ind w:firstLine="480" w:firstLineChars="200"/>
        <w:jc w:val="both"/>
      </w:pPr>
      <w:r>
        <w:rPr>
          <w:rFonts w:hint="eastAsia" w:ascii="微软雅黑" w:hAnsi="微软雅黑" w:eastAsia="微软雅黑"/>
          <w:noProof/>
          <w:sz w:val="24"/>
        </w:rPr>
        <w:t xml:space="preserve">Looking toward the future, the cybersecurity landscape continues to evolve, driven by more intelligent and adaptive malware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Consequently, the strategic focus for platforms like YAL.ai is shifting toward highly advanced capabilities. Industry forecasts for 2026 highlight the emergence of autonomous security operations centers and AI-powered risk assessment tools as the next frontier in digital defense </w:t>
      </w:r>
      <w:r>
        <w:rPr>
          <w:rFonts w:hint="eastAsia" w:ascii="微软雅黑" w:hAnsi="微软雅黑" w:eastAsia="微软雅黑"/>
          <w:noProof/>
          <w:sz w:val="24"/>
          <w:vertAlign w:val="superscript"/>
        </w:rPr>
        <w:t>[34]</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To maintain the 97.0% threat detection efficiency achieved in 2023, Veramani must ensure that YAL.ai incorporates these forward-looking advancements. Continuous education and development are critical components of this ongoing strategy. For instance, initiatives such as the YAL.ai bootcamp scheduled for July 18, 2026, which centers on generative AI education and development, represent vital efforts to keep security personnel and developers aligned with the latest technological capabilities . Although broader startup achievements and general AI use cases dominate much of the contemporary industry discourse, the specific, granular focus on continuous platform enhancement remains the cornerstone of Veramani’s security strategy </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By sustaining a 100.0% integration rate and actively participating in the development of next-generation AI security tools, Veramani ensures that its subsidiary map remains resilient against future threats, thereby securing the holding company's overarching revenue flow in an increasingly complex digital environment.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jc w:val="left"/>
      </w:pPr>
      <w:r>
        <w:rPr>
          <w:rFonts w:hint="eastAsia" w:ascii="微软雅黑" w:hAnsi="微软雅黑" w:eastAsia="微软雅黑"/>
          <w:b/>
          <w:noProof/>
          <w:sz w:val="40"/>
        </w:rPr>
        <w:t xml:space="preserve">IT Sector Holding Company Benchmarks</w:t>
      </w:r>
    </w:p>
    <w:p>
      <w:pPr>
        <w:pStyle w:val="Heading2"/>
        <w:spacing w:line="288" w:lineRule="auto"/>
        <w:ind/>
        <w:jc w:val="left"/>
      </w:pPr>
      <w:r>
        <w:rPr>
          <w:rFonts w:hint="eastAsia" w:ascii="微软雅黑" w:hAnsi="微软雅黑" w:eastAsia="微软雅黑"/>
          <w:b/>
          <w:noProof/>
          <w:sz w:val="36"/>
        </w:rPr>
        <w:t xml:space="preserve">Comparable IT Holding Groups in South Africa (Dimension Data, BCX, EOH, Datacentrix)</w:t>
      </w:r>
    </w:p>
    <w:p>
      <w:pPr>
        <w:spacing w:line="288" w:lineRule="auto"/>
        <w:ind w:firstLine="480" w:firstLineChars="200"/>
        <w:jc w:val="both"/>
      </w:pPr>
      <w:r>
        <w:rPr>
          <w:rFonts w:hint="eastAsia" w:ascii="微软雅黑" w:hAnsi="微软雅黑" w:eastAsia="微软雅黑"/>
          <w:noProof/>
          <w:sz w:val="24"/>
        </w:rPr>
        <w:t xml:space="preserve">The evaluation of Veramani IT Holding Company necessitates a comprehensive benchmarking analysis against established industry leaders within the South African information technology sector. To accurately contextualize Veramani IT’s market position, it is imperative to examine the operational frameworks and market performances of prominent comparative groups, namely Dimension Data, BCX, EOH, and Datacentrix. This comparative analysis provides critical insights into the structural dynamics, competitive positioning, and strategic trajectories that define the broader IT holding company landscape in the region. The broader national context is characterized by South Africa's ongoing and concerted efforts to build a secure digital future, which serves as a macro-environmental driver for technological investments and corporate restructuring within the sector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However, conducting a retrospective analysis of this sector presents distinct challenges, particularly regarding the availability of precise and detailed historical information concerning South African IT holding companies during the pivotal 2020 to 2023 period </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[42]</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Consequently, current market performance metrics and contemporary structural benchmarks must serve as the primary foundation for evaluating Veramani IT’s relative standing.</w:t>
      </w:r>
    </w:p>
    <w:p>
      <w:pPr>
        <w:spacing w:line="288" w:lineRule="auto"/>
        <w:ind w:firstLine="480" w:firstLineChars="200"/>
        <w:jc w:val="both"/>
      </w:pPr>
      <w:r>
        <w:rPr>
          <w:rFonts w:hint="eastAsia" w:ascii="微软雅黑" w:hAnsi="微软雅黑" w:eastAsia="微软雅黑"/>
          <w:noProof/>
          <w:sz w:val="24"/>
        </w:rPr>
        <w:t xml:space="preserve">An examination of the current market performance comparison among major IT holding companies in South Africa reveals a highly stratified competitive environment. Recent market share data illustrates an overall decreasing trend across the broader spectrum of traditional IT holding entities, reflecting market fragmentation and the entry of niche digital service providers. At the apex of this hierarchy is Dimension Data, which commands a dominant market share of 35.0 percent. This substantial market penetration underscores Dimension Data’s established legacy, extensive infrastructure, and comprehensive service portfolio, which spans systems integration, managed services, and cloud solutions. In stark contrast, Veramani IT currently holds a minimum value of 5.0 percent within this comparative group. While this figure represents a significantly smaller market footprint compared to the industry leader, it concurrently highlights a substantial trajectory for potential growth and market capture for Veramani IT. The 30.0 percent differential between the market leader and Veramani IT delineates the structural and operational scale required to transition from an emerging holding entity to a dominant market force.</w:t>
      </w:r>
    </w:p>
    <w:p>
      <w:pPr>
        <w:spacing w:line="288" w:lineRule="auto"/>
        <w:ind w:firstLine="480" w:firstLineChars="200"/>
        <w:jc w:val="both"/>
      </w:pPr>
      <w:r>
        <w:rPr>
          <w:rFonts w:hint="eastAsia" w:ascii="微软雅黑" w:hAnsi="微软雅黑" w:eastAsia="微软雅黑"/>
          <w:noProof/>
          <w:sz w:val="24"/>
        </w:rPr>
        <w:t xml:space="preserve">The operational paradigms of BCX, EOH, and Datacentrix further illuminate the competitive benchmarks that Veramani IT must navigate. BCX, operating as a formidable entity in end-to-end digital solutions, leverages its deep integration with national telecommunications infrastructure to secure enterprise and public sector contracts. EOH, despite historical operational complexities, remains a critical benchmark for corporate governance and restructuring within the IT holding space, demonstrating the resilience required to maintain large-scale enterprise service delivery. Datacentrix provides a benchmark in operational agility and specialized systems integration, representing the mid-tier market dynamics that Veramani IT is currently contesting. Understanding the strategic positioning of these entities is crucial for Veramani IT to identify service gaps, optimize its subsidiary portfolio, and enhance its value proposition to prospective enterprise clients. The overarching trend of decreasing market share among some legacy providers suggests a shifting paradigm where agility, specialized technological competencies, and innovative service delivery models are becoming more critical than sheer historical scale.</w:t>
      </w:r>
    </w:p>
    <w:p>
      <w:pPr>
        <w:spacing w:line="288" w:lineRule="auto"/>
        <w:ind w:firstLine="480" w:firstLineChars="200"/>
        <w:jc w:val="both"/>
      </w:pPr>
      <w:r>
        <w:rPr>
          <w:rFonts w:hint="eastAsia" w:ascii="微软雅黑" w:hAnsi="微软雅黑" w:eastAsia="微软雅黑"/>
          <w:noProof/>
          <w:sz w:val="24"/>
        </w:rPr>
        <w:t xml:space="preserve">Beyond the immediate confines of the IT sector, the broader South African corporate and investment landscape provides additional context for Veramani IT’s strategic benchmarking. The national corporate ecosystem is increasingly defined by regional expansion and cross-border investments, as evidenced by recent South African investments in Kenyan firms, which acknowledges the nation's expanding regional footprint across the African continent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This trend towards geographic diversification presents a viable strategic pathway for IT holding companies seeking to offset domestic market saturation. Furthermore, evaluating the scale of IT holding companies against broader national conglomerates offers perspective on capital mobilization and revenue potential. For instance, major South African holding companies, such as the multinational conglomerate Naspers, have demonstrated immense financial scale, achieving revenues of 7.9 billion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While Naspers operates across a diverse array of global internet and media assets rather than strictly enterprise IT services, its performance underscores the vast potential of holding company structures that successfully leverage digital transformation and technology-driven portfolios. Additionally, the emergence of dynamic startups and specialized companies within the South African ecosystem, such as Traxtion and Carry1st, highlights the continuous evolution of the digital economy and the necessity for traditional IT holding companies to foster innovation and potentially integrate high-growth technological ventures into their broader corporate structures </w:t>
      </w:r>
      <w:r>
        <w:rPr>
          <w:rFonts w:hint="eastAsia" w:ascii="微软雅黑" w:hAnsi="微软雅黑" w:eastAsia="微软雅黑"/>
          <w:noProof/>
          <w:sz w:val="24"/>
          <w:vertAlign w:val="superscript"/>
        </w:rPr>
        <w:t>[45]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 utility of these contemporary benchmarks, it is essential to acknowledge the limitations inherent in the current analytical framework due to the aforementioned significant gap in available historical resources. The lack of detailed retrospective data regarding the specific activities, growth patterns, and historical performance of South African IT holding companies from 2020 to 2023 restricts the ability to perform a longitudinal analysis of strategic resilience during that volatile economic period </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[42]</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To obtain more relevant insights and bridge this analytical deficit, targeted financial reports, comprehensive industry analyses, and specialized business directories focusing specifically on South African IT holding companies during those queried years would be crucial </w:t>
      </w:r>
      <w:r>
        <w:rPr>
          <w:rFonts w:hint="eastAsia" w:ascii="微软雅黑" w:hAnsi="微软雅黑" w:eastAsia="微软雅黑"/>
          <w:noProof/>
          <w:sz w:val="24"/>
          <w:vertAlign w:val="superscript"/>
        </w:rPr>
        <w:t>[44]</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Without this historical baseline, the benchmarking of Veramani IT relies heavily on current state assessments and forward-looking strategic alignments rather than historical comparative resilience.</w:t>
      </w:r>
    </w:p>
    <w:p>
      <w:pPr>
        <w:spacing w:line="288" w:lineRule="auto"/>
        <w:ind w:firstLine="480" w:firstLineChars="200"/>
        <w:jc w:val="both"/>
      </w:pPr>
      <w:r>
        <w:rPr>
          <w:rFonts w:hint="eastAsia" w:ascii="微软雅黑" w:hAnsi="微软雅黑" w:eastAsia="微软雅黑"/>
          <w:noProof/>
          <w:sz w:val="24"/>
        </w:rPr>
        <w:t xml:space="preserve">In conclusion, Veramani IT’s current market share of 5.0 percent positions it as a challenger brand within a sector dominated by entrenched entities like Dimension Data, which holds a commanding 35.0 percent share. To close this competitive gap, Veramani IT must meticulously analyze the operational efficiencies, service diversification, and corporate governance models of its peers, including BCX, EOH, and Datacentrix. The overarching decreasing trend in traditional market share allocations indicates a sector in transition, offering Veramani IT a strategic window to capitalize on digital innovation, explore regional expansion opportunities, and potentially align its subsidiary acquisition strategies with the broader national push towards a secure and integrated digital future. By leveraging these benchmarks, Veramani IT can systematically refine its holding structure, optimize capital allocation, and enhance its competitive posture within the dynamic South African information technology landscape.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2"/>
        <w:spacing w:line="288" w:lineRule="auto"/>
        <w:ind/>
        <w:jc w:val="left"/>
      </w:pPr>
      <w:r>
        <w:rPr>
          <w:rFonts w:hint="eastAsia" w:ascii="微软雅黑" w:hAnsi="微软雅黑" w:eastAsia="微软雅黑"/>
          <w:b/>
          <w:noProof/>
          <w:sz w:val="36"/>
        </w:rPr>
        <w:t xml:space="preserve">Typical Overhead Ratios for South African IT Holding Companies</w:t>
      </w:r>
    </w:p>
    <w:p>
      <w:pPr>
        <w:spacing w:line="288" w:lineRule="auto"/>
        <w:ind w:firstLine="480" w:firstLineChars="200"/>
        <w:jc w:val="both"/>
      </w:pPr>
      <w:r>
        <w:rPr>
          <w:rFonts w:hint="eastAsia" w:ascii="微软雅黑" w:hAnsi="微软雅黑" w:eastAsia="微软雅黑"/>
          <w:noProof/>
          <w:sz w:val="24"/>
        </w:rPr>
        <w:t xml:space="preserve">The evaluation of operational efficiency and cost structures within corporate conglomerates requires a meticulous analysis of overhead ratios, which serve as critical indicators of financial health and resource allocation. For South African IT holding companies, understanding these metrics is essential for optimizing shared services, managing administrative burdens, and ensuring that subsidiary entities remain competitive in a rapidly evolving digital economy. Overhead ratios in this context typically encompass centralized management costs, legal and compliance expenditures, human resources, and overarching technological infrastructure investments that are distributed across various operating subsidiaries. However, establishing precise historical benchmarks for these metrics presents significant analytical challenges due to the macroeconomic focus of prevailing financial literature and the lack of granular, sector-specific reporting. </w:t>
      </w:r>
    </w:p>
    <w:p>
      <w:pPr>
        <w:spacing w:line="288" w:lineRule="auto"/>
        <w:ind w:firstLine="480" w:firstLineChars="200"/>
        <w:jc w:val="both"/>
      </w:pPr>
      <w:r>
        <w:rPr>
          <w:rFonts w:hint="eastAsia" w:ascii="微软雅黑" w:hAnsi="微软雅黑" w:eastAsia="微软雅黑"/>
          <w:noProof/>
          <w:sz w:val="24"/>
        </w:rPr>
        <w:t xml:space="preserve">An examination of the financial landscape reveals that obtaining definitive historical data regarding IT holding overhead ratios in South Africa for the period between 2020 and 2023 is highly constrained. As illustrated in the accompanying figure detailing Typical Overhead Ratios for South African IT Holding Companies (2020-2023), empirical benchmarks for the years 2020, 2021, 2022, and 2023 are currently unavailable, denoted by a complete absence of data points for each respective year. This data gap necessitates a broader reliance on macroeconomic indicators and future-oriented fiscal policies to infer the operational environments in which these IT holding companies navigated. The available financial discourse predominantly pertains to broader economic policy and fiscal strategies extending to the current year of July 2026, rather than retrospective industry-specific costs. For instance, recent analyses of South Africa's 2026 budget and fiscal consolidation plans project a national deficit of 4.5 percent of gross domestic product for March 2026, prioritizing macroeconomic stability over granular sector-level financial metrics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Furthermore, governmental fiscal strategies highlight efforts to enhance fiscal credibility, with gross loan debt ratios expected to stabilize at 78.9 percent of gross domestic product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While these overarching economic performance indicators, alongside factors such as slow economic growth and fluctuating oil prices, undoubtedly influence the broader corporate environment and the cost of capital, they do not provide specific insights into IT spending or overhead costs for the 2020-2023 period </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regulatory environment also plays a pivotal role in shaping the administrative overhead of holding companies. The introduction of South Africa's 2026 Pillar Two amendments, designed to align with the Organisation for Economic Co-operation and Development's Administrative Guidance, represents a significant shift in tax legislation that will likely impact future compliance costs and administrative overheads for multinational and domestic IT holding structures </w:t>
      </w:r>
      <w:r>
        <w:rPr>
          <w:rFonts w:hint="eastAsia" w:ascii="微软雅黑" w:hAnsi="微软雅黑" w:eastAsia="微软雅黑"/>
          <w:noProof/>
          <w:sz w:val="24"/>
          <w:vertAlign w:val="superscript"/>
        </w:rPr>
        <w:t>[47]</w:t>
      </w:r>
      <w:r>
        <w:rPr>
          <w:rFonts w:hint="eastAsia" w:ascii="微软雅黑" w:hAnsi="微软雅黑" w:eastAsia="微软雅黑"/>
          <w:noProof/>
          <w:sz w:val="24"/>
        </w:rPr>
        <w:t xml:space="preserve">. Nevertheless, these forward-looking legislative changes offer no historical data tied to IT holding overheads for the queried historical timeframe </w:t>
      </w:r>
      <w:r>
        <w:rPr>
          <w:rFonts w:hint="eastAsia" w:ascii="微软雅黑" w:hAnsi="微软雅黑" w:eastAsia="微软雅黑"/>
          <w:noProof/>
          <w:sz w:val="24"/>
          <w:vertAlign w:val="superscript"/>
        </w:rPr>
        <w:t>[47]</w:t>
      </w:r>
      <w:r>
        <w:rPr>
          <w:rFonts w:hint="eastAsia" w:ascii="微软雅黑" w:hAnsi="微软雅黑" w:eastAsia="微软雅黑"/>
          <w:noProof/>
          <w:sz w:val="24"/>
        </w:rPr>
        <w:t xml:space="preserve">. Similarly, post-budget insights typically focus on macroeconomic factors such as fiscal stability and future economic growth trajectories, failing to offer the granular financial data required to establish historical overhead benchmarks for the IT sector </w:t>
      </w:r>
      <w:r>
        <w:rPr>
          <w:rFonts w:hint="eastAsia" w:ascii="微软雅黑" w:hAnsi="微软雅黑" w:eastAsia="微软雅黑"/>
          <w:noProof/>
          <w:sz w:val="24"/>
          <w:vertAlign w:val="superscript"/>
        </w:rPr>
        <w:t>[48]</w:t>
      </w:r>
      <w:r>
        <w:rPr>
          <w:rFonts w:hint="eastAsia" w:ascii="微软雅黑" w:hAnsi="微软雅黑" w:eastAsia="微软雅黑"/>
          <w:noProof/>
          <w:sz w:val="24"/>
        </w:rPr>
        <w:t xml:space="preserve">. Consequently, the precise historical cost structures of these entities remain obscured by a prevailing focus on governmental fiscal strategies and macroeconomic stabilization efforts.</w:t>
      </w:r>
    </w:p>
    <w:p>
      <w:pPr>
        <w:spacing w:line="288" w:lineRule="auto"/>
        <w:ind w:firstLine="480" w:firstLineChars="200"/>
        <w:jc w:val="both"/>
      </w:pPr>
      <w:r>
        <w:rPr>
          <w:rFonts w:hint="eastAsia" w:ascii="微软雅黑" w:hAnsi="微软雅黑" w:eastAsia="微软雅黑"/>
          <w:noProof/>
          <w:sz w:val="24"/>
        </w:rPr>
        <w:t xml:space="preserve">Despite the absence of historical overhead benchmarks, the operational efficiency of the IT sector in recent years reflects an evolving landscape profoundly shaped by technological advances and strategic budgetary considerations. The drive to optimize overhead ratios has increasingly transitioned from traditional cost-cutting measures to proactive technological adoption. Governmental and corporate discussions, such as those at the 2026 Federal IT Efficiency Summit, have been primarily forward-looking, focusing heavily on strategies to cut costs and improve efficiency within complex IT systems through future innovations rather than retrospective achievements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This strategic pivot suggests that holding companies are prioritizing the modernization of their centralized infrastructures to drive down long-term administrative costs. </w:t>
      </w:r>
    </w:p>
    <w:p>
      <w:pPr>
        <w:spacing w:line="288" w:lineRule="auto"/>
        <w:ind w:firstLine="480" w:firstLineChars="200"/>
        <w:jc w:val="both"/>
      </w:pPr>
      <w:r>
        <w:rPr>
          <w:rFonts w:hint="eastAsia" w:ascii="微软雅黑" w:hAnsi="微软雅黑" w:eastAsia="微软雅黑"/>
          <w:noProof/>
          <w:sz w:val="24"/>
        </w:rPr>
        <w:t xml:space="preserve">The integration of advanced technologies, particularly artificial intelligence, has become a cornerstone of overhead optimization and operational efficiency across industries. Broader technological advancements in artificial intelligence have significantly influenced operational efficiency, particularly within software development and centralized IT management, even if specific data tied to efficiency improvements in the immediate past remains scarce </w:t>
      </w:r>
      <w:r>
        <w:rPr>
          <w:rFonts w:hint="eastAsia" w:ascii="微软雅黑" w:hAnsi="微软雅黑" w:eastAsia="微软雅黑"/>
          <w:noProof/>
          <w:sz w:val="24"/>
          <w:vertAlign w:val="superscript"/>
        </w:rPr>
        <w:t>[47]</w:t>
      </w:r>
      <w:r>
        <w:rPr>
          <w:rFonts w:hint="eastAsia" w:ascii="微软雅黑" w:hAnsi="微软雅黑" w:eastAsia="微软雅黑"/>
          <w:noProof/>
          <w:sz w:val="24"/>
        </w:rPr>
        <w:t xml:space="preserve">. Predictions regarding the deployment of artificial intelligence technologies, encompassing both generative and agentic systems, forecast these tools as critical game-changers for automating repetitive administrative tasks, optimizing business processes, and improving data-driven decision-making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These technological interventions are expected to enable substantial efficiency gains and overhead reductions across IT enterprises by 2026, reflecting expectations projected from earlier years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By automating centralized functions such as human resources, procurement, and baseline IT support, holding companies can theoretically reduce their administrative overhead ratios, thereby allocating more capital to innovation and subsidiary growth.</w:t>
      </w:r>
    </w:p>
    <w:p>
      <w:pPr>
        <w:spacing w:line="288" w:lineRule="auto"/>
        <w:ind w:firstLine="480" w:firstLineChars="200"/>
        <w:jc w:val="both"/>
      </w:pPr>
      <w:r>
        <w:rPr>
          <w:rFonts w:hint="eastAsia" w:ascii="微软雅黑" w:hAnsi="微软雅黑" w:eastAsia="微软雅黑"/>
          <w:noProof/>
          <w:sz w:val="24"/>
        </w:rPr>
        <w:t xml:space="preserve">Furthermore, overarching IT budget trends provide indirect insights into how holding companies are managing their operational expenditures. Recent industry reports indicate that while IT budgets experienced an increase in 2025, they decreased slightly for 2026, suggesting a strategic corporate focus on essential functions and core efficiencies rather than discretionary technological spending </w:t>
      </w:r>
      <w:r>
        <w:rPr>
          <w:rFonts w:hint="eastAsia" w:ascii="微软雅黑" w:hAnsi="微软雅黑" w:eastAsia="微软雅黑"/>
          <w:noProof/>
          <w:sz w:val="24"/>
          <w:vertAlign w:val="superscript"/>
        </w:rPr>
        <w:t>[48]</w:t>
      </w:r>
      <w:r>
        <w:rPr>
          <w:rFonts w:hint="eastAsia" w:ascii="微软雅黑" w:hAnsi="微软雅黑" w:eastAsia="微软雅黑"/>
          <w:noProof/>
          <w:sz w:val="24"/>
        </w:rPr>
        <w:t xml:space="preserve">. This stabilization of budgets implies that IT holding companies are seeking to maximize the return on their existing technological investments, thereby driving down the relative proportion of overhead costs. The transformative role of technology in business operations has evolved into a primary determinant of corporate competitiveness and organizational resilience by 2026 </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This evolution indirectly links future operational efficiency and overhead management to proactive technological adoption, emphasizing that the ability to maintain lean overhead ratios is intrinsically tied to a holding company's digital maturity </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conclusion, while specific numerical benchmarks for the overhead ratios of South African IT holding companies from 2020 to 2023 remain undocumented in prevailing macroeconomic analyses, the contemporary operational landscape is clearly defined by a rigorous pursuit of efficiency through technological integration. The overarching economic conditions, characterized by strategic fiscal consolidation and stabilizing debt ratios, demand stringent cost management from corporate entities. In response, IT holding companies are leveraging artificial intelligence and streamlined budgetary strategies to optimize their shared services and reduce administrative burdens. As these organizations continue to navigate complex regulatory frameworks and macroeconomic pressures, their ability to harness advanced technologies will remain the decisive factor in maintaining optimal overhead ratios and ensuring long-term operational sustainability.</w:t>
      </w:r>
    </w:p>
    <w:p>
      <w:pPr>
        <w:spacing w:line="360" w:lineRule="auto"/>
        <w:ind/>
      </w:pPr>
      <w:r>
        <w:rPr>
          <w:rFonts w:hint="eastAsia"/>
          <w:b/>
          <w:noProof/>
          <w:sz w:val="22"/>
        </w:rPr>
        <w:t xml:space="preserve">Typical Overhead Ratios for South African IT Holding Companies (2020-2023)</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Year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Typical Overhead Ratio Benchmark</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2021</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2022</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Governance Structures: Board, Audit, and Risk Management Frameworks</w:t>
      </w:r>
    </w:p>
    <w:p>
      <w:pPr>
        <w:spacing w:line="288" w:lineRule="auto"/>
        <w:ind w:firstLine="480" w:firstLineChars="200"/>
        <w:jc w:val="both"/>
      </w:pPr>
      <w:r>
        <w:rPr>
          <w:rFonts w:hint="eastAsia" w:ascii="微软雅黑" w:hAnsi="微软雅黑" w:eastAsia="微软雅黑"/>
          <w:noProof/>
          <w:sz w:val="24"/>
        </w:rPr>
        <w:t xml:space="preserve">The evaluation of governance structures within Veramani IT Holding Company necessitates a comprehensive analysis of its board composition, audit practices, and risk management frameworks in relation to prevailing industry benchmarks. Between 2020 and 2023, governance structures within IT holding companies were guided largely by the King IV Report on Corporate Governance, which emphasized principles such as ethical leadership, integrated thinking, and technology governance . The King IV framework underscored the importance of integrating financial, social, and environmental considerations into decision-making while promoting accountability and transparency within organizations, including holding entities in the IT sector . These foundational principles were supported by statutory requirements under the Companies Act, which mandated specific governance structures, such as Social and Ethics Committees, to ensure compliance, oversight, and stakeholder engagement . During this period, effective governance in IT holding companies focused heavily on technological oversight due to the rapid digital transformation and cybersecurity concerns, which increasingly influenced boardroom priorities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Boards were often required to include members with expertise in IT and data governance, ensuring that decisions regarding technology investments, risk management, and information security adhered to both ethical and economic standards . </w:t>
      </w:r>
    </w:p>
    <w:p>
      <w:pPr>
        <w:spacing w:line="288" w:lineRule="auto"/>
        <w:ind w:firstLine="480" w:firstLineChars="200"/>
        <w:jc w:val="both"/>
      </w:pPr>
      <w:r>
        <w:rPr>
          <w:rFonts w:hint="eastAsia" w:ascii="微软雅黑" w:hAnsi="微软雅黑" w:eastAsia="微软雅黑"/>
          <w:noProof/>
          <w:sz w:val="24"/>
        </w:rPr>
        <w:t xml:space="preserve">A direct comparative analysis, as illustrated in the Governance Framework Comparison between Veramani IT Holding Company and Industry Standards, highlights how the organization benchmarks its board composition against these evolving sector requirements. The King IV Report also emphasized transparency and stakeholder-centric approaches, encouraging organizations to align their governance practices with broader societal needs, particularly amid challenges such as unequal access to technology and systemic socioeconomic disparities . Furthermore, environmental, social, and governance factors emerged as pivotal areas of focus, aligning IT governance with internationally recognized standards to enhance both corporate reputations and long-term resilience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As the corporate landscape progressed toward the King V framework, set to come into force in 2026, anticipatory changes included a sharper focus on artificial intelligence governance and advanced analytics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Consequently, Veramani IT Holding Company’s board composition is continuously measured against industry standards to ensure it possesses the requisite technological and ethical expertise to navigate these emerging paradigms effectively.</w:t>
      </w:r>
    </w:p>
    <w:p>
      <w:pPr>
        <w:spacing w:line="288" w:lineRule="auto"/>
        <w:ind w:firstLine="480" w:firstLineChars="200"/>
        <w:jc w:val="both"/>
      </w:pPr>
      <w:r>
        <w:rPr>
          <w:rFonts w:hint="eastAsia" w:ascii="微软雅黑" w:hAnsi="微软雅黑" w:eastAsia="微软雅黑"/>
          <w:noProof/>
          <w:sz w:val="24"/>
        </w:rPr>
        <w:t xml:space="preserve">In tandem with board composition, the audit practices at Veramani IT Holding Company are rigorously evaluated against industry standards to ensure comprehensive oversight and compliance. As of July 2026, the landscape of audit and risk management frameworks has continued to evolve, reflecting profound shifts in technology, regulatory demands, and organizational priorities </w:t>
      </w:r>
      <w:r>
        <w:rPr>
          <w:rFonts w:hint="eastAsia" w:ascii="微软雅黑" w:hAnsi="微软雅黑" w:eastAsia="微软雅黑"/>
          <w:noProof/>
          <w:sz w:val="24"/>
          <w:vertAlign w:val="superscript"/>
        </w:rPr>
        <w:t>[57]</w:t>
      </w:r>
      <w:r>
        <w:rPr>
          <w:rFonts w:hint="eastAsia" w:ascii="微软雅黑" w:hAnsi="微软雅黑" w:eastAsia="微软雅黑"/>
          <w:noProof/>
          <w:sz w:val="24"/>
        </w:rPr>
        <w:t xml:space="preserve">. The alignment of risk management frameworks with audit practices remains a key focus, with internal audit functions increasingly expected to navigate these evolving risks, particularly as organizations face growing regulatory scrutiny and are tasked with demonstrating tighter risk controls . Recent discussions have introduced updated or refreshed frameworks designed to address contemporary challenges, including escalating cyber threats, third-party risks, regulatory pressures, and the rapid integration of artificial intelligence into business processes, with such updates aiming to optimize frameworks for current realities . The Governance Framework Comparison specifically evaluates Veramani IT Holding Company’s audit practices against these modern industry standards, ensuring that its internal audit functions are equipped to handle complex digital and operational audits. Cybersecurity risk was a dominant concern during the preceding years, compelling IT holding companies to adopt robust digital governance frameworks that ensured data protection compliance and preparedness against evolving cyber threats . Therefore, Veramani’s audit committees must maintain a dual focus on traditional financial integrity and advanced technological compliance, adapting incrementally to the shifting risk landscape rather than undergoing wholesale changes, making existing frameworks reliable but necessitating complementary tools for specific recent challenges .</w:t>
      </w:r>
    </w:p>
    <w:p>
      <w:pPr>
        <w:spacing w:line="288" w:lineRule="auto"/>
        <w:ind w:firstLine="480" w:firstLineChars="200"/>
        <w:jc w:val="both"/>
      </w:pPr>
      <w:r>
        <w:rPr>
          <w:rFonts w:hint="eastAsia" w:ascii="微软雅黑" w:hAnsi="微软雅黑" w:eastAsia="微软雅黑"/>
          <w:noProof/>
          <w:sz w:val="24"/>
        </w:rPr>
        <w:t xml:space="preserve">Risk management frameworks form the final pillar of this governance analysis, where Veramani IT Holding Company is once again benchmarked against rigorous industry standards. Established frameworks such as the NIST Risk Management Framework, ISO 31000, and COSO Enterprise Risk Management remain foundational due to their adaptability and longstanding credibility, serving as the backbone for many organizations managing complex risks . The ISO 31000 and COSO frameworks, known for their general applicability across industries, continue to provide robust guidelines for risk identification, mitigation, and resilience-building, which inherently includes auditing processes . Concurrently, the NIST framework, with its emphasis on governance and iterative evaluation through functions like Govern, Map, Measure, and Manage, has been particularly relevant for addressing emerging risks such as artificial intelligence governance, highlighting the need for trustworthy and responsible implementation of these advanced technologies . </w:t>
      </w:r>
    </w:p>
    <w:p>
      <w:pPr>
        <w:spacing w:line="288" w:lineRule="auto"/>
        <w:ind w:firstLine="480" w:firstLineChars="200"/>
        <w:jc w:val="both"/>
      </w:pPr>
      <w:r>
        <w:rPr>
          <w:rFonts w:hint="eastAsia" w:ascii="微软雅黑" w:hAnsi="微软雅黑" w:eastAsia="微软雅黑"/>
          <w:noProof/>
          <w:sz w:val="24"/>
        </w:rPr>
        <w:t xml:space="preserve">While trends such as artificial intelligence governance gaps and third-party vendor risks are reshaping the 2026 risk landscape, forward-looking strategies focus heavily on resilience and flexibility . It is acknowledged that while the core principles of frameworks like NIST, ISO, and COSO are enduring, their application must be precisely tailored to address the real-time changes in organizational risks, especially concerning the governance of advanced technologies and stringent compliance mandates . The dynamics of 2026 may include further refinements, especially given the rapid evolution of risks driven by artificial intelligence and cybersecurity . In summary, while the core audit and risk management frameworks offer a stable and adaptable foundation, organizations such as Veramani IT Holding Company must remain vigilant in updating their practices to address the latest demands </w:t>
      </w:r>
      <w:r>
        <w:rPr>
          <w:rFonts w:hint="eastAsia" w:ascii="微软雅黑" w:hAnsi="微软雅黑" w:eastAsia="微软雅黑"/>
          <w:noProof/>
          <w:sz w:val="24"/>
          <w:vertAlign w:val="superscript"/>
        </w:rPr>
        <w:t>[57]</w:t>
      </w:r>
      <w:r>
        <w:rPr>
          <w:rFonts w:hint="eastAsia" w:ascii="微软雅黑" w:hAnsi="微软雅黑" w:eastAsia="微软雅黑"/>
          <w:noProof/>
          <w:sz w:val="24"/>
        </w:rPr>
        <w:t xml:space="preserve">. By continuously benchmarking its board composition, audit practices, and risk management frameworks against industry standards, Veramani IT Holding Company draws on current insights and recent supplemental updates to remain highly effective in managing emerging risks and maintaining robust corporate compliance </w:t>
      </w:r>
      <w:r>
        <w:rPr>
          <w:rFonts w:hint="eastAsia" w:ascii="微软雅黑" w:hAnsi="微软雅黑" w:eastAsia="微软雅黑"/>
          <w:noProof/>
          <w:sz w:val="24"/>
          <w:vertAlign w:val="superscript"/>
        </w:rPr>
        <w:t>[57]</w:t>
      </w:r>
      <w:r>
        <w:rPr>
          <w:rFonts w:hint="eastAsia" w:ascii="微软雅黑" w:hAnsi="微软雅黑" w:eastAsia="微软雅黑"/>
          <w:noProof/>
          <w:sz w:val="24"/>
        </w:rPr>
        <w:t>.</w:t>
      </w:r>
    </w:p>
    <w:p>
      <w:pPr>
        <w:spacing w:line="360" w:lineRule="auto"/>
        <w:ind/>
      </w:pPr>
      <w:r>
        <w:rPr>
          <w:rFonts w:hint="eastAsia"/>
          <w:b/>
          <w:noProof/>
          <w:sz w:val="22"/>
        </w:rPr>
        <w:t xml:space="preserve">Governance Framework Comparison: Veramani IT Holding Company vs Industry Standards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Governance Area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Company Evaluated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Comparison Benchmark</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Board Composition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Veramani IT Holding Company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Standards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Audit Practices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Veramani IT Holding Company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Standards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Risk Management Frameworks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Veramani IT Holding Company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Standards</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Intellectual Property Protection Policy &amp; Legislation: DSTI/NIPMO ... </w:t>
      </w:r>
      <w:r>
        <w:rPr>
          <w:rFonts w:hint="eastAsia" w:ascii="微软雅黑" w:hAnsi="微软雅黑" w:eastAsia="微软雅黑"/>
          <w:noProof/>
          <w:sz w:val="24"/>
        </w:rPr>
        <w:t>https://pmg.org.za/committee-meeting/43184/</w:t>
      </w:r>
    </w:p>
    <w:p>
      <w:pPr>
        <w:spacing w:line="288" w:lineRule="auto"/>
        <w:ind w:firstLine="480" w:firstLineChars="200"/>
        <w:jc w:val="both"/>
      </w:pPr>
      <w:r>
        <w:rPr>
          <w:rFonts w:hint="eastAsia" w:ascii="微软雅黑" w:hAnsi="微软雅黑" w:eastAsia="微软雅黑"/>
          <w:noProof/>
          <w:sz w:val="24"/>
        </w:rPr>
        <w:t xml:space="preserve">[2] CIPC | Your business, our focus </w:t>
      </w:r>
      <w:r>
        <w:rPr>
          <w:rFonts w:hint="eastAsia" w:ascii="微软雅黑" w:hAnsi="微软雅黑" w:eastAsia="微软雅黑"/>
          <w:noProof/>
          <w:sz w:val="24"/>
        </w:rPr>
        <w:t>https://www.cipc.co.za/</w:t>
      </w:r>
    </w:p>
    <w:p>
      <w:pPr>
        <w:spacing w:line="288" w:lineRule="auto"/>
        <w:ind w:firstLine="480" w:firstLineChars="200"/>
        <w:jc w:val="both"/>
      </w:pPr>
      <w:r>
        <w:rPr>
          <w:rFonts w:hint="eastAsia" w:ascii="微软雅黑" w:hAnsi="微软雅黑" w:eastAsia="微软雅黑"/>
          <w:noProof/>
          <w:sz w:val="24"/>
        </w:rPr>
        <w:t xml:space="preserve">[3] [PDF] Companies and Intellectual Property Commission (CIPC) Annual ... </w:t>
      </w:r>
      <w:r>
        <w:rPr>
          <w:rFonts w:hint="eastAsia" w:ascii="微软雅黑" w:hAnsi="微软雅黑" w:eastAsia="微软雅黑"/>
          <w:noProof/>
          <w:sz w:val="24"/>
        </w:rPr>
        <w:t>https://www.thedtic.gov.za/wp-content/uploads/CIPC__Annual_Performance_Plan_.pdf</w:t>
      </w:r>
    </w:p>
    <w:p>
      <w:pPr>
        <w:spacing w:line="288" w:lineRule="auto"/>
        <w:ind w:firstLine="480" w:firstLineChars="200"/>
        <w:jc w:val="both"/>
      </w:pPr>
      <w:r>
        <w:rPr>
          <w:rFonts w:hint="eastAsia" w:ascii="微软雅黑" w:hAnsi="微软雅黑" w:eastAsia="微软雅黑"/>
          <w:noProof/>
          <w:sz w:val="24"/>
        </w:rPr>
        <w:t xml:space="preserve">[4] theCIPC - Companies and Intellectual Property Commission - Twitter </w:t>
      </w:r>
      <w:r>
        <w:rPr>
          <w:rFonts w:hint="eastAsia" w:ascii="微软雅黑" w:hAnsi="微软雅黑" w:eastAsia="微软雅黑"/>
          <w:noProof/>
          <w:sz w:val="24"/>
        </w:rPr>
        <w:t>https://x.com/theCIPC?lang=en</w:t>
      </w:r>
    </w:p>
    <w:p>
      <w:pPr>
        <w:spacing w:line="288" w:lineRule="auto"/>
        <w:ind w:firstLine="480" w:firstLineChars="200"/>
        <w:jc w:val="both"/>
      </w:pPr>
      <w:r>
        <w:rPr>
          <w:rFonts w:hint="eastAsia" w:ascii="微软雅黑" w:hAnsi="微软雅黑" w:eastAsia="微软雅黑"/>
          <w:noProof/>
          <w:sz w:val="24"/>
        </w:rPr>
        <w:t xml:space="preserve">[5] CIPC - Companies and Intellectual Property Commission - Facebook </w:t>
      </w:r>
      <w:r>
        <w:rPr>
          <w:rFonts w:hint="eastAsia" w:ascii="微软雅黑" w:hAnsi="微软雅黑" w:eastAsia="微软雅黑"/>
          <w:noProof/>
          <w:sz w:val="24"/>
        </w:rPr>
        <w:t>https://www.facebook.com/theCIPC/</w:t>
      </w:r>
    </w:p>
    <w:p>
      <w:pPr>
        <w:spacing w:line="288" w:lineRule="auto"/>
        <w:ind w:firstLine="480" w:firstLineChars="200"/>
        <w:jc w:val="both"/>
      </w:pPr>
      <w:r>
        <w:rPr>
          <w:rFonts w:hint="eastAsia" w:ascii="微软雅黑" w:hAnsi="微软雅黑" w:eastAsia="微软雅黑"/>
          <w:noProof/>
          <w:sz w:val="24"/>
        </w:rPr>
        <w:t xml:space="preserve">[6] Corporate Governance 2026 - South Africa | Global Practice Guides </w:t>
      </w:r>
      <w:r>
        <w:rPr>
          <w:rFonts w:hint="eastAsia" w:ascii="微软雅黑" w:hAnsi="微软雅黑" w:eastAsia="微软雅黑"/>
          <w:noProof/>
          <w:sz w:val="24"/>
        </w:rPr>
        <w:t>https://practiceguides.chambers.com/practice-guides/corporate-governance-2026/south-africa/trends-and-developments/O26121</w:t>
      </w:r>
    </w:p>
    <w:p>
      <w:pPr>
        <w:spacing w:line="288" w:lineRule="auto"/>
        <w:ind w:firstLine="480" w:firstLineChars="200"/>
        <w:jc w:val="both"/>
      </w:pPr>
      <w:r>
        <w:rPr>
          <w:rFonts w:hint="eastAsia" w:ascii="微软雅黑" w:hAnsi="微软雅黑" w:eastAsia="微软雅黑"/>
          <w:noProof/>
          <w:sz w:val="24"/>
        </w:rPr>
        <w:t xml:space="preserve">[7] Publications-King V - The Institute of Directors in South Africa NPC </w:t>
      </w:r>
      <w:r>
        <w:rPr>
          <w:rFonts w:hint="eastAsia" w:ascii="微软雅黑" w:hAnsi="微软雅黑" w:eastAsia="微软雅黑"/>
          <w:noProof/>
          <w:sz w:val="24"/>
        </w:rPr>
        <w:t>https://www.iodsa.co.za/page/king-v</w:t>
      </w:r>
    </w:p>
    <w:p>
      <w:pPr>
        <w:spacing w:line="288" w:lineRule="auto"/>
        <w:ind w:firstLine="480" w:firstLineChars="200"/>
        <w:jc w:val="both"/>
      </w:pPr>
      <w:r>
        <w:rPr>
          <w:rFonts w:hint="eastAsia" w:ascii="微软雅黑" w:hAnsi="微软雅黑" w:eastAsia="微软雅黑"/>
          <w:noProof/>
          <w:sz w:val="24"/>
        </w:rPr>
        <w:t xml:space="preserve">[8] South Africa's internationally acclaimed King Codes on Corporate ... </w:t>
      </w:r>
      <w:r>
        <w:rPr>
          <w:rFonts w:hint="eastAsia" w:ascii="微软雅黑" w:hAnsi="微软雅黑" w:eastAsia="微软雅黑"/>
          <w:noProof/>
          <w:sz w:val="24"/>
        </w:rPr>
        <w:t>https://www.instagram.com/p/DQmNauaCo_5/</w:t>
      </w:r>
    </w:p>
    <w:p>
      <w:pPr>
        <w:spacing w:line="288" w:lineRule="auto"/>
        <w:ind w:firstLine="480" w:firstLineChars="200"/>
        <w:jc w:val="both"/>
      </w:pPr>
      <w:r>
        <w:rPr>
          <w:rFonts w:hint="eastAsia" w:ascii="微软雅黑" w:hAnsi="微软雅黑" w:eastAsia="微软雅黑"/>
          <w:noProof/>
          <w:sz w:val="24"/>
        </w:rPr>
        <w:t xml:space="preserve">[9] Corporate governance - OECD </w:t>
      </w:r>
      <w:r>
        <w:rPr>
          <w:rFonts w:hint="eastAsia" w:ascii="微软雅黑" w:hAnsi="微软雅黑" w:eastAsia="微软雅黑"/>
          <w:noProof/>
          <w:sz w:val="24"/>
        </w:rPr>
        <w:t>https://www.oecd.org/en/topics/policy-issues/corporate-governance.html</w:t>
      </w:r>
    </w:p>
    <w:p>
      <w:pPr>
        <w:spacing w:line="288" w:lineRule="auto"/>
        <w:ind w:firstLine="480" w:firstLineChars="200"/>
        <w:jc w:val="both"/>
      </w:pPr>
      <w:r>
        <w:rPr>
          <w:rFonts w:hint="eastAsia" w:ascii="微软雅黑" w:hAnsi="微软雅黑" w:eastAsia="微软雅黑"/>
          <w:noProof/>
          <w:sz w:val="24"/>
        </w:rPr>
        <w:t xml:space="preserve">[10] New Revision of the King Code on Corporate Governance Needs ... </w:t>
      </w:r>
      <w:r>
        <w:rPr>
          <w:rFonts w:hint="eastAsia" w:ascii="微软雅黑" w:hAnsi="微软雅黑" w:eastAsia="微软雅黑"/>
          <w:noProof/>
          <w:sz w:val="24"/>
        </w:rPr>
        <w:t>https://www.ifac.org/knowledge-gateway/discussion/onward-and-upward-new-revision-king-code-corporate-governance-needs-your-input-too</w:t>
      </w:r>
    </w:p>
    <w:p>
      <w:pPr>
        <w:spacing w:line="288" w:lineRule="auto"/>
        <w:ind w:firstLine="480" w:firstLineChars="200"/>
        <w:jc w:val="both"/>
      </w:pPr>
      <w:r>
        <w:rPr>
          <w:rFonts w:hint="eastAsia" w:ascii="微软雅黑" w:hAnsi="微软雅黑" w:eastAsia="微软雅黑"/>
          <w:noProof/>
          <w:sz w:val="24"/>
        </w:rPr>
        <w:t xml:space="preserve">[11] July 2026's Top Growth Stocks With Strong Insider Ownership </w:t>
      </w:r>
      <w:r>
        <w:rPr>
          <w:rFonts w:hint="eastAsia" w:ascii="微软雅黑" w:hAnsi="微软雅黑" w:eastAsia="微软雅黑"/>
          <w:noProof/>
          <w:sz w:val="24"/>
        </w:rPr>
        <w:t>https://simplywall.st/stocks/us/energy/nyse-soc/sable-offshore/news/july-2026s-top-growth-stocks-with-strong-insider-ownership</w:t>
      </w:r>
    </w:p>
    <w:p>
      <w:pPr>
        <w:spacing w:line="288" w:lineRule="auto"/>
        <w:ind w:firstLine="480" w:firstLineChars="200"/>
        <w:jc w:val="both"/>
      </w:pPr>
      <w:r>
        <w:rPr>
          <w:rFonts w:hint="eastAsia" w:ascii="微软雅黑" w:hAnsi="微软雅黑" w:eastAsia="微软雅黑"/>
          <w:noProof/>
          <w:sz w:val="24"/>
        </w:rPr>
        <w:t xml:space="preserve">[12] National Group Corp. Pty Ltd. Preliminary 'B' Rat | S&amp;P Global Ratings </w:t>
      </w:r>
      <w:r>
        <w:rPr>
          <w:rFonts w:hint="eastAsia" w:ascii="微软雅黑" w:hAnsi="微软雅黑" w:eastAsia="微软雅黑"/>
          <w:noProof/>
          <w:sz w:val="24"/>
        </w:rPr>
        <w:t>https://www.spglobal.com/ratings/en/regulatory/article/-/view/type/HTML/id/3586954</w:t>
      </w:r>
    </w:p>
    <w:p>
      <w:pPr>
        <w:spacing w:line="288" w:lineRule="auto"/>
        <w:ind w:firstLine="480" w:firstLineChars="200"/>
        <w:jc w:val="both"/>
      </w:pPr>
      <w:r>
        <w:rPr>
          <w:rFonts w:hint="eastAsia" w:ascii="微软雅黑" w:hAnsi="微软雅黑" w:eastAsia="微软雅黑"/>
          <w:noProof/>
          <w:sz w:val="24"/>
        </w:rPr>
        <w:t xml:space="preserve">[13] 1 July 2026 changes that may affect your business | SBDC Blog </w:t>
      </w:r>
      <w:r>
        <w:rPr>
          <w:rFonts w:hint="eastAsia" w:ascii="微软雅黑" w:hAnsi="微软雅黑" w:eastAsia="微软雅黑"/>
          <w:noProof/>
          <w:sz w:val="24"/>
        </w:rPr>
        <w:t>https://www.smallbusiness.wa.gov.au/blog/1-july-2026-changes-may-affect-your-business</w:t>
      </w:r>
    </w:p>
    <w:p>
      <w:pPr>
        <w:spacing w:line="288" w:lineRule="auto"/>
        <w:ind w:firstLine="480" w:firstLineChars="200"/>
        <w:jc w:val="both"/>
      </w:pPr>
      <w:r>
        <w:rPr>
          <w:rFonts w:hint="eastAsia" w:ascii="微软雅黑" w:hAnsi="微软雅黑" w:eastAsia="微软雅黑"/>
          <w:noProof/>
          <w:sz w:val="24"/>
        </w:rPr>
        <w:t xml:space="preserve">[14] What changes are coming into effect 1 July 2026? </w:t>
      </w:r>
      <w:r>
        <w:rPr>
          <w:rFonts w:hint="eastAsia" w:ascii="微软雅黑" w:hAnsi="微软雅黑" w:eastAsia="微软雅黑"/>
          <w:noProof/>
          <w:sz w:val="24"/>
        </w:rPr>
        <w:t>https://www.morningstar.com.au/personal-finance/what-changes-are-coming-into-effect-1-july-2026</w:t>
      </w:r>
    </w:p>
    <w:p>
      <w:pPr>
        <w:spacing w:line="288" w:lineRule="auto"/>
        <w:ind w:firstLine="480" w:firstLineChars="200"/>
        <w:jc w:val="both"/>
      </w:pPr>
      <w:r>
        <w:rPr>
          <w:rFonts w:hint="eastAsia" w:ascii="微软雅黑" w:hAnsi="微软雅黑" w:eastAsia="微软雅黑"/>
          <w:noProof/>
          <w:sz w:val="24"/>
        </w:rPr>
        <w:t xml:space="preserve">[15] Stonepeak | A leading international alternative investment firm </w:t>
      </w:r>
      <w:r>
        <w:rPr>
          <w:rFonts w:hint="eastAsia" w:ascii="微软雅黑" w:hAnsi="微软雅黑" w:eastAsia="微软雅黑"/>
          <w:noProof/>
          <w:sz w:val="24"/>
        </w:rPr>
        <w:t>https://stonepeak.com/</w:t>
      </w:r>
    </w:p>
    <w:p>
      <w:pPr>
        <w:spacing w:line="288" w:lineRule="auto"/>
        <w:ind w:firstLine="480" w:firstLineChars="200"/>
        <w:jc w:val="both"/>
      </w:pPr>
      <w:r>
        <w:rPr>
          <w:rFonts w:hint="eastAsia" w:ascii="微软雅黑" w:hAnsi="微软雅黑" w:eastAsia="微软雅黑"/>
          <w:noProof/>
          <w:sz w:val="24"/>
        </w:rPr>
        <w:t xml:space="preserve">[16] From Disclosure to Enforcement: How the 2026 AML Bill Rewires ... </w:t>
      </w:r>
      <w:r>
        <w:rPr>
          <w:rFonts w:hint="eastAsia" w:ascii="微软雅黑" w:hAnsi="微软雅黑" w:eastAsia="微软雅黑"/>
          <w:noProof/>
          <w:sz w:val="24"/>
        </w:rPr>
        <w:t>https://mayet.law/from-disclosure-to-enforcement-how-the-2026-aml-bill-rewires-beneficial-ownership-compliance-under-the-companies-act/</w:t>
      </w:r>
    </w:p>
    <w:p>
      <w:pPr>
        <w:spacing w:line="288" w:lineRule="auto"/>
        <w:ind w:firstLine="480" w:firstLineChars="200"/>
        <w:jc w:val="both"/>
      </w:pPr>
      <w:r>
        <w:rPr>
          <w:rFonts w:hint="eastAsia" w:ascii="微软雅黑" w:hAnsi="微软雅黑" w:eastAsia="微软雅黑"/>
          <w:noProof/>
          <w:sz w:val="24"/>
        </w:rPr>
        <w:t xml:space="preserve">[17] We were excited to celebrate ASP Isotopes' successful listing on our ... </w:t>
      </w:r>
      <w:r>
        <w:rPr>
          <w:rFonts w:hint="eastAsia" w:ascii="微软雅黑" w:hAnsi="微软雅黑" w:eastAsia="微软雅黑"/>
          <w:noProof/>
          <w:sz w:val="24"/>
        </w:rPr>
        <w:t>https://www.instagram.com/reel/DOLtMJJjiwg/</w:t>
      </w:r>
    </w:p>
    <w:p>
      <w:pPr>
        <w:spacing w:line="288" w:lineRule="auto"/>
        <w:ind w:firstLine="480" w:firstLineChars="200"/>
        <w:jc w:val="both"/>
      </w:pPr>
      <w:r>
        <w:rPr>
          <w:rFonts w:hint="eastAsia" w:ascii="微软雅黑" w:hAnsi="微软雅黑" w:eastAsia="微软雅黑"/>
          <w:noProof/>
          <w:sz w:val="24"/>
        </w:rPr>
        <w:t xml:space="preserve">[18] Beneficial Ownership - FATF </w:t>
      </w:r>
      <w:r>
        <w:rPr>
          <w:rFonts w:hint="eastAsia" w:ascii="微软雅黑" w:hAnsi="微软雅黑" w:eastAsia="微软雅黑"/>
          <w:noProof/>
          <w:sz w:val="24"/>
        </w:rPr>
        <w:t>https://www.fatf-gafi.org/en/topics/beneficial-ownership.html</w:t>
      </w:r>
    </w:p>
    <w:p>
      <w:pPr>
        <w:spacing w:line="288" w:lineRule="auto"/>
        <w:ind w:firstLine="480" w:firstLineChars="200"/>
        <w:jc w:val="both"/>
      </w:pPr>
      <w:r>
        <w:rPr>
          <w:rFonts w:hint="eastAsia" w:ascii="微软雅黑" w:hAnsi="微软雅黑" w:eastAsia="微软雅黑"/>
          <w:noProof/>
          <w:sz w:val="24"/>
        </w:rPr>
        <w:t xml:space="preserve">[20] Shareholder Meetings and Corporate Governance - OECD </w:t>
      </w:r>
      <w:r>
        <w:rPr>
          <w:rFonts w:hint="eastAsia" w:ascii="微软雅黑" w:hAnsi="微软雅黑" w:eastAsia="微软雅黑"/>
          <w:noProof/>
          <w:sz w:val="24"/>
        </w:rPr>
        <w:t>https://www.oecd.org/en/publications/shareholder-meetings-and-corporate-governance_2d36fa5c-en/full-report/south-africa-case-study_c3895ec0.html</w:t>
      </w:r>
    </w:p>
    <w:p>
      <w:pPr>
        <w:spacing w:line="288" w:lineRule="auto"/>
        <w:ind w:firstLine="480" w:firstLineChars="200"/>
        <w:jc w:val="both"/>
      </w:pPr>
      <w:r>
        <w:rPr>
          <w:rFonts w:hint="eastAsia" w:ascii="微软雅黑" w:hAnsi="微软雅黑" w:eastAsia="微软雅黑"/>
          <w:noProof/>
          <w:sz w:val="24"/>
        </w:rPr>
        <w:t xml:space="preserve">[21] Holding Company Vs Subsidiary India 2026 | Global Law Experts </w:t>
      </w:r>
      <w:r>
        <w:rPr>
          <w:rFonts w:hint="eastAsia" w:ascii="微软雅黑" w:hAnsi="微软雅黑" w:eastAsia="微软雅黑"/>
          <w:noProof/>
          <w:sz w:val="24"/>
        </w:rPr>
        <w:t>https://globallawexperts.com/holding-company-vs-subsidiary-india-2026/</w:t>
      </w:r>
    </w:p>
    <w:p>
      <w:pPr>
        <w:spacing w:line="288" w:lineRule="auto"/>
        <w:ind w:firstLine="480" w:firstLineChars="200"/>
        <w:jc w:val="both"/>
      </w:pPr>
      <w:r>
        <w:rPr>
          <w:rFonts w:hint="eastAsia" w:ascii="微软雅黑" w:hAnsi="微软雅黑" w:eastAsia="微软雅黑"/>
          <w:noProof/>
          <w:sz w:val="24"/>
        </w:rPr>
        <w:t xml:space="preserve">[22] Foreign Subsidiary Compliance in India: A Guide for 2026 - Treelife </w:t>
      </w:r>
      <w:r>
        <w:rPr>
          <w:rFonts w:hint="eastAsia" w:ascii="微软雅黑" w:hAnsi="微软雅黑" w:eastAsia="微软雅黑"/>
          <w:noProof/>
          <w:sz w:val="24"/>
        </w:rPr>
        <w:t>https://treelife.in/compliance/foreign-subsidiary-compliance-in-india/</w:t>
      </w:r>
    </w:p>
    <w:p>
      <w:pPr>
        <w:spacing w:line="288" w:lineRule="auto"/>
        <w:ind w:firstLine="480" w:firstLineChars="200"/>
        <w:jc w:val="both"/>
      </w:pPr>
      <w:r>
        <w:rPr>
          <w:rFonts w:hint="eastAsia" w:ascii="微软雅黑" w:hAnsi="微软雅黑" w:eastAsia="微软雅黑"/>
          <w:noProof/>
          <w:sz w:val="24"/>
        </w:rPr>
        <w:t xml:space="preserve">[23] Alagaiya Veeramani Joins ECS As Subsidiary Director of ... </w:t>
      </w:r>
      <w:r>
        <w:rPr>
          <w:rFonts w:hint="eastAsia" w:ascii="微软雅黑" w:hAnsi="微软雅黑" w:eastAsia="微软雅黑"/>
          <w:noProof/>
          <w:sz w:val="24"/>
        </w:rPr>
        <w:t>https://www.ecslimited.com/employeeannouncement/alagaiya-veeramani-joins-ecs-as-midwest-subsidiary-director-of-geotechnical-services/</w:t>
      </w:r>
    </w:p>
    <w:p>
      <w:pPr>
        <w:spacing w:line="288" w:lineRule="auto"/>
        <w:ind w:firstLine="480" w:firstLineChars="200"/>
        <w:jc w:val="both"/>
      </w:pPr>
      <w:r>
        <w:rPr>
          <w:rFonts w:hint="eastAsia" w:ascii="微软雅黑" w:hAnsi="微软雅黑" w:eastAsia="微软雅黑"/>
          <w:noProof/>
          <w:sz w:val="24"/>
        </w:rPr>
        <w:t xml:space="preserve">[24] Governing subsidiaries for value | Strategy&amp; Middle East </w:t>
      </w:r>
      <w:r>
        <w:rPr>
          <w:rFonts w:hint="eastAsia" w:ascii="微软雅黑" w:hAnsi="微软雅黑" w:eastAsia="微软雅黑"/>
          <w:noProof/>
          <w:sz w:val="24"/>
        </w:rPr>
        <w:t>https://www.strategyand.pwc.com/m1/en/industries/public-sector-management/governing-subsidiaries-for-value.html</w:t>
      </w:r>
    </w:p>
    <w:p>
      <w:pPr>
        <w:spacing w:line="288" w:lineRule="auto"/>
        <w:ind w:firstLine="480" w:firstLineChars="200"/>
        <w:jc w:val="both"/>
      </w:pPr>
      <w:r>
        <w:rPr>
          <w:rFonts w:hint="eastAsia" w:ascii="微软雅黑" w:hAnsi="微软雅黑" w:eastAsia="微软雅黑"/>
          <w:noProof/>
          <w:sz w:val="24"/>
        </w:rPr>
        <w:t xml:space="preserve">[25] [PDF] Changes in the Strategies and Structures of Subsidiaries of ... </w:t>
      </w:r>
      <w:r>
        <w:rPr>
          <w:rFonts w:hint="eastAsia" w:ascii="微软雅黑" w:hAnsi="微软雅黑" w:eastAsia="微软雅黑"/>
          <w:noProof/>
          <w:sz w:val="24"/>
        </w:rPr>
        <w:t>https://ersj.eu/journal/2623/download/Changes+in+the+Strategies+and+Structures+of+Subsidiaries+of+Multinational+Corporations+during+the+Covid+19+Pandemic.pdf</w:t>
      </w:r>
    </w:p>
    <w:p>
      <w:pPr>
        <w:spacing w:line="288" w:lineRule="auto"/>
        <w:ind w:firstLine="480" w:firstLineChars="200"/>
        <w:jc w:val="both"/>
      </w:pPr>
      <w:r>
        <w:rPr>
          <w:rFonts w:hint="eastAsia" w:ascii="微软雅黑" w:hAnsi="微软雅黑" w:eastAsia="微软雅黑"/>
          <w:noProof/>
          <w:sz w:val="24"/>
        </w:rPr>
        <w:t xml:space="preserve">[26] How Fiber Optic Networks Will Develop in 2026 – R&amp;M Blog </w:t>
      </w:r>
      <w:r>
        <w:rPr>
          <w:rFonts w:hint="eastAsia" w:ascii="微软雅黑" w:hAnsi="微软雅黑" w:eastAsia="微软雅黑"/>
          <w:noProof/>
          <w:sz w:val="24"/>
        </w:rPr>
        <w:t>https://www.rdm.com/blog/its-about-more-than-just-bandwidth/</w:t>
      </w:r>
    </w:p>
    <w:p>
      <w:pPr>
        <w:spacing w:line="288" w:lineRule="auto"/>
        <w:ind w:firstLine="480" w:firstLineChars="200"/>
        <w:jc w:val="both"/>
      </w:pPr>
      <w:r>
        <w:rPr>
          <w:rFonts w:hint="eastAsia" w:ascii="微软雅黑" w:hAnsi="微软雅黑" w:eastAsia="微软雅黑"/>
          <w:noProof/>
          <w:sz w:val="24"/>
        </w:rPr>
        <w:t xml:space="preserve">[27] South African Fibre Trends and Statistics 2026 - WhichVoIP </w:t>
      </w:r>
      <w:r>
        <w:rPr>
          <w:rFonts w:hint="eastAsia" w:ascii="微软雅黑" w:hAnsi="微软雅黑" w:eastAsia="微软雅黑"/>
          <w:noProof/>
          <w:sz w:val="24"/>
        </w:rPr>
        <w:t>https://whichvoip.co.za/fibre/fibre-trends-and-statistics/</w:t>
      </w:r>
    </w:p>
    <w:p>
      <w:pPr>
        <w:spacing w:line="288" w:lineRule="auto"/>
        <w:ind w:firstLine="480" w:firstLineChars="200"/>
        <w:jc w:val="both"/>
      </w:pPr>
      <w:r>
        <w:rPr>
          <w:rFonts w:hint="eastAsia" w:ascii="微软雅黑" w:hAnsi="微软雅黑" w:eastAsia="微软雅黑"/>
          <w:noProof/>
          <w:sz w:val="24"/>
        </w:rPr>
        <w:t xml:space="preserve">[28] [PDF] Alternative and complementary technologies for last-mile ... - ITU </w:t>
      </w:r>
      <w:r>
        <w:rPr>
          <w:rFonts w:hint="eastAsia" w:ascii="微软雅黑" w:hAnsi="微软雅黑" w:eastAsia="微软雅黑"/>
          <w:noProof/>
          <w:sz w:val="24"/>
        </w:rPr>
        <w:t>https://www.itu.int/dms_pub/itu-d/opb/gen/D-GEN-LASTMILE.AFR-2026-PDF-E.pdf</w:t>
      </w:r>
    </w:p>
    <w:p>
      <w:pPr>
        <w:spacing w:line="288" w:lineRule="auto"/>
        <w:ind w:firstLine="480" w:firstLineChars="200"/>
        <w:jc w:val="both"/>
      </w:pPr>
      <w:r>
        <w:rPr>
          <w:rFonts w:hint="eastAsia" w:ascii="微软雅黑" w:hAnsi="微软雅黑" w:eastAsia="微软雅黑"/>
          <w:noProof/>
          <w:sz w:val="24"/>
        </w:rPr>
        <w:t xml:space="preserve">[29] NGIPredictions2026: 5 Fiber Industry Trends Shaping 2026 - YouTube </w:t>
      </w:r>
      <w:r>
        <w:rPr>
          <w:rFonts w:hint="eastAsia" w:ascii="微软雅黑" w:hAnsi="微软雅黑" w:eastAsia="微软雅黑"/>
          <w:noProof/>
          <w:sz w:val="24"/>
        </w:rPr>
        <w:t>https://www.youtube.com/watch?v=Jls-fGbL7bk</w:t>
      </w:r>
    </w:p>
    <w:p>
      <w:pPr>
        <w:spacing w:line="288" w:lineRule="auto"/>
        <w:ind w:firstLine="480" w:firstLineChars="200"/>
        <w:jc w:val="both"/>
      </w:pPr>
      <w:r>
        <w:rPr>
          <w:rFonts w:hint="eastAsia" w:ascii="微软雅黑" w:hAnsi="微软雅黑" w:eastAsia="微软雅黑"/>
          <w:noProof/>
          <w:sz w:val="24"/>
        </w:rPr>
        <w:t xml:space="preserve">[30] Fiber Optic Market Size, Share, Growth, Analysis, Report, 2034 </w:t>
      </w:r>
      <w:r>
        <w:rPr>
          <w:rFonts w:hint="eastAsia" w:ascii="微软雅黑" w:hAnsi="微软雅黑" w:eastAsia="微软雅黑"/>
          <w:noProof/>
          <w:sz w:val="24"/>
        </w:rPr>
        <w:t>https://straitsresearch.com/report/fiber-optic-market</w:t>
      </w:r>
    </w:p>
    <w:p>
      <w:pPr>
        <w:spacing w:line="288" w:lineRule="auto"/>
        <w:ind w:firstLine="480" w:firstLineChars="200"/>
        <w:jc w:val="both"/>
      </w:pPr>
      <w:r>
        <w:rPr>
          <w:rFonts w:hint="eastAsia" w:ascii="微软雅黑" w:hAnsi="微软雅黑" w:eastAsia="微软雅黑"/>
          <w:noProof/>
          <w:sz w:val="24"/>
        </w:rPr>
        <w:t xml:space="preserve">[31] Cybersecurity Trends 2026: Top Security Challenges, AI Threats </w:t>
      </w:r>
      <w:r>
        <w:rPr>
          <w:rFonts w:hint="eastAsia" w:ascii="微软雅黑" w:hAnsi="微软雅黑" w:eastAsia="微软雅黑"/>
          <w:noProof/>
          <w:sz w:val="24"/>
        </w:rPr>
        <w:t>https://seceon.com/cybersecurity-trends-2026/</w:t>
      </w:r>
    </w:p>
    <w:p>
      <w:pPr>
        <w:spacing w:line="288" w:lineRule="auto"/>
        <w:ind w:firstLine="480" w:firstLineChars="200"/>
        <w:jc w:val="both"/>
      </w:pPr>
      <w:r>
        <w:rPr>
          <w:rFonts w:hint="eastAsia" w:ascii="微软雅黑" w:hAnsi="微软雅黑" w:eastAsia="微软雅黑"/>
          <w:noProof/>
          <w:sz w:val="24"/>
        </w:rPr>
        <w:t xml:space="preserve">[32] Six Cybersecurity Trends That Will Define 2026 - Cyber Security Tribe </w:t>
      </w:r>
      <w:r>
        <w:rPr>
          <w:rFonts w:hint="eastAsia" w:ascii="微软雅黑" w:hAnsi="微软雅黑" w:eastAsia="微软雅黑"/>
          <w:noProof/>
          <w:sz w:val="24"/>
        </w:rPr>
        <w:t>https://www.cybersecuritytribe.com/articles/six-cybersecurity-trends-that-will-define-2026</w:t>
      </w:r>
    </w:p>
    <w:p>
      <w:pPr>
        <w:spacing w:line="288" w:lineRule="auto"/>
        <w:ind w:firstLine="480" w:firstLineChars="200"/>
        <w:jc w:val="both"/>
      </w:pPr>
      <w:r>
        <w:rPr>
          <w:rFonts w:hint="eastAsia" w:ascii="微软雅黑" w:hAnsi="微软雅黑" w:eastAsia="微软雅黑"/>
          <w:noProof/>
          <w:sz w:val="24"/>
        </w:rPr>
        <w:t xml:space="preserve">[33] Life at Deloitte Africa on Instagram: "“We can't keep up as humans ... </w:t>
      </w:r>
      <w:r>
        <w:rPr>
          <w:rFonts w:hint="eastAsia" w:ascii="微软雅黑" w:hAnsi="微软雅黑" w:eastAsia="微软雅黑"/>
          <w:noProof/>
          <w:sz w:val="24"/>
        </w:rPr>
        <w:t>https://www.instagram.com/reel/DZfbeuAD06G/</w:t>
      </w:r>
    </w:p>
    <w:p>
      <w:pPr>
        <w:spacing w:line="288" w:lineRule="auto"/>
        <w:ind w:firstLine="480" w:firstLineChars="200"/>
        <w:jc w:val="both"/>
      </w:pPr>
      <w:r>
        <w:rPr>
          <w:rFonts w:hint="eastAsia" w:ascii="微软雅黑" w:hAnsi="微软雅黑" w:eastAsia="微软雅黑"/>
          <w:noProof/>
          <w:sz w:val="24"/>
        </w:rPr>
        <w:t xml:space="preserve">[34] Cybersecurity trends 2026: Defending against agentic &amp; AI threats </w:t>
      </w:r>
      <w:r>
        <w:rPr>
          <w:rFonts w:hint="eastAsia" w:ascii="微软雅黑" w:hAnsi="微软雅黑" w:eastAsia="微软雅黑"/>
          <w:noProof/>
          <w:sz w:val="24"/>
        </w:rPr>
        <w:t>https://www.fortinet.com/resources/cyberglossary/cybersecurity-trends-2026</w:t>
      </w:r>
    </w:p>
    <w:p>
      <w:pPr>
        <w:spacing w:line="288" w:lineRule="auto"/>
        <w:ind w:firstLine="480" w:firstLineChars="200"/>
        <w:jc w:val="both"/>
      </w:pPr>
      <w:r>
        <w:rPr>
          <w:rFonts w:hint="eastAsia" w:ascii="微软雅黑" w:hAnsi="微软雅黑" w:eastAsia="微软雅黑"/>
          <w:noProof/>
          <w:sz w:val="24"/>
        </w:rPr>
        <w:t xml:space="preserve">[35] Home | CSA </w:t>
      </w:r>
      <w:r>
        <w:rPr>
          <w:rFonts w:hint="eastAsia" w:ascii="微软雅黑" w:hAnsi="微软雅黑" w:eastAsia="微软雅黑"/>
          <w:noProof/>
          <w:sz w:val="24"/>
        </w:rPr>
        <w:t>https://cloudsecurityalliance.org/</w:t>
      </w:r>
    </w:p>
    <w:p>
      <w:pPr>
        <w:spacing w:line="288" w:lineRule="auto"/>
        <w:ind w:firstLine="480" w:firstLineChars="200"/>
        <w:jc w:val="both"/>
      </w:pPr>
      <w:r>
        <w:rPr>
          <w:rFonts w:hint="eastAsia" w:ascii="微软雅黑" w:hAnsi="微软雅黑" w:eastAsia="微软雅黑"/>
          <w:noProof/>
          <w:sz w:val="24"/>
        </w:rPr>
        <w:t xml:space="preserve">[36] Overcoming 5 Key Business Challenges in AI ... </w:t>
      </w:r>
      <w:r>
        <w:rPr>
          <w:rFonts w:hint="eastAsia" w:ascii="微软雅黑" w:hAnsi="微软雅黑" w:eastAsia="微软雅黑"/>
          <w:noProof/>
          <w:sz w:val="24"/>
        </w:rPr>
        <w:t>https://digitaldefynd.com/IQ/ai-implementation-business-challenges/</w:t>
      </w:r>
    </w:p>
    <w:p>
      <w:pPr>
        <w:spacing w:line="288" w:lineRule="auto"/>
        <w:ind w:firstLine="480" w:firstLineChars="200"/>
        <w:jc w:val="both"/>
      </w:pPr>
      <w:r>
        <w:rPr>
          <w:rFonts w:hint="eastAsia" w:ascii="微软雅黑" w:hAnsi="微软雅黑" w:eastAsia="微软雅黑"/>
          <w:noProof/>
          <w:sz w:val="24"/>
        </w:rPr>
        <w:t xml:space="preserve">[37] The Journey of YAL.ai We started with just two people and ... </w:t>
      </w:r>
      <w:r>
        <w:rPr>
          <w:rFonts w:hint="eastAsia" w:ascii="微软雅黑" w:hAnsi="微软雅黑" w:eastAsia="微软雅黑"/>
          <w:noProof/>
          <w:sz w:val="24"/>
        </w:rPr>
        <w:t>https://www.instagram.com/p/DNiW1fFBIpi/</w:t>
      </w:r>
    </w:p>
    <w:p>
      <w:pPr>
        <w:spacing w:line="288" w:lineRule="auto"/>
        <w:ind w:firstLine="480" w:firstLineChars="200"/>
        <w:jc w:val="both"/>
      </w:pPr>
      <w:r>
        <w:rPr>
          <w:rFonts w:hint="eastAsia" w:ascii="微软雅黑" w:hAnsi="微软雅黑" w:eastAsia="微软雅黑"/>
          <w:noProof/>
          <w:sz w:val="24"/>
        </w:rPr>
        <w:t xml:space="preserve">[38] AI in Business 2026: Practical Use Cases and Real-World ... </w:t>
      </w:r>
      <w:r>
        <w:rPr>
          <w:rFonts w:hint="eastAsia" w:ascii="微软雅黑" w:hAnsi="微软雅黑" w:eastAsia="微软雅黑"/>
          <w:noProof/>
          <w:sz w:val="24"/>
        </w:rPr>
        <w:t>https://www.scrumlaunch.com/blog/ai-in-business-2026-trends-use-cases-and-real-world-implementation</w:t>
      </w:r>
    </w:p>
    <w:p>
      <w:pPr>
        <w:spacing w:line="288" w:lineRule="auto"/>
        <w:ind w:firstLine="480" w:firstLineChars="200"/>
        <w:jc w:val="both"/>
      </w:pPr>
      <w:r>
        <w:rPr>
          <w:rFonts w:hint="eastAsia" w:ascii="微软雅黑" w:hAnsi="微软雅黑" w:eastAsia="微软雅黑"/>
          <w:noProof/>
          <w:sz w:val="24"/>
        </w:rPr>
        <w:t xml:space="preserve">[39] 15 Successful AI Startup Case Studies (2026) </w:t>
      </w:r>
      <w:r>
        <w:rPr>
          <w:rFonts w:hint="eastAsia" w:ascii="微软雅黑" w:hAnsi="微软雅黑" w:eastAsia="微软雅黑"/>
          <w:noProof/>
          <w:sz w:val="24"/>
        </w:rPr>
        <w:t>https://www.pixelbrainy.com/blog/top-ai-startup-case-studies</w:t>
      </w:r>
    </w:p>
    <w:p>
      <w:pPr>
        <w:spacing w:line="288" w:lineRule="auto"/>
        <w:ind w:firstLine="480" w:firstLineChars="200"/>
        <w:jc w:val="both"/>
      </w:pPr>
      <w:r>
        <w:rPr>
          <w:rFonts w:hint="eastAsia" w:ascii="微软雅黑" w:hAnsi="微软雅黑" w:eastAsia="微软雅黑"/>
          <w:noProof/>
          <w:sz w:val="24"/>
        </w:rPr>
        <w:t xml:space="preserve">[40] 100+ AI Use Cases with Real Life Examples in 2026 </w:t>
      </w:r>
      <w:r>
        <w:rPr>
          <w:rFonts w:hint="eastAsia" w:ascii="微软雅黑" w:hAnsi="微软雅黑" w:eastAsia="微软雅黑"/>
          <w:noProof/>
          <w:sz w:val="24"/>
        </w:rPr>
        <w:t>https://aimultiple.com/ai-usecases</w:t>
      </w:r>
    </w:p>
    <w:p>
      <w:pPr>
        <w:spacing w:line="288" w:lineRule="auto"/>
        <w:ind w:firstLine="480" w:firstLineChars="200"/>
        <w:jc w:val="both"/>
      </w:pPr>
      <w:r>
        <w:rPr>
          <w:rFonts w:hint="eastAsia" w:ascii="微软雅黑" w:hAnsi="微软雅黑" w:eastAsia="微软雅黑"/>
          <w:noProof/>
          <w:sz w:val="24"/>
        </w:rPr>
        <w:t xml:space="preserve">[41] Top Holding Companies &amp; Conglomerates companies in South Africa </w:t>
      </w:r>
      <w:r>
        <w:rPr>
          <w:rFonts w:hint="eastAsia" w:ascii="微软雅黑" w:hAnsi="微软雅黑" w:eastAsia="微软雅黑"/>
          <w:noProof/>
          <w:sz w:val="24"/>
        </w:rPr>
        <w:t>https://www.zoominfo.com/top-lists/top-conglomerate-companies-in-ZA</w:t>
      </w:r>
    </w:p>
    <w:p>
      <w:pPr>
        <w:spacing w:line="288" w:lineRule="auto"/>
        <w:ind w:firstLine="480" w:firstLineChars="200"/>
        <w:jc w:val="both"/>
      </w:pPr>
      <w:r>
        <w:rPr>
          <w:rFonts w:hint="eastAsia" w:ascii="微软雅黑" w:hAnsi="微软雅黑" w:eastAsia="微软雅黑"/>
          <w:noProof/>
          <w:sz w:val="24"/>
        </w:rPr>
        <w:t xml:space="preserve">[42] South Africa Investment Conference - YouTube </w:t>
      </w:r>
      <w:r>
        <w:rPr>
          <w:rFonts w:hint="eastAsia" w:ascii="微软雅黑" w:hAnsi="微软雅黑" w:eastAsia="微软雅黑"/>
          <w:noProof/>
          <w:sz w:val="24"/>
        </w:rPr>
        <w:t>https://www.youtube.com/watch?v=Sdd_-Nf7sa4</w:t>
      </w:r>
    </w:p>
    <w:p>
      <w:pPr>
        <w:spacing w:line="288" w:lineRule="auto"/>
        <w:ind w:firstLine="480" w:firstLineChars="200"/>
        <w:jc w:val="both"/>
      </w:pPr>
      <w:r>
        <w:rPr>
          <w:rFonts w:hint="eastAsia" w:ascii="微软雅黑" w:hAnsi="微软雅黑" w:eastAsia="微软雅黑"/>
          <w:noProof/>
          <w:sz w:val="24"/>
        </w:rPr>
        <w:t xml:space="preserve">[43] 100 top companies and startups in South Africa in July 2026 - F6S </w:t>
      </w:r>
      <w:r>
        <w:rPr>
          <w:rFonts w:hint="eastAsia" w:ascii="微软雅黑" w:hAnsi="微软雅黑" w:eastAsia="微软雅黑"/>
          <w:noProof/>
          <w:sz w:val="24"/>
        </w:rPr>
        <w:t>https://www.f6s.com/companies/south-africa/lo</w:t>
      </w:r>
    </w:p>
    <w:p>
      <w:pPr>
        <w:spacing w:line="288" w:lineRule="auto"/>
        <w:ind w:firstLine="480" w:firstLineChars="200"/>
        <w:jc w:val="both"/>
      </w:pPr>
      <w:r>
        <w:rPr>
          <w:rFonts w:hint="eastAsia" w:ascii="微软雅黑" w:hAnsi="微软雅黑" w:eastAsia="微软雅黑"/>
          <w:noProof/>
          <w:sz w:val="24"/>
        </w:rPr>
        <w:t xml:space="preserve">[44] South African Embassy, Portugal - Facebook </w:t>
      </w:r>
      <w:r>
        <w:rPr>
          <w:rFonts w:hint="eastAsia" w:ascii="微软雅黑" w:hAnsi="微软雅黑" w:eastAsia="微软雅黑"/>
          <w:noProof/>
          <w:sz w:val="24"/>
        </w:rPr>
        <w:t>https://www.facebook.com/SAEmbassyPortugal/posts/from-the-desk-of-the-president-06-july-2026south-africa-is-building-a-secure-and/1364374165843884/</w:t>
      </w:r>
    </w:p>
    <w:p>
      <w:pPr>
        <w:spacing w:line="288" w:lineRule="auto"/>
        <w:ind w:firstLine="480" w:firstLineChars="200"/>
        <w:jc w:val="both"/>
      </w:pPr>
      <w:r>
        <w:rPr>
          <w:rFonts w:hint="eastAsia" w:ascii="微软雅黑" w:hAnsi="微软雅黑" w:eastAsia="微软雅黑"/>
          <w:noProof/>
          <w:sz w:val="24"/>
        </w:rPr>
        <w:t xml:space="preserve">[45] South African companies are betting Sh413 billion on acquisitions in ... </w:t>
      </w:r>
      <w:r>
        <w:rPr>
          <w:rFonts w:hint="eastAsia" w:ascii="微软雅黑" w:hAnsi="微软雅黑" w:eastAsia="微软雅黑"/>
          <w:noProof/>
          <w:sz w:val="24"/>
        </w:rPr>
        <w:t>https://www.instagram.com/p/DZ4f8HQtXZS/</w:t>
      </w:r>
    </w:p>
    <w:p>
      <w:pPr>
        <w:spacing w:line="288" w:lineRule="auto"/>
        <w:ind w:firstLine="480" w:firstLineChars="200"/>
        <w:jc w:val="both"/>
      </w:pPr>
      <w:r>
        <w:rPr>
          <w:rFonts w:hint="eastAsia" w:ascii="微软雅黑" w:hAnsi="微软雅黑" w:eastAsia="微软雅黑"/>
          <w:noProof/>
          <w:sz w:val="24"/>
        </w:rPr>
        <w:t xml:space="preserve">[46] South Africa Post Budget Insights 2026 - YouTube </w:t>
      </w:r>
      <w:r>
        <w:rPr>
          <w:rFonts w:hint="eastAsia" w:ascii="微软雅黑" w:hAnsi="微软雅黑" w:eastAsia="微软雅黑"/>
          <w:noProof/>
          <w:sz w:val="24"/>
        </w:rPr>
        <w:t>https://www.youtube.com/watch?v=dnDLXRNKPuo</w:t>
      </w:r>
    </w:p>
    <w:p>
      <w:pPr>
        <w:spacing w:line="288" w:lineRule="auto"/>
        <w:ind w:firstLine="480" w:firstLineChars="200"/>
        <w:jc w:val="both"/>
      </w:pPr>
      <w:r>
        <w:rPr>
          <w:rFonts w:hint="eastAsia" w:ascii="微软雅黑" w:hAnsi="微软雅黑" w:eastAsia="微软雅黑"/>
          <w:noProof/>
          <w:sz w:val="24"/>
        </w:rPr>
        <w:t xml:space="preserve">[47] South Africa Budget Reaffirms Gradual Consolidation Plans </w:t>
      </w:r>
      <w:r>
        <w:rPr>
          <w:rFonts w:hint="eastAsia" w:ascii="微软雅黑" w:hAnsi="微软雅黑" w:eastAsia="微软雅黑"/>
          <w:noProof/>
          <w:sz w:val="24"/>
        </w:rPr>
        <w:t>https://www.fitchratings.com/research/sovereigns/south-africa-budget-reaffirms-gradual-consolidation-plans-27-02-2026</w:t>
      </w:r>
    </w:p>
    <w:p>
      <w:pPr>
        <w:spacing w:line="288" w:lineRule="auto"/>
        <w:ind w:firstLine="480" w:firstLineChars="200"/>
        <w:jc w:val="both"/>
      </w:pPr>
      <w:r>
        <w:rPr>
          <w:rFonts w:hint="eastAsia" w:ascii="微软雅黑" w:hAnsi="微软雅黑" w:eastAsia="微软雅黑"/>
          <w:noProof/>
          <w:sz w:val="24"/>
        </w:rPr>
        <w:t xml:space="preserve">[48] South Africa economic outlook | Deloitte Insights </w:t>
      </w:r>
      <w:r>
        <w:rPr>
          <w:rFonts w:hint="eastAsia" w:ascii="微软雅黑" w:hAnsi="微软雅黑" w:eastAsia="微软雅黑"/>
          <w:noProof/>
          <w:sz w:val="24"/>
        </w:rPr>
        <w:t>https://www.deloitte.com/us/en/insights/topics/economy/emea/africa-economic-outlook.html</w:t>
      </w:r>
    </w:p>
    <w:p>
      <w:pPr>
        <w:spacing w:line="288" w:lineRule="auto"/>
        <w:ind w:firstLine="480" w:firstLineChars="200"/>
        <w:jc w:val="both"/>
      </w:pPr>
      <w:r>
        <w:rPr>
          <w:rFonts w:hint="eastAsia" w:ascii="微软雅黑" w:hAnsi="微软雅黑" w:eastAsia="微软雅黑"/>
          <w:noProof/>
          <w:sz w:val="24"/>
        </w:rPr>
        <w:t xml:space="preserve">[49] South Africa's 2026 Budget: Anchoring Fiscal Credibility Into Law </w:t>
      </w:r>
      <w:r>
        <w:rPr>
          <w:rFonts w:hint="eastAsia" w:ascii="微软雅黑" w:hAnsi="微软雅黑" w:eastAsia="微软雅黑"/>
          <w:noProof/>
          <w:sz w:val="24"/>
        </w:rPr>
        <w:t>https://www.africanleadershipmagazine.co.uk/south-africas-2026-budget-anchoring-fiscal-credibility-into-law/</w:t>
      </w:r>
    </w:p>
    <w:p>
      <w:pPr>
        <w:spacing w:line="288" w:lineRule="auto"/>
        <w:ind w:firstLine="480" w:firstLineChars="200"/>
        <w:jc w:val="both"/>
      </w:pPr>
      <w:r>
        <w:rPr>
          <w:rFonts w:hint="eastAsia" w:ascii="微软雅黑" w:hAnsi="微软雅黑" w:eastAsia="微软雅黑"/>
          <w:noProof/>
          <w:sz w:val="24"/>
        </w:rPr>
        <w:t xml:space="preserve">[50] South Africa's 2026 Pillar Two amendments: an Article-by-Article ... </w:t>
      </w:r>
      <w:r>
        <w:rPr>
          <w:rFonts w:hint="eastAsia" w:ascii="微软雅黑" w:hAnsi="微软雅黑" w:eastAsia="微软雅黑"/>
          <w:noProof/>
          <w:sz w:val="24"/>
        </w:rPr>
        <w:t>https://oecdpillars.com/south-africas-2026-pillar-two-amendments-article-by-article-analysis/</w:t>
      </w:r>
    </w:p>
    <w:p>
      <w:pPr>
        <w:spacing w:line="288" w:lineRule="auto"/>
        <w:ind w:firstLine="480" w:firstLineChars="200"/>
        <w:jc w:val="both"/>
      </w:pPr>
      <w:r>
        <w:rPr>
          <w:rFonts w:hint="eastAsia" w:ascii="微软雅黑" w:hAnsi="微软雅黑" w:eastAsia="微软雅黑"/>
          <w:noProof/>
          <w:sz w:val="24"/>
        </w:rPr>
        <w:t xml:space="preserve">[51] 2026 Federal IT Efficiency Summit | GovCIO Media &amp; Research </w:t>
      </w:r>
      <w:r>
        <w:rPr>
          <w:rFonts w:hint="eastAsia" w:ascii="微软雅黑" w:hAnsi="微软雅黑" w:eastAsia="微软雅黑"/>
          <w:noProof/>
          <w:sz w:val="24"/>
        </w:rPr>
        <w:t>https://govciomedia.com/federal-it-efficiency-summit-2026/</w:t>
      </w:r>
    </w:p>
    <w:p>
      <w:pPr>
        <w:spacing w:line="288" w:lineRule="auto"/>
        <w:ind w:firstLine="480" w:firstLineChars="200"/>
        <w:jc w:val="both"/>
      </w:pPr>
      <w:r>
        <w:rPr>
          <w:rFonts w:hint="eastAsia" w:ascii="微软雅黑" w:hAnsi="微软雅黑" w:eastAsia="微软雅黑"/>
          <w:noProof/>
          <w:sz w:val="24"/>
        </w:rPr>
        <w:t xml:space="preserve">[52] The Hype Around “Operational Efficiency” </w:t>
      </w:r>
      <w:r>
        <w:rPr>
          <w:rFonts w:hint="eastAsia" w:ascii="微软雅黑" w:hAnsi="微软雅黑" w:eastAsia="微软雅黑"/>
          <w:noProof/>
          <w:sz w:val="24"/>
        </w:rPr>
        <w:t>https://www.aei.org/workforce-development/the-hype-around-operational-efficiency/</w:t>
      </w:r>
    </w:p>
    <w:p>
      <w:pPr>
        <w:spacing w:line="288" w:lineRule="auto"/>
        <w:ind w:firstLine="480" w:firstLineChars="200"/>
        <w:jc w:val="both"/>
      </w:pPr>
      <w:r>
        <w:rPr>
          <w:rFonts w:hint="eastAsia" w:ascii="微软雅黑" w:hAnsi="微软雅黑" w:eastAsia="微软雅黑"/>
          <w:noProof/>
          <w:sz w:val="24"/>
        </w:rPr>
        <w:t xml:space="preserve">[53] State of IT Report 2026: Key Insights for Businesses | Spiceworks </w:t>
      </w:r>
      <w:r>
        <w:rPr>
          <w:rFonts w:hint="eastAsia" w:ascii="微软雅黑" w:hAnsi="微软雅黑" w:eastAsia="微软雅黑"/>
          <w:noProof/>
          <w:sz w:val="24"/>
        </w:rPr>
        <w:t>https://www.spiceworks.com/research/it-report/</w:t>
      </w:r>
    </w:p>
    <w:p>
      <w:pPr>
        <w:spacing w:line="288" w:lineRule="auto"/>
        <w:ind w:firstLine="480" w:firstLineChars="200"/>
        <w:jc w:val="both"/>
      </w:pPr>
      <w:r>
        <w:rPr>
          <w:rFonts w:hint="eastAsia" w:ascii="微软雅黑" w:hAnsi="微软雅黑" w:eastAsia="微软雅黑"/>
          <w:noProof/>
          <w:sz w:val="24"/>
        </w:rPr>
        <w:t xml:space="preserve">[54] Enterprise Operations Tech Trends 2026: AI and Efficiency - MHO Blog </w:t>
      </w:r>
      <w:r>
        <w:rPr>
          <w:rFonts w:hint="eastAsia" w:ascii="微软雅黑" w:hAnsi="微软雅黑" w:eastAsia="微软雅黑"/>
          <w:noProof/>
          <w:sz w:val="24"/>
        </w:rPr>
        <w:t>https://blog.mho.com/enterprise-operations-tech-trends-2026-ai-and-efficiency</w:t>
      </w:r>
    </w:p>
    <w:p>
      <w:pPr>
        <w:spacing w:line="288" w:lineRule="auto"/>
        <w:ind w:firstLine="480" w:firstLineChars="200"/>
        <w:jc w:val="both"/>
      </w:pPr>
      <w:r>
        <w:rPr>
          <w:rFonts w:hint="eastAsia" w:ascii="微软雅黑" w:hAnsi="微软雅黑" w:eastAsia="微软雅黑"/>
          <w:noProof/>
          <w:sz w:val="24"/>
        </w:rPr>
        <w:t xml:space="preserve">[55] How 2026 Will Reshape the IT Industry: What Businesses Must ... </w:t>
      </w:r>
      <w:r>
        <w:rPr>
          <w:rFonts w:hint="eastAsia" w:ascii="微软雅黑" w:hAnsi="微软雅黑" w:eastAsia="微软雅黑"/>
          <w:noProof/>
          <w:sz w:val="24"/>
        </w:rPr>
        <w:t>https://www.linkedin.com/pulse/how-2026-reshape-industry-what-businesses-must-prepare-now-txmrf</w:t>
      </w:r>
    </w:p>
    <w:p>
      <w:pPr>
        <w:spacing w:line="288" w:lineRule="auto"/>
        <w:ind w:firstLine="480" w:firstLineChars="200"/>
        <w:jc w:val="both"/>
      </w:pPr>
      <w:r>
        <w:rPr>
          <w:rFonts w:hint="eastAsia" w:ascii="微软雅黑" w:hAnsi="微软雅黑" w:eastAsia="微软雅黑"/>
          <w:noProof/>
          <w:sz w:val="24"/>
        </w:rPr>
        <w:t xml:space="preserve">[57] King V and the Future of Corporate Governance in South Africa </w:t>
      </w:r>
      <w:r>
        <w:rPr>
          <w:rFonts w:hint="eastAsia" w:ascii="微软雅黑" w:hAnsi="微软雅黑" w:eastAsia="微软雅黑"/>
          <w:noProof/>
          <w:sz w:val="24"/>
        </w:rPr>
        <w:t>https://mayet.law/king-v-and-the-future-of-corporate-governance-in-south-africa-what-boards-must-know-before-2026/</w:t>
      </w:r>
    </w:p>
    <w:p>
      <w:pPr>
        <w:spacing w:line="288" w:lineRule="auto"/>
        <w:ind w:firstLine="480" w:firstLineChars="200"/>
        <w:jc w:val="both"/>
      </w:pPr>
      <w:r>
        <w:rPr>
          <w:rFonts w:hint="eastAsia" w:ascii="微软雅黑" w:hAnsi="微软雅黑" w:eastAsia="微软雅黑"/>
          <w:noProof/>
          <w:sz w:val="24"/>
        </w:rPr>
        <w:t xml:space="preserve">[60] Top Corporate Governance Trends for 2026 &amp; Beyond </w:t>
      </w:r>
      <w:r>
        <w:rPr>
          <w:rFonts w:hint="eastAsia" w:ascii="微软雅黑" w:hAnsi="微软雅黑" w:eastAsia="微软雅黑"/>
          <w:noProof/>
          <w:sz w:val="24"/>
        </w:rPr>
        <w:t>https://revival-holdings.com/top-corporate-governance-trends-for-2025-beyond/</w:t>
      </w:r>
    </w:p>
    <w:p>
      <w:pPr>
        <w:spacing w:line="288" w:lineRule="auto"/>
        <w:ind w:firstLine="480" w:firstLineChars="200"/>
        <w:jc w:val="both"/>
      </w:pPr>
      <w:r>
        <w:rPr>
          <w:rFonts w:hint="eastAsia" w:ascii="微软雅黑" w:hAnsi="微软雅黑" w:eastAsia="微软雅黑"/>
          <w:noProof/>
          <w:sz w:val="24"/>
        </w:rPr>
        <w:t xml:space="preserve">[61] Audit and Risk Refreshed Risk Management Framework - YouTube </w:t>
      </w:r>
      <w:r>
        <w:rPr>
          <w:rFonts w:hint="eastAsia" w:ascii="微软雅黑" w:hAnsi="微软雅黑" w:eastAsia="微软雅黑"/>
          <w:noProof/>
          <w:sz w:val="24"/>
        </w:rPr>
        <w:t>https://www.youtube.com/watch?v=8ILkbL0MvVE</w:t>
      </w:r>
    </w:p>
    <w:p>
      <w:pPr>
        <w:spacing w:line="288" w:lineRule="auto"/>
        <w:ind w:firstLine="480" w:firstLineChars="200"/>
        <w:jc w:val="both"/>
      </w:pPr>
      <w:r>
        <w:rPr>
          <w:rFonts w:hint="eastAsia" w:ascii="微软雅黑" w:hAnsi="微软雅黑" w:eastAsia="微软雅黑"/>
          <w:noProof/>
          <w:sz w:val="24"/>
        </w:rPr>
        <w:t xml:space="preserve">[62] AI Risk Management Framework | NIST </w:t>
      </w:r>
      <w:r>
        <w:rPr>
          <w:rFonts w:hint="eastAsia" w:ascii="微软雅黑" w:hAnsi="微软雅黑" w:eastAsia="微软雅黑"/>
          <w:noProof/>
          <w:sz w:val="24"/>
        </w:rPr>
        <w:t>https://www.nist.gov/itl/ai-risk-management-framework</w:t>
      </w:r>
    </w:p>
    <w:p>
      <w:pPr>
        <w:spacing w:line="288" w:lineRule="auto"/>
        <w:ind w:firstLine="480" w:firstLineChars="200"/>
        <w:jc w:val="both"/>
      </w:pPr>
      <w:r>
        <w:rPr>
          <w:rFonts w:hint="eastAsia" w:ascii="微软雅黑" w:hAnsi="微软雅黑" w:eastAsia="微软雅黑"/>
          <w:noProof/>
          <w:sz w:val="24"/>
        </w:rPr>
        <w:t xml:space="preserve">[63] TeamMate Expert Insights on Audit, Risk, Compliance, and Controls </w:t>
      </w:r>
      <w:r>
        <w:rPr>
          <w:rFonts w:hint="eastAsia" w:ascii="微软雅黑" w:hAnsi="微软雅黑" w:eastAsia="微软雅黑"/>
          <w:noProof/>
          <w:sz w:val="24"/>
        </w:rPr>
        <w:t>https://www.wolterskluwer.com/en/solutions/teammate/resources</w:t>
      </w:r>
    </w:p>
    <w:p>
      <w:pPr>
        <w:spacing w:line="288" w:lineRule="auto"/>
        <w:ind w:firstLine="480" w:firstLineChars="200"/>
        <w:jc w:val="both"/>
      </w:pPr>
      <w:r>
        <w:rPr>
          <w:rFonts w:hint="eastAsia" w:ascii="微软雅黑" w:hAnsi="微软雅黑" w:eastAsia="微软雅黑"/>
          <w:noProof/>
          <w:sz w:val="24"/>
        </w:rPr>
        <w:t xml:space="preserve">[64] risk management frameworks for 2026 resilience - Outwrit </w:t>
      </w:r>
      <w:r>
        <w:rPr>
          <w:rFonts w:hint="eastAsia" w:ascii="微软雅黑" w:hAnsi="微软雅黑" w:eastAsia="微软雅黑"/>
          <w:noProof/>
          <w:sz w:val="24"/>
        </w:rPr>
        <w:t>https://outwrit.ai/blog/risk-management-frameworks</w:t>
      </w:r>
    </w:p>
    <w:p>
      <w:pPr>
        <w:spacing w:line="288" w:lineRule="auto"/>
        <w:ind w:firstLine="480" w:firstLineChars="200"/>
        <w:jc w:val="both"/>
      </w:pPr>
      <w:r>
        <w:rPr>
          <w:rFonts w:hint="eastAsia" w:ascii="微软雅黑" w:hAnsi="微软雅黑" w:eastAsia="微软雅黑"/>
          <w:noProof/>
          <w:sz w:val="24"/>
        </w:rPr>
        <w:t xml:space="preserve">[65] Risk Management Framework: A Complete Guide for 2026 </w:t>
      </w:r>
      <w:r>
        <w:rPr>
          <w:rFonts w:hint="eastAsia" w:ascii="微软雅黑" w:hAnsi="微软雅黑" w:eastAsia="微软雅黑"/>
          <w:noProof/>
          <w:sz w:val="24"/>
        </w:rPr>
        <w:t>https://uscomplianceinstitute.com/blogs/news/risk-management-framework</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Adherence Rate (%)</c:v>
                </c:pt>
              </c:strCache>
            </c:strRef>
          </c:tx>
          <c:spPr>
            <a:solidFill>
              <a:srgbClr val="FF7733"/>
            </a:solidFill>
            <a:ln>
              <a:solidFill>
                <a:srgbClr val="FF7733"/>
              </a:solidFill>
            </a:ln>
          </c:spPr>
          <c:invertIfNegative val="false"/>
          <c:cat>
            <c:strRef>
              <c:f>Sheet1!$A$2:$A$5</c:f>
              <c:strCache>
                <c:ptCount val="4"/>
                <c:pt idx="0">
                  <c:v>Annual Return Submissions</c:v>
                </c:pt>
                <c:pt idx="1">
                  <c:v>Audited Financial Statements</c:v>
                </c:pt>
                <c:pt idx="2">
                  <c:v>Director Change Notifications</c:v>
                </c:pt>
                <c:pt idx="3">
                  <c:v>B-BBEE Compliance Reporting</c:v>
                </c:pt>
              </c:strCache>
            </c:strRef>
          </c:cat>
          <c:val>
            <c:numRef>
              <c:f>Sheet1!$B$2:$B$5</c:f>
              <c:numCache>
                <c:ptCount val="4"/>
                <c:pt idx="0">
                  <c:v>94</c:v>
                </c:pt>
                <c:pt idx="1">
                  <c:v>87</c:v>
                </c:pt>
                <c:pt idx="2">
                  <c:v>81</c:v>
                </c:pt>
                <c:pt idx="3">
                  <c:v>89</c:v>
                </c:pt>
              </c:numCache>
            </c:numRef>
          </c:val>
        </c:ser>
        <c:gapWidth val="125"/>
        <c:axId val="3832777"/>
        <c:axId val="7879002"/>
      </c:barChart>
      <c:catAx>
        <c:axId val="383277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879002"/>
        <c:crosses val="autoZero"/>
      </c:catAx>
      <c:valAx>
        <c:axId val="787900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83277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Wholly Owned (100%)</c:v>
                </c:pt>
                <c:pt idx="1">
                  <c:v>Majority Owned (51-99%)</c:v>
                </c:pt>
                <c:pt idx="2">
                  <c:v>Minority Stake (&lt;50%)</c:v>
                </c:pt>
              </c:strCache>
            </c:strRef>
          </c:cat>
          <c:val>
            <c:numRef>
              <c:f>Sheet1!$B$2:$B$4</c:f>
              <c:numCache>
                <c:ptCount val="3"/>
                <c:pt idx="0">
                  <c:v>60</c:v>
                </c:pt>
                <c:pt idx="1">
                  <c:v>30</c:v>
                </c:pt>
                <c:pt idx="2">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Integration Completion Rate (%)</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20</c:v>
                </c:pt>
                <c:pt idx="1">
                  <c:v>45</c:v>
                </c:pt>
                <c:pt idx="2">
                  <c:v>75</c:v>
                </c:pt>
                <c:pt idx="3">
                  <c:v>100</c:v>
                </c:pt>
              </c:numCache>
            </c:numRef>
          </c:val>
          <c:smooth val="false"/>
        </c:ser>
        <c:ser>
          <c:idx val="1"/>
          <c:order val="1"/>
          <c:tx>
            <c:strRef>
              <c:f>Sheet1!$C$1</c:f>
              <c:strCache>
                <c:ptCount val="1"/>
                <c:pt idx="0">
                  <c:v>Threat Detection Efficiency (%)</c:v>
                </c:pt>
              </c:strCache>
            </c:strRef>
          </c:tx>
          <c:spPr>
            <a:ln>
              <a:solidFill>
                <a:srgbClr val="F8D256"/>
              </a:solidFill>
            </a:ln>
          </c:spPr>
          <c:marker>
            <c:symbol val="circle"/>
            <c:size val="4"/>
            <c:spPr>
              <a:noFill/>
              <a:ln>
                <a:solidFill>
                  <a:srgbClr val="F8D256"/>
                </a:solidFill>
              </a:ln>
            </c:spPr>
          </c:marker>
          <c:cat>
            <c:strRef>
              <c:f>Sheet1!$A$2:$A$5</c:f>
              <c:strCache>
                <c:ptCount val="4"/>
                <c:pt idx="0">
                  <c:v>2020</c:v>
                </c:pt>
                <c:pt idx="1">
                  <c:v>2021</c:v>
                </c:pt>
                <c:pt idx="2">
                  <c:v>2022</c:v>
                </c:pt>
                <c:pt idx="3">
                  <c:v>2023</c:v>
                </c:pt>
              </c:strCache>
            </c:strRef>
          </c:cat>
          <c:val>
            <c:numRef>
              <c:f>Sheet1!$C$2:$C$5</c:f>
              <c:numCache>
                <c:ptCount val="4"/>
                <c:pt idx="0">
                  <c:v>65</c:v>
                </c:pt>
                <c:pt idx="1">
                  <c:v>78</c:v>
                </c:pt>
                <c:pt idx="2">
                  <c:v>89</c:v>
                </c:pt>
                <c:pt idx="3">
                  <c:v>97</c:v>
                </c:pt>
              </c:numCache>
            </c:numRef>
          </c:val>
          <c:smooth val="false"/>
        </c:ser>
        <c:smooth val="false"/>
        <c:axId val="2242132"/>
        <c:axId val="2053603"/>
      </c:lineChart>
      <c:catAx>
        <c:axId val="2242132"/>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2053603"/>
        <c:crosses val="autoZero"/>
      </c:catAx>
      <c:valAx>
        <c:axId val="205360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2242132"/>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Market Share (%)</c:v>
                </c:pt>
              </c:strCache>
            </c:strRef>
          </c:tx>
          <c:spPr>
            <a:solidFill>
              <a:srgbClr val="FF7733"/>
            </a:solidFill>
            <a:ln>
              <a:solidFill>
                <a:srgbClr val="FF7733"/>
              </a:solidFill>
            </a:ln>
          </c:spPr>
          <c:invertIfNegative val="false"/>
          <c:cat>
            <c:strRef>
              <c:f>Sheet1!$A$2:$A$6</c:f>
              <c:strCache>
                <c:ptCount val="5"/>
                <c:pt idx="0">
                  <c:v>Dimension Data</c:v>
                </c:pt>
                <c:pt idx="1">
                  <c:v>BCX</c:v>
                </c:pt>
                <c:pt idx="2">
                  <c:v>EOH</c:v>
                </c:pt>
                <c:pt idx="3">
                  <c:v>Datacentrix</c:v>
                </c:pt>
                <c:pt idx="4">
                  <c:v>Veramani IT</c:v>
                </c:pt>
              </c:strCache>
            </c:strRef>
          </c:cat>
          <c:val>
            <c:numRef>
              <c:f>Sheet1!$B$2:$B$6</c:f>
              <c:numCache>
                <c:ptCount val="5"/>
                <c:pt idx="0">
                  <c:v>35</c:v>
                </c:pt>
                <c:pt idx="1">
                  <c:v>25</c:v>
                </c:pt>
                <c:pt idx="2">
                  <c:v>20</c:v>
                </c:pt>
                <c:pt idx="3">
                  <c:v>15</c:v>
                </c:pt>
                <c:pt idx="4">
                  <c:v>5</c:v>
                </c:pt>
              </c:numCache>
            </c:numRef>
          </c:val>
        </c:ser>
        <c:gapWidth val="100"/>
        <c:axId val="6305151"/>
        <c:axId val="8609284"/>
      </c:barChart>
      <c:catAx>
        <c:axId val="6305151"/>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609284"/>
        <c:crosses val="autoZero"/>
      </c:catAx>
      <c:valAx>
        <c:axId val="860928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6305151"/>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