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NostrVault</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Milestone 02 Shared Engine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In implementation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NostrVault maintainers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October 05,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implementation handoff</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 review pending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MEMORY/NostrVault-15-Commit-Plan.md; docs/architecture.md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Portable engine, encrypted fixture storage and native platform boundaries.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Milestone 02 replaces a numeric platform probe with shared Rust validation, cryptography and persistence foundations. The same public fixture is validated, encrypted, saved and reopened through a browser Worker, Linux IPC and Android JNI. This design establishes the boundaries that later vault and recovery features will use.</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implementation is a bounded fixture proof. It does not connect signers or relays, create a production vault, read conversations or import user archives. Final milestone acceptance requires the complete build, lint and runtime gates; platform evidence and remaining blockers are recorded in repository memory.</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 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one signed fixture through Rust on every host.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signer or relay networking.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Authenticate encrypted records after storage reopen.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production vault format or password policy.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Prove age interoperability and Android headless JNI.</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background scheduler or physical-device claim.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malformed inputs and preserve failing outcomes.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general archive importer or recovery guarantee.</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Milestone 01 established packaging, narrow native IPC, CSP and a real WASM Worker probe. Those checks did not establish whether the selected Nostr, crypto and storage libraries work across the intended hosts. Milestone 02 resolves that dependency risk before identity and collection work begins.</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Rust owns validation and cryptographic policy. React renders results; the Worker supplies browser I/O and IndexedDB. Native adapters own SQLite and JNI. Host code supplies secure randomness, selects isolated storage paths and enforces a single active proof. No host substitutes a JavaScript success result.</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Implemented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Shared Rust engine and platform adapters.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vault-core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 checks; bounded contracts; record crypto.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platform store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rejection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vault-native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SQLite proof and headless JNI entry point.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Isolated SQLite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Rollback; reject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vault-wasm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Rust exports; shared age adapter.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WASM memory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no fallback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Worker host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Binary transport; IndexedDB; cancellation.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Fixture IndexedDB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Abort; close; reopen</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React and Tauri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Display results; narrow native commands.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user database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failure state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An explicit button starts foundation_proof with a version, request identifier and declared fixture lengths.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TypeScript and Rust validate shape and bounds. Rust checks canonical event ID, signature and the fixed fixture author/kind scope.</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host selects a disposable proof store and secure random salt, data key and independent nonces. No identity secret is requested.</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Argon2id derives a wrapping key. XChaCha20-Poly1305 wraps the data key and encrypts the payload with bound context identifiers.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adapter atomically writes ciphertext. An injected failure in the second batch write must preserve old data and expose no partial batch.</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native connection is destroyed and reopened; the browser terminates Worker A and reads through Worker B. Cancellation stops host waiting.</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Authenticated bytes must match the fixture before success. Results carry event ID, byte count and crypto/storage evidence; no plaintext is logged.</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Protocol version 1; other versions rejected.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requestId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1–64 ASCII letters, digits, hyphen or underscore.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foundation_proof only.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eventLength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 event bytes; maximum 64 KiB.</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payloadLength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 payload bytes; maximum 1 MiB.</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object/null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 ID, byte count and verified proof flags.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object/null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Structured redacted code; exclusive with result.</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Reject invalid metadata and lengths before avoidable copying, parsing or cryptographic work.</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one active host request; reject concurrent work and mismatched or stale replies.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proof version, account, record and operation context in authenticated associated data.</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Fixture evidence proves the exercised operation, not production archive trust or recoverability.</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Contract definitions are maintained with their runtime validators in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crates/vault-core/src/lib.rs and src/foundation-contract.ts.</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milestone has no durable jobs or relay side effects. Repeated proof runs use isolated fixture storage. Atomic batches and close/reopen evidence establish the adapter contract. Cancellation never claims to undo completed native work or committed storage.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Concurrent request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as busy.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active host proof limits work.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Second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Abort the whole batch.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Earlier data remains readable.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Cancelled Worker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Terminate and ignore late replies.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fresh request uses a new Worker.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Unknown 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before processing.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silent compatibility fallback.</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public test identities only. No signer permissions, relay publication or routing updates are requested. Native capabilities allow only the explicit foundation commands.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Bound all inputs and batches. Return redacted error codes; do not log passwords, keys, event bodies or recovered payloads. Treat the ZIP as opaque bytes.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Record proof uses Argon2id v19, 8 MiB, one iteration and one lane, then XChaCha20-Poly1305. These are non-production parameters. Host RNG failure fails closed.</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Archive proof uses age v1 recipient and passphrase modes, log2(N)=16 and imported maximum18. Complete authenticated reading before releasing recovered bytes.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Imported readable conversations remain archive-derived until signer validation in later milestones. Archive integrity never establishes original authorship. Private restoration follows recipient-inbox policy and required authentication.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evidence</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and contracts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Adversarial vectors; strict lint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execution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 Worker; restart; interoperability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Linux runtime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Packaged proof; IPC ACL; CSP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Android foundation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ARM64 build; x86_64 instrumentation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Final candidate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verify:commit passes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Delivery constraint: local signed-off milestone commit only after all required gates pass. No public release, deployment or production credentials. CI timing is measured; a five-minute Android target is a separate follow-up, not a completion claim.</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Throwaway proof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Small initial change.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Would require rebuilding the shared boundaries.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 engine now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Earlier product surface.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Expands later milestone scope before platform proof.</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JavaScript crypto fallback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Avoids WASM dependency work.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Creates a second authority and hides target failures.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storage framework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Uniform host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Adds an async abstraction without current need.</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Deferred Decisions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Milestone 03 selects production password costs, key lifecycle and vault migrations.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Milestone 04 establishes actual signer compatibility and permissions.</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Milestone 06 proves real message capture, restart and signer-free offline reading.</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Physical Android and background scheduling evidence remain assigned to later milestones.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the three-crate boundary and the approved fifteen-milestone scope. Adopt dependencies only with actual target evidence. Record exact final checks and limits before the local milestone commit. This document describes the foundation implementation; it does not declare the complete application or milestone gate finished.</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02 core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Portable validation and crypto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and WASM vectors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02 hosts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SQLite, IndexedDB and JNI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Reopen, rollback and headless proof</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02 gate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automated checks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Final candidate passes; limits recorded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03 next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Production encrypted vault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Start only after milestone 02 acceptance</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NostrVault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Source of truth: repository code, Cargo.lock and MEMORY/memory.md. Foundation evidence is distinct from product capability.</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crates/vault-core/src/lib.r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