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7D605" w14:textId="47AB8254" w:rsidR="002D6437" w:rsidRPr="00823DBD" w:rsidRDefault="002D6F21">
      <w:pPr>
        <w:rPr>
          <w:sz w:val="30"/>
          <w:szCs w:val="30"/>
          <w:u w:val="single"/>
        </w:rPr>
      </w:pPr>
      <w:r>
        <w:tab/>
        <w:t xml:space="preserve">      </w:t>
      </w:r>
      <w:r w:rsidRPr="00823DBD">
        <w:rPr>
          <w:sz w:val="26"/>
          <w:szCs w:val="26"/>
          <w:u w:val="single"/>
        </w:rPr>
        <w:t xml:space="preserve">CUSTOMER </w:t>
      </w:r>
      <w:r w:rsidRPr="00823DBD">
        <w:rPr>
          <w:sz w:val="30"/>
          <w:szCs w:val="30"/>
          <w:u w:val="single"/>
        </w:rPr>
        <w:t>CHURN PREDICTION AND LTV ENGINE</w:t>
      </w:r>
    </w:p>
    <w:p w14:paraId="301A64E9" w14:textId="2CA56951" w:rsidR="002D6F21" w:rsidRDefault="002D6F21">
      <w:pPr>
        <w:rPr>
          <w:sz w:val="30"/>
          <w:szCs w:val="30"/>
        </w:rPr>
      </w:pPr>
      <w:r>
        <w:rPr>
          <w:sz w:val="30"/>
          <w:szCs w:val="30"/>
        </w:rPr>
        <w:tab/>
        <w:t xml:space="preserve">     CUSTOMER CHURN AND LTV FINAL DASHBOARD</w:t>
      </w:r>
    </w:p>
    <w:p w14:paraId="7A8FEE50" w14:textId="456686EA" w:rsidR="00823DBD" w:rsidRDefault="00823DBD">
      <w:pPr>
        <w:rPr>
          <w:sz w:val="30"/>
          <w:szCs w:val="30"/>
        </w:rPr>
      </w:pPr>
      <w:r>
        <w:rPr>
          <w:sz w:val="30"/>
          <w:szCs w:val="30"/>
        </w:rPr>
        <w:t xml:space="preserve">SUBMITTED BY </w:t>
      </w:r>
    </w:p>
    <w:p w14:paraId="3F9F1B70" w14:textId="6B1D6011" w:rsidR="00823DBD" w:rsidRDefault="00823DBD">
      <w:pPr>
        <w:rPr>
          <w:sz w:val="30"/>
          <w:szCs w:val="30"/>
        </w:rPr>
      </w:pPr>
      <w:r>
        <w:rPr>
          <w:sz w:val="30"/>
          <w:szCs w:val="30"/>
        </w:rPr>
        <w:t xml:space="preserve">ANANTHARAJAN V B </w:t>
      </w:r>
    </w:p>
    <w:p w14:paraId="2A966DF7" w14:textId="77777777" w:rsidR="002D6F21" w:rsidRDefault="002D6F21">
      <w:pPr>
        <w:rPr>
          <w:sz w:val="30"/>
          <w:szCs w:val="30"/>
        </w:rPr>
      </w:pPr>
    </w:p>
    <w:p w14:paraId="32526B5A" w14:textId="7BE1BD17" w:rsidR="002D6F21" w:rsidRDefault="002D6F21">
      <w:pPr>
        <w:rPr>
          <w:sz w:val="30"/>
          <w:szCs w:val="30"/>
        </w:rPr>
      </w:pPr>
      <w:r w:rsidRPr="002D6F21">
        <w:rPr>
          <w:noProof/>
          <w:sz w:val="30"/>
          <w:szCs w:val="30"/>
        </w:rPr>
        <w:drawing>
          <wp:inline distT="0" distB="0" distL="0" distR="0" wp14:anchorId="1E20278C" wp14:editId="261204BD">
            <wp:extent cx="5731510" cy="1448435"/>
            <wp:effectExtent l="0" t="0" r="2540" b="0"/>
            <wp:docPr id="188314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43368" name=""/>
                    <pic:cNvPicPr/>
                  </pic:nvPicPr>
                  <pic:blipFill>
                    <a:blip r:embed="rId4"/>
                    <a:stretch>
                      <a:fillRect/>
                    </a:stretch>
                  </pic:blipFill>
                  <pic:spPr>
                    <a:xfrm>
                      <a:off x="0" y="0"/>
                      <a:ext cx="5731510" cy="1448435"/>
                    </a:xfrm>
                    <a:prstGeom prst="rect">
                      <a:avLst/>
                    </a:prstGeom>
                  </pic:spPr>
                </pic:pic>
              </a:graphicData>
            </a:graphic>
          </wp:inline>
        </w:drawing>
      </w:r>
    </w:p>
    <w:p w14:paraId="10CA1939" w14:textId="77777777" w:rsidR="00823DBD" w:rsidRPr="00823DBD" w:rsidRDefault="00823DBD" w:rsidP="00823DBD">
      <w:pPr>
        <w:rPr>
          <w:b/>
          <w:bCs/>
          <w:sz w:val="30"/>
          <w:szCs w:val="30"/>
        </w:rPr>
      </w:pPr>
      <w:r w:rsidRPr="00823DBD">
        <w:rPr>
          <w:b/>
          <w:bCs/>
          <w:sz w:val="30"/>
          <w:szCs w:val="30"/>
        </w:rPr>
        <w:t>1. Dashboard Summary (KPIs)</w:t>
      </w:r>
    </w:p>
    <w:p w14:paraId="0A6C5048" w14:textId="7D33BAB6" w:rsidR="00823DBD" w:rsidRDefault="00823DBD">
      <w:pPr>
        <w:rPr>
          <w:sz w:val="30"/>
          <w:szCs w:val="30"/>
        </w:rPr>
      </w:pPr>
      <w:r w:rsidRPr="00823DBD">
        <w:rPr>
          <w:sz w:val="30"/>
          <w:szCs w:val="30"/>
        </w:rPr>
        <w:t xml:space="preserve">This section provides a quick overview of the entire customer dataset. It displays the total number of customers, the average customer tenure, and the overall customer churn distribution. These KPIs help users understand the dataset at a glance before </w:t>
      </w:r>
      <w:proofErr w:type="spellStart"/>
      <w:r w:rsidRPr="00823DBD">
        <w:rPr>
          <w:sz w:val="30"/>
          <w:szCs w:val="30"/>
        </w:rPr>
        <w:t>analyzing</w:t>
      </w:r>
      <w:proofErr w:type="spellEnd"/>
      <w:r w:rsidRPr="00823DBD">
        <w:rPr>
          <w:sz w:val="30"/>
          <w:szCs w:val="30"/>
        </w:rPr>
        <w:t xml:space="preserve"> individual metrics.</w:t>
      </w:r>
    </w:p>
    <w:p w14:paraId="4009FEF4" w14:textId="77777777" w:rsidR="002D6F21" w:rsidRDefault="002D6F21">
      <w:pPr>
        <w:rPr>
          <w:sz w:val="30"/>
          <w:szCs w:val="30"/>
        </w:rPr>
      </w:pPr>
    </w:p>
    <w:p w14:paraId="799DCDD7" w14:textId="6EC2D5CE" w:rsidR="002D6F21" w:rsidRDefault="002D6F21">
      <w:pPr>
        <w:rPr>
          <w:sz w:val="30"/>
          <w:szCs w:val="30"/>
        </w:rPr>
      </w:pPr>
      <w:r w:rsidRPr="002D6F21">
        <w:rPr>
          <w:noProof/>
          <w:sz w:val="30"/>
          <w:szCs w:val="30"/>
        </w:rPr>
        <w:drawing>
          <wp:inline distT="0" distB="0" distL="0" distR="0" wp14:anchorId="43913F97" wp14:editId="7AE2F331">
            <wp:extent cx="5731510" cy="2407920"/>
            <wp:effectExtent l="0" t="0" r="2540" b="0"/>
            <wp:docPr id="975072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72051" name=""/>
                    <pic:cNvPicPr/>
                  </pic:nvPicPr>
                  <pic:blipFill>
                    <a:blip r:embed="rId5"/>
                    <a:stretch>
                      <a:fillRect/>
                    </a:stretch>
                  </pic:blipFill>
                  <pic:spPr>
                    <a:xfrm>
                      <a:off x="0" y="0"/>
                      <a:ext cx="5731510" cy="2407920"/>
                    </a:xfrm>
                    <a:prstGeom prst="rect">
                      <a:avLst/>
                    </a:prstGeom>
                  </pic:spPr>
                </pic:pic>
              </a:graphicData>
            </a:graphic>
          </wp:inline>
        </w:drawing>
      </w:r>
    </w:p>
    <w:p w14:paraId="2824A14D" w14:textId="77777777" w:rsidR="00823DBD" w:rsidRPr="00823DBD" w:rsidRDefault="00823DBD" w:rsidP="00823DBD">
      <w:pPr>
        <w:rPr>
          <w:b/>
          <w:bCs/>
          <w:sz w:val="30"/>
          <w:szCs w:val="30"/>
        </w:rPr>
      </w:pPr>
      <w:r w:rsidRPr="00823DBD">
        <w:rPr>
          <w:b/>
          <w:bCs/>
          <w:sz w:val="30"/>
          <w:szCs w:val="30"/>
        </w:rPr>
        <w:t>2. Churn Status Breakdown</w:t>
      </w:r>
    </w:p>
    <w:p w14:paraId="204CE1DD" w14:textId="77777777" w:rsidR="00823DBD" w:rsidRPr="00823DBD" w:rsidRDefault="00823DBD" w:rsidP="00823DBD">
      <w:pPr>
        <w:rPr>
          <w:sz w:val="30"/>
          <w:szCs w:val="30"/>
        </w:rPr>
      </w:pPr>
      <w:r w:rsidRPr="00823DBD">
        <w:rPr>
          <w:sz w:val="30"/>
          <w:szCs w:val="30"/>
        </w:rPr>
        <w:t xml:space="preserve">This table shows the total number of customers who stayed and those who churned. It clearly indicates that the majority of customers remain </w:t>
      </w:r>
      <w:r w:rsidRPr="00823DBD">
        <w:rPr>
          <w:sz w:val="30"/>
          <w:szCs w:val="30"/>
        </w:rPr>
        <w:lastRenderedPageBreak/>
        <w:t xml:space="preserve">with the company while a smaller portion has discontinued the service. This serves as the baseline for all further churn </w:t>
      </w:r>
      <w:proofErr w:type="spellStart"/>
      <w:r w:rsidRPr="00823DBD">
        <w:rPr>
          <w:sz w:val="30"/>
          <w:szCs w:val="30"/>
        </w:rPr>
        <w:t>analysi</w:t>
      </w:r>
      <w:proofErr w:type="spellEnd"/>
    </w:p>
    <w:p w14:paraId="4DC5335A" w14:textId="77777777" w:rsidR="002D6F21" w:rsidRDefault="002D6F21">
      <w:pPr>
        <w:rPr>
          <w:sz w:val="30"/>
          <w:szCs w:val="30"/>
        </w:rPr>
      </w:pPr>
    </w:p>
    <w:p w14:paraId="0E60348D" w14:textId="5DF1862B" w:rsidR="002D6F21" w:rsidRDefault="002D6F21">
      <w:pPr>
        <w:rPr>
          <w:sz w:val="30"/>
          <w:szCs w:val="30"/>
        </w:rPr>
      </w:pPr>
      <w:r w:rsidRPr="002D6F21">
        <w:rPr>
          <w:noProof/>
          <w:sz w:val="30"/>
          <w:szCs w:val="30"/>
        </w:rPr>
        <w:drawing>
          <wp:inline distT="0" distB="0" distL="0" distR="0" wp14:anchorId="15B4FAD0" wp14:editId="787E438F">
            <wp:extent cx="5731510" cy="2498725"/>
            <wp:effectExtent l="0" t="0" r="2540" b="0"/>
            <wp:docPr id="1479351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51309" name=""/>
                    <pic:cNvPicPr/>
                  </pic:nvPicPr>
                  <pic:blipFill>
                    <a:blip r:embed="rId6"/>
                    <a:stretch>
                      <a:fillRect/>
                    </a:stretch>
                  </pic:blipFill>
                  <pic:spPr>
                    <a:xfrm>
                      <a:off x="0" y="0"/>
                      <a:ext cx="5731510" cy="2498725"/>
                    </a:xfrm>
                    <a:prstGeom prst="rect">
                      <a:avLst/>
                    </a:prstGeom>
                  </pic:spPr>
                </pic:pic>
              </a:graphicData>
            </a:graphic>
          </wp:inline>
        </w:drawing>
      </w:r>
    </w:p>
    <w:p w14:paraId="0E604467" w14:textId="77777777" w:rsidR="00823DBD" w:rsidRPr="00823DBD" w:rsidRDefault="00823DBD" w:rsidP="00823DBD">
      <w:pPr>
        <w:rPr>
          <w:b/>
          <w:bCs/>
          <w:sz w:val="30"/>
          <w:szCs w:val="30"/>
        </w:rPr>
      </w:pPr>
      <w:r w:rsidRPr="00823DBD">
        <w:rPr>
          <w:b/>
          <w:bCs/>
          <w:sz w:val="30"/>
          <w:szCs w:val="30"/>
        </w:rPr>
        <w:t>3. Internet Service Distribution</w:t>
      </w:r>
    </w:p>
    <w:p w14:paraId="1E2CE0B6" w14:textId="77777777" w:rsidR="00823DBD" w:rsidRPr="00823DBD" w:rsidRDefault="00823DBD" w:rsidP="00823DBD">
      <w:pPr>
        <w:rPr>
          <w:sz w:val="30"/>
          <w:szCs w:val="30"/>
        </w:rPr>
      </w:pPr>
      <w:r w:rsidRPr="00823DBD">
        <w:rPr>
          <w:sz w:val="30"/>
          <w:szCs w:val="30"/>
        </w:rPr>
        <w:t>This bar chart illustrates how customers are distributed across different internet service types such as DSL, Fiber Optic, and No Internet Service. It helps identify the most commonly used service among customers and provides context for later churn comparisons.</w:t>
      </w:r>
    </w:p>
    <w:p w14:paraId="62DE36C6" w14:textId="77777777" w:rsidR="002D6F21" w:rsidRDefault="002D6F21">
      <w:pPr>
        <w:rPr>
          <w:sz w:val="30"/>
          <w:szCs w:val="30"/>
        </w:rPr>
      </w:pPr>
    </w:p>
    <w:p w14:paraId="45E6FDBE" w14:textId="7ECC9633" w:rsidR="002D6F21" w:rsidRDefault="002D6F21">
      <w:pPr>
        <w:rPr>
          <w:sz w:val="30"/>
          <w:szCs w:val="30"/>
        </w:rPr>
      </w:pPr>
      <w:r w:rsidRPr="002D6F21">
        <w:rPr>
          <w:noProof/>
          <w:sz w:val="30"/>
          <w:szCs w:val="30"/>
        </w:rPr>
        <w:drawing>
          <wp:inline distT="0" distB="0" distL="0" distR="0" wp14:anchorId="09AB29A0" wp14:editId="1FCA32C3">
            <wp:extent cx="5731510" cy="2974340"/>
            <wp:effectExtent l="0" t="0" r="2540" b="0"/>
            <wp:docPr id="1567301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01037" name=""/>
                    <pic:cNvPicPr/>
                  </pic:nvPicPr>
                  <pic:blipFill>
                    <a:blip r:embed="rId7"/>
                    <a:stretch>
                      <a:fillRect/>
                    </a:stretch>
                  </pic:blipFill>
                  <pic:spPr>
                    <a:xfrm>
                      <a:off x="0" y="0"/>
                      <a:ext cx="5731510" cy="2974340"/>
                    </a:xfrm>
                    <a:prstGeom prst="rect">
                      <a:avLst/>
                    </a:prstGeom>
                  </pic:spPr>
                </pic:pic>
              </a:graphicData>
            </a:graphic>
          </wp:inline>
        </w:drawing>
      </w:r>
    </w:p>
    <w:p w14:paraId="3D19AF96" w14:textId="77777777" w:rsidR="00823DBD" w:rsidRPr="00823DBD" w:rsidRDefault="00823DBD" w:rsidP="00823DBD">
      <w:pPr>
        <w:rPr>
          <w:b/>
          <w:bCs/>
          <w:sz w:val="30"/>
          <w:szCs w:val="30"/>
        </w:rPr>
      </w:pPr>
      <w:r w:rsidRPr="00823DBD">
        <w:rPr>
          <w:b/>
          <w:bCs/>
          <w:sz w:val="30"/>
          <w:szCs w:val="30"/>
        </w:rPr>
        <w:t>4. Tenure Distribution</w:t>
      </w:r>
    </w:p>
    <w:p w14:paraId="1D71EC81" w14:textId="77777777" w:rsidR="00823DBD" w:rsidRPr="00823DBD" w:rsidRDefault="00823DBD" w:rsidP="00823DBD">
      <w:pPr>
        <w:rPr>
          <w:sz w:val="30"/>
          <w:szCs w:val="30"/>
        </w:rPr>
      </w:pPr>
      <w:r w:rsidRPr="00823DBD">
        <w:rPr>
          <w:sz w:val="30"/>
          <w:szCs w:val="30"/>
        </w:rPr>
        <w:t>The histogram represents how long customers have stayed with the company. It indicates that many customers are relatively new, while fewer customers have very long tenures. This visualization helps identify customer retention patterns over time.</w:t>
      </w:r>
    </w:p>
    <w:p w14:paraId="1A97A421" w14:textId="77777777" w:rsidR="00823DBD" w:rsidRDefault="00823DBD">
      <w:pPr>
        <w:rPr>
          <w:sz w:val="30"/>
          <w:szCs w:val="30"/>
        </w:rPr>
      </w:pPr>
    </w:p>
    <w:p w14:paraId="3D350808" w14:textId="77777777" w:rsidR="002D6F21" w:rsidRDefault="002D6F21">
      <w:pPr>
        <w:rPr>
          <w:sz w:val="30"/>
          <w:szCs w:val="30"/>
        </w:rPr>
      </w:pPr>
    </w:p>
    <w:p w14:paraId="32C7F2DC" w14:textId="0EAB83B1" w:rsidR="002D6F21" w:rsidRDefault="002D6F21">
      <w:pPr>
        <w:rPr>
          <w:sz w:val="30"/>
          <w:szCs w:val="30"/>
        </w:rPr>
      </w:pPr>
      <w:r w:rsidRPr="002D6F21">
        <w:rPr>
          <w:noProof/>
          <w:sz w:val="30"/>
          <w:szCs w:val="30"/>
        </w:rPr>
        <w:drawing>
          <wp:inline distT="0" distB="0" distL="0" distR="0" wp14:anchorId="64E7C516" wp14:editId="553B9BD4">
            <wp:extent cx="5731510" cy="2412365"/>
            <wp:effectExtent l="0" t="0" r="2540" b="6985"/>
            <wp:docPr id="66279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9236" name=""/>
                    <pic:cNvPicPr/>
                  </pic:nvPicPr>
                  <pic:blipFill>
                    <a:blip r:embed="rId8"/>
                    <a:stretch>
                      <a:fillRect/>
                    </a:stretch>
                  </pic:blipFill>
                  <pic:spPr>
                    <a:xfrm>
                      <a:off x="0" y="0"/>
                      <a:ext cx="5731510" cy="2412365"/>
                    </a:xfrm>
                    <a:prstGeom prst="rect">
                      <a:avLst/>
                    </a:prstGeom>
                  </pic:spPr>
                </pic:pic>
              </a:graphicData>
            </a:graphic>
          </wp:inline>
        </w:drawing>
      </w:r>
    </w:p>
    <w:p w14:paraId="78F18A84" w14:textId="77777777" w:rsidR="00823DBD" w:rsidRPr="00823DBD" w:rsidRDefault="00823DBD" w:rsidP="00823DBD">
      <w:pPr>
        <w:rPr>
          <w:b/>
          <w:bCs/>
          <w:sz w:val="30"/>
          <w:szCs w:val="30"/>
        </w:rPr>
      </w:pPr>
      <w:r w:rsidRPr="00823DBD">
        <w:rPr>
          <w:b/>
          <w:bCs/>
          <w:sz w:val="30"/>
          <w:szCs w:val="30"/>
        </w:rPr>
        <w:t>5. Churn by Contract Type</w:t>
      </w:r>
    </w:p>
    <w:p w14:paraId="655BE2E3" w14:textId="77777777" w:rsidR="00823DBD" w:rsidRPr="00823DBD" w:rsidRDefault="00823DBD" w:rsidP="00823DBD">
      <w:pPr>
        <w:rPr>
          <w:sz w:val="30"/>
          <w:szCs w:val="30"/>
        </w:rPr>
      </w:pPr>
      <w:r w:rsidRPr="00823DBD">
        <w:rPr>
          <w:sz w:val="30"/>
          <w:szCs w:val="30"/>
        </w:rPr>
        <w:t>This table compares the total number of customers and churned customers for each contract type. It clearly shows that Month-to-Month contracts experience significantly higher churn, whereas One-Year and Two-Year contracts have much better customer retention.</w:t>
      </w:r>
    </w:p>
    <w:p w14:paraId="5673E8EE" w14:textId="77777777" w:rsidR="00823DBD" w:rsidRDefault="00823DBD">
      <w:pPr>
        <w:rPr>
          <w:sz w:val="30"/>
          <w:szCs w:val="30"/>
        </w:rPr>
      </w:pPr>
    </w:p>
    <w:p w14:paraId="2F5456BA" w14:textId="77777777" w:rsidR="002D6F21" w:rsidRDefault="002D6F21">
      <w:pPr>
        <w:rPr>
          <w:sz w:val="30"/>
          <w:szCs w:val="30"/>
        </w:rPr>
      </w:pPr>
    </w:p>
    <w:p w14:paraId="1A21D3AF" w14:textId="5012C328" w:rsidR="002D6F21" w:rsidRDefault="002D6F21">
      <w:pPr>
        <w:rPr>
          <w:sz w:val="30"/>
          <w:szCs w:val="30"/>
        </w:rPr>
      </w:pPr>
      <w:r w:rsidRPr="002D6F21">
        <w:rPr>
          <w:noProof/>
          <w:sz w:val="30"/>
          <w:szCs w:val="30"/>
        </w:rPr>
        <w:drawing>
          <wp:inline distT="0" distB="0" distL="0" distR="0" wp14:anchorId="7AD5BDE7" wp14:editId="74E34817">
            <wp:extent cx="5001323" cy="3915321"/>
            <wp:effectExtent l="0" t="0" r="8890" b="9525"/>
            <wp:docPr id="117895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951020" name=""/>
                    <pic:cNvPicPr/>
                  </pic:nvPicPr>
                  <pic:blipFill>
                    <a:blip r:embed="rId9"/>
                    <a:stretch>
                      <a:fillRect/>
                    </a:stretch>
                  </pic:blipFill>
                  <pic:spPr>
                    <a:xfrm>
                      <a:off x="0" y="0"/>
                      <a:ext cx="5001323" cy="3915321"/>
                    </a:xfrm>
                    <a:prstGeom prst="rect">
                      <a:avLst/>
                    </a:prstGeom>
                  </pic:spPr>
                </pic:pic>
              </a:graphicData>
            </a:graphic>
          </wp:inline>
        </w:drawing>
      </w:r>
    </w:p>
    <w:p w14:paraId="27121E98" w14:textId="77777777" w:rsidR="00823DBD" w:rsidRPr="00823DBD" w:rsidRDefault="00823DBD" w:rsidP="00823DBD">
      <w:pPr>
        <w:rPr>
          <w:b/>
          <w:bCs/>
          <w:sz w:val="30"/>
          <w:szCs w:val="30"/>
        </w:rPr>
      </w:pPr>
      <w:r w:rsidRPr="00823DBD">
        <w:rPr>
          <w:b/>
          <w:bCs/>
          <w:sz w:val="30"/>
          <w:szCs w:val="30"/>
        </w:rPr>
        <w:t>6. Churn by Gender</w:t>
      </w:r>
    </w:p>
    <w:p w14:paraId="7D2C810F" w14:textId="77777777" w:rsidR="00823DBD" w:rsidRPr="00823DBD" w:rsidRDefault="00823DBD" w:rsidP="00823DBD">
      <w:pPr>
        <w:rPr>
          <w:sz w:val="30"/>
          <w:szCs w:val="30"/>
        </w:rPr>
      </w:pPr>
      <w:r w:rsidRPr="00823DBD">
        <w:rPr>
          <w:sz w:val="30"/>
          <w:szCs w:val="30"/>
        </w:rPr>
        <w:t>This table compares churn counts between male and female customers. The results indicate that churn is almost equally distributed across both genders, suggesting that gender has little influence on customer churn.</w:t>
      </w:r>
    </w:p>
    <w:p w14:paraId="5BDFE668" w14:textId="77777777" w:rsidR="00823DBD" w:rsidRDefault="00823DBD">
      <w:pPr>
        <w:rPr>
          <w:sz w:val="30"/>
          <w:szCs w:val="30"/>
        </w:rPr>
      </w:pPr>
    </w:p>
    <w:p w14:paraId="2C7DA7DE" w14:textId="77777777" w:rsidR="002D6F21" w:rsidRDefault="002D6F21">
      <w:pPr>
        <w:rPr>
          <w:sz w:val="30"/>
          <w:szCs w:val="30"/>
        </w:rPr>
      </w:pPr>
    </w:p>
    <w:p w14:paraId="1F5031B2" w14:textId="5517D720" w:rsidR="002D6F21" w:rsidRDefault="002D6F21">
      <w:pPr>
        <w:rPr>
          <w:sz w:val="30"/>
          <w:szCs w:val="30"/>
        </w:rPr>
      </w:pPr>
      <w:r w:rsidRPr="002D6F21">
        <w:rPr>
          <w:noProof/>
          <w:sz w:val="30"/>
          <w:szCs w:val="30"/>
        </w:rPr>
        <w:drawing>
          <wp:inline distT="0" distB="0" distL="0" distR="0" wp14:anchorId="0EA4C137" wp14:editId="451A243D">
            <wp:extent cx="5731510" cy="3072130"/>
            <wp:effectExtent l="0" t="0" r="2540" b="0"/>
            <wp:docPr id="729371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71769" name=""/>
                    <pic:cNvPicPr/>
                  </pic:nvPicPr>
                  <pic:blipFill>
                    <a:blip r:embed="rId10"/>
                    <a:stretch>
                      <a:fillRect/>
                    </a:stretch>
                  </pic:blipFill>
                  <pic:spPr>
                    <a:xfrm>
                      <a:off x="0" y="0"/>
                      <a:ext cx="5731510" cy="3072130"/>
                    </a:xfrm>
                    <a:prstGeom prst="rect">
                      <a:avLst/>
                    </a:prstGeom>
                  </pic:spPr>
                </pic:pic>
              </a:graphicData>
            </a:graphic>
          </wp:inline>
        </w:drawing>
      </w:r>
    </w:p>
    <w:p w14:paraId="6E495BA9" w14:textId="77777777" w:rsidR="00823DBD" w:rsidRPr="00823DBD" w:rsidRDefault="00823DBD" w:rsidP="00823DBD">
      <w:pPr>
        <w:rPr>
          <w:b/>
          <w:bCs/>
          <w:sz w:val="30"/>
          <w:szCs w:val="30"/>
        </w:rPr>
      </w:pPr>
      <w:r w:rsidRPr="00823DBD">
        <w:rPr>
          <w:b/>
          <w:bCs/>
          <w:sz w:val="30"/>
          <w:szCs w:val="30"/>
        </w:rPr>
        <w:t>7. Monthly Charges Distribution</w:t>
      </w:r>
    </w:p>
    <w:p w14:paraId="0F4E4A40" w14:textId="77777777" w:rsidR="00823DBD" w:rsidRPr="00823DBD" w:rsidRDefault="00823DBD" w:rsidP="00823DBD">
      <w:pPr>
        <w:rPr>
          <w:sz w:val="30"/>
          <w:szCs w:val="30"/>
        </w:rPr>
      </w:pPr>
      <w:r w:rsidRPr="00823DBD">
        <w:rPr>
          <w:sz w:val="30"/>
          <w:szCs w:val="30"/>
        </w:rPr>
        <w:t>This histogram displays how customers are distributed based on their monthly charges. It helps identify common pricing ranges and allows analysts to observe whether customers are concentrated in lower, medium, or higher billing categories.</w:t>
      </w:r>
    </w:p>
    <w:p w14:paraId="575BED36" w14:textId="77777777" w:rsidR="00823DBD" w:rsidRDefault="00823DBD">
      <w:pPr>
        <w:rPr>
          <w:sz w:val="30"/>
          <w:szCs w:val="30"/>
        </w:rPr>
      </w:pPr>
    </w:p>
    <w:p w14:paraId="1DF57167" w14:textId="77777777" w:rsidR="002D6F21" w:rsidRDefault="002D6F21">
      <w:pPr>
        <w:rPr>
          <w:sz w:val="30"/>
          <w:szCs w:val="30"/>
        </w:rPr>
      </w:pPr>
    </w:p>
    <w:p w14:paraId="2AC9F389" w14:textId="23AD90E0" w:rsidR="002D6F21" w:rsidRDefault="002D6F21">
      <w:pPr>
        <w:rPr>
          <w:sz w:val="30"/>
          <w:szCs w:val="30"/>
        </w:rPr>
      </w:pPr>
      <w:r w:rsidRPr="002D6F21">
        <w:rPr>
          <w:noProof/>
          <w:sz w:val="30"/>
          <w:szCs w:val="30"/>
        </w:rPr>
        <w:drawing>
          <wp:inline distT="0" distB="0" distL="0" distR="0" wp14:anchorId="549BA629" wp14:editId="4D2A1A28">
            <wp:extent cx="5731510" cy="2971165"/>
            <wp:effectExtent l="0" t="0" r="2540" b="635"/>
            <wp:docPr id="2023587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587387" name=""/>
                    <pic:cNvPicPr/>
                  </pic:nvPicPr>
                  <pic:blipFill>
                    <a:blip r:embed="rId11"/>
                    <a:stretch>
                      <a:fillRect/>
                    </a:stretch>
                  </pic:blipFill>
                  <pic:spPr>
                    <a:xfrm>
                      <a:off x="0" y="0"/>
                      <a:ext cx="5731510" cy="2971165"/>
                    </a:xfrm>
                    <a:prstGeom prst="rect">
                      <a:avLst/>
                    </a:prstGeom>
                  </pic:spPr>
                </pic:pic>
              </a:graphicData>
            </a:graphic>
          </wp:inline>
        </w:drawing>
      </w:r>
    </w:p>
    <w:p w14:paraId="79C96CE5" w14:textId="77777777" w:rsidR="00823DBD" w:rsidRPr="00823DBD" w:rsidRDefault="00823DBD" w:rsidP="00823DBD">
      <w:pPr>
        <w:rPr>
          <w:b/>
          <w:bCs/>
          <w:sz w:val="30"/>
          <w:szCs w:val="30"/>
        </w:rPr>
      </w:pPr>
      <w:r w:rsidRPr="00823DBD">
        <w:rPr>
          <w:b/>
          <w:bCs/>
          <w:sz w:val="30"/>
          <w:szCs w:val="30"/>
        </w:rPr>
        <w:t>8. Churn by Payment Method</w:t>
      </w:r>
    </w:p>
    <w:p w14:paraId="3F6397F5" w14:textId="77777777" w:rsidR="00823DBD" w:rsidRPr="00823DBD" w:rsidRDefault="00823DBD" w:rsidP="00823DBD">
      <w:pPr>
        <w:rPr>
          <w:sz w:val="30"/>
          <w:szCs w:val="30"/>
        </w:rPr>
      </w:pPr>
      <w:r w:rsidRPr="00823DBD">
        <w:rPr>
          <w:sz w:val="30"/>
          <w:szCs w:val="30"/>
        </w:rPr>
        <w:t>This bar chart compares customer counts across different payment methods. It provides insight into which payment methods are most frequently used and supports further analysis of whether payment preferences are associated with higher churn rates.</w:t>
      </w:r>
    </w:p>
    <w:p w14:paraId="27E87C33" w14:textId="77777777" w:rsidR="00823DBD" w:rsidRDefault="00823DBD">
      <w:pPr>
        <w:rPr>
          <w:sz w:val="30"/>
          <w:szCs w:val="30"/>
        </w:rPr>
      </w:pPr>
    </w:p>
    <w:p w14:paraId="515A6C9E" w14:textId="77777777" w:rsidR="002D6F21" w:rsidRDefault="002D6F21">
      <w:pPr>
        <w:rPr>
          <w:sz w:val="30"/>
          <w:szCs w:val="30"/>
        </w:rPr>
      </w:pPr>
    </w:p>
    <w:p w14:paraId="1BB20F38" w14:textId="3D20FF82" w:rsidR="002D6F21" w:rsidRDefault="002D6F21">
      <w:pPr>
        <w:rPr>
          <w:sz w:val="30"/>
          <w:szCs w:val="30"/>
        </w:rPr>
      </w:pPr>
      <w:r w:rsidRPr="002D6F21">
        <w:rPr>
          <w:noProof/>
          <w:sz w:val="30"/>
          <w:szCs w:val="30"/>
        </w:rPr>
        <w:drawing>
          <wp:inline distT="0" distB="0" distL="0" distR="0" wp14:anchorId="35F6FC56" wp14:editId="3C7F09E0">
            <wp:extent cx="5731510" cy="2991485"/>
            <wp:effectExtent l="0" t="0" r="2540" b="0"/>
            <wp:docPr id="651682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82842" name=""/>
                    <pic:cNvPicPr/>
                  </pic:nvPicPr>
                  <pic:blipFill>
                    <a:blip r:embed="rId12"/>
                    <a:stretch>
                      <a:fillRect/>
                    </a:stretch>
                  </pic:blipFill>
                  <pic:spPr>
                    <a:xfrm>
                      <a:off x="0" y="0"/>
                      <a:ext cx="5731510" cy="2991485"/>
                    </a:xfrm>
                    <a:prstGeom prst="rect">
                      <a:avLst/>
                    </a:prstGeom>
                  </pic:spPr>
                </pic:pic>
              </a:graphicData>
            </a:graphic>
          </wp:inline>
        </w:drawing>
      </w:r>
    </w:p>
    <w:p w14:paraId="3F5D312B" w14:textId="77777777" w:rsidR="00823DBD" w:rsidRPr="00823DBD" w:rsidRDefault="00823DBD" w:rsidP="00823DBD">
      <w:pPr>
        <w:rPr>
          <w:b/>
          <w:bCs/>
          <w:sz w:val="30"/>
          <w:szCs w:val="30"/>
        </w:rPr>
      </w:pPr>
      <w:r w:rsidRPr="00823DBD">
        <w:rPr>
          <w:b/>
          <w:bCs/>
          <w:sz w:val="30"/>
          <w:szCs w:val="30"/>
        </w:rPr>
        <w:t>9. Average Monthly Charges vs Churn</w:t>
      </w:r>
    </w:p>
    <w:p w14:paraId="7534244C" w14:textId="77777777" w:rsidR="00823DBD" w:rsidRPr="00823DBD" w:rsidRDefault="00823DBD" w:rsidP="00823DBD">
      <w:pPr>
        <w:rPr>
          <w:sz w:val="30"/>
          <w:szCs w:val="30"/>
        </w:rPr>
      </w:pPr>
      <w:r w:rsidRPr="00823DBD">
        <w:rPr>
          <w:sz w:val="30"/>
          <w:szCs w:val="30"/>
        </w:rPr>
        <w:t>This comparison chart shows the average monthly charges for customers who churned versus those who remained. It indicates that churned customers generally pay higher monthly charges, suggesting that higher pricing may contribute to customer attrition.</w:t>
      </w:r>
    </w:p>
    <w:p w14:paraId="1EE70A8D" w14:textId="77777777" w:rsidR="00823DBD" w:rsidRDefault="00823DBD">
      <w:pPr>
        <w:rPr>
          <w:sz w:val="30"/>
          <w:szCs w:val="30"/>
        </w:rPr>
      </w:pPr>
    </w:p>
    <w:p w14:paraId="5DD28FB0" w14:textId="77777777" w:rsidR="002D6F21" w:rsidRDefault="002D6F21">
      <w:pPr>
        <w:rPr>
          <w:sz w:val="30"/>
          <w:szCs w:val="30"/>
        </w:rPr>
      </w:pPr>
    </w:p>
    <w:p w14:paraId="1B918B46" w14:textId="4D33CDD1" w:rsidR="002D6F21" w:rsidRDefault="002D6F21">
      <w:pPr>
        <w:rPr>
          <w:sz w:val="30"/>
          <w:szCs w:val="30"/>
        </w:rPr>
      </w:pPr>
      <w:r w:rsidRPr="002D6F21">
        <w:rPr>
          <w:noProof/>
          <w:sz w:val="30"/>
          <w:szCs w:val="30"/>
        </w:rPr>
        <w:drawing>
          <wp:inline distT="0" distB="0" distL="0" distR="0" wp14:anchorId="576BAD3B" wp14:editId="0F5EF6E4">
            <wp:extent cx="5731510" cy="2898775"/>
            <wp:effectExtent l="0" t="0" r="2540" b="0"/>
            <wp:docPr id="1856317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317975" name=""/>
                    <pic:cNvPicPr/>
                  </pic:nvPicPr>
                  <pic:blipFill>
                    <a:blip r:embed="rId13"/>
                    <a:stretch>
                      <a:fillRect/>
                    </a:stretch>
                  </pic:blipFill>
                  <pic:spPr>
                    <a:xfrm>
                      <a:off x="0" y="0"/>
                      <a:ext cx="5731510" cy="2898775"/>
                    </a:xfrm>
                    <a:prstGeom prst="rect">
                      <a:avLst/>
                    </a:prstGeom>
                  </pic:spPr>
                </pic:pic>
              </a:graphicData>
            </a:graphic>
          </wp:inline>
        </w:drawing>
      </w:r>
    </w:p>
    <w:p w14:paraId="153A38FC" w14:textId="77777777" w:rsidR="00823DBD" w:rsidRPr="00823DBD" w:rsidRDefault="00823DBD" w:rsidP="00823DBD">
      <w:pPr>
        <w:rPr>
          <w:b/>
          <w:bCs/>
          <w:sz w:val="30"/>
          <w:szCs w:val="30"/>
        </w:rPr>
      </w:pPr>
      <w:r w:rsidRPr="00823DBD">
        <w:rPr>
          <w:b/>
          <w:bCs/>
          <w:sz w:val="30"/>
          <w:szCs w:val="30"/>
        </w:rPr>
        <w:t>10. Internet Service Churn Analysis</w:t>
      </w:r>
    </w:p>
    <w:p w14:paraId="75A8E02E" w14:textId="77777777" w:rsidR="00823DBD" w:rsidRPr="00823DBD" w:rsidRDefault="00823DBD" w:rsidP="00823DBD">
      <w:pPr>
        <w:rPr>
          <w:sz w:val="30"/>
          <w:szCs w:val="30"/>
        </w:rPr>
      </w:pPr>
      <w:r w:rsidRPr="00823DBD">
        <w:rPr>
          <w:sz w:val="30"/>
          <w:szCs w:val="30"/>
        </w:rPr>
        <w:t>This grouped bar chart compares churned and retained customers for each internet service type. It highlights that Fiber Optic customers experience considerably higher churn than DSL or customers without internet service, making it an important area for retention efforts.</w:t>
      </w:r>
    </w:p>
    <w:p w14:paraId="3BD4A4F8" w14:textId="77777777" w:rsidR="00823DBD" w:rsidRDefault="00823DBD">
      <w:pPr>
        <w:rPr>
          <w:sz w:val="30"/>
          <w:szCs w:val="30"/>
        </w:rPr>
      </w:pPr>
    </w:p>
    <w:p w14:paraId="258881CC" w14:textId="77777777" w:rsidR="002D6F21" w:rsidRDefault="002D6F21">
      <w:pPr>
        <w:rPr>
          <w:sz w:val="30"/>
          <w:szCs w:val="30"/>
        </w:rPr>
      </w:pPr>
    </w:p>
    <w:p w14:paraId="66F36A19" w14:textId="6EA587DF" w:rsidR="002D6F21" w:rsidRDefault="002D6F21">
      <w:pPr>
        <w:rPr>
          <w:sz w:val="30"/>
          <w:szCs w:val="30"/>
        </w:rPr>
      </w:pPr>
      <w:r w:rsidRPr="002D6F21">
        <w:rPr>
          <w:noProof/>
          <w:sz w:val="30"/>
          <w:szCs w:val="30"/>
        </w:rPr>
        <w:drawing>
          <wp:inline distT="0" distB="0" distL="0" distR="0" wp14:anchorId="5F5A63B5" wp14:editId="08A33C09">
            <wp:extent cx="5731510" cy="4434840"/>
            <wp:effectExtent l="0" t="0" r="2540" b="3810"/>
            <wp:docPr id="100958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82772" name=""/>
                    <pic:cNvPicPr/>
                  </pic:nvPicPr>
                  <pic:blipFill>
                    <a:blip r:embed="rId14"/>
                    <a:stretch>
                      <a:fillRect/>
                    </a:stretch>
                  </pic:blipFill>
                  <pic:spPr>
                    <a:xfrm>
                      <a:off x="0" y="0"/>
                      <a:ext cx="5731510" cy="4434840"/>
                    </a:xfrm>
                    <a:prstGeom prst="rect">
                      <a:avLst/>
                    </a:prstGeom>
                  </pic:spPr>
                </pic:pic>
              </a:graphicData>
            </a:graphic>
          </wp:inline>
        </w:drawing>
      </w:r>
    </w:p>
    <w:p w14:paraId="4F9D9F90" w14:textId="77777777" w:rsidR="00823DBD" w:rsidRPr="00823DBD" w:rsidRDefault="00823DBD" w:rsidP="00823DBD">
      <w:pPr>
        <w:rPr>
          <w:b/>
          <w:bCs/>
          <w:sz w:val="30"/>
          <w:szCs w:val="30"/>
        </w:rPr>
      </w:pPr>
      <w:r w:rsidRPr="00823DBD">
        <w:rPr>
          <w:b/>
          <w:bCs/>
          <w:sz w:val="30"/>
          <w:szCs w:val="30"/>
        </w:rPr>
        <w:t>11. Tenure Risk Segments</w:t>
      </w:r>
    </w:p>
    <w:p w14:paraId="6CFF2589" w14:textId="77777777" w:rsidR="00823DBD" w:rsidRPr="00823DBD" w:rsidRDefault="00823DBD" w:rsidP="00823DBD">
      <w:pPr>
        <w:rPr>
          <w:sz w:val="30"/>
          <w:szCs w:val="30"/>
        </w:rPr>
      </w:pPr>
      <w:r w:rsidRPr="00823DBD">
        <w:rPr>
          <w:sz w:val="30"/>
          <w:szCs w:val="30"/>
        </w:rPr>
        <w:t>This table categorizes customers into different tenure groups and compares churn counts within each segment. It indicates that customers with shorter tenures are more likely to churn, while long-term customers exhibit stronger loyalty and lower churn rates.</w:t>
      </w:r>
    </w:p>
    <w:p w14:paraId="5526570E" w14:textId="77777777" w:rsidR="00823DBD" w:rsidRDefault="00823DBD">
      <w:pPr>
        <w:rPr>
          <w:sz w:val="30"/>
          <w:szCs w:val="30"/>
        </w:rPr>
      </w:pPr>
    </w:p>
    <w:p w14:paraId="153700EA" w14:textId="77777777" w:rsidR="002D6F21" w:rsidRDefault="002D6F21">
      <w:pPr>
        <w:rPr>
          <w:sz w:val="30"/>
          <w:szCs w:val="30"/>
        </w:rPr>
      </w:pPr>
    </w:p>
    <w:p w14:paraId="57084BF9" w14:textId="56986771" w:rsidR="002D6F21" w:rsidRDefault="002D6F21">
      <w:pPr>
        <w:rPr>
          <w:sz w:val="30"/>
          <w:szCs w:val="30"/>
        </w:rPr>
      </w:pPr>
      <w:r w:rsidRPr="002D6F21">
        <w:rPr>
          <w:noProof/>
          <w:sz w:val="30"/>
          <w:szCs w:val="30"/>
        </w:rPr>
        <w:drawing>
          <wp:inline distT="0" distB="0" distL="0" distR="0" wp14:anchorId="2FC5431A" wp14:editId="7B177D16">
            <wp:extent cx="5731510" cy="2957195"/>
            <wp:effectExtent l="0" t="0" r="2540" b="0"/>
            <wp:docPr id="1731415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15226" name=""/>
                    <pic:cNvPicPr/>
                  </pic:nvPicPr>
                  <pic:blipFill>
                    <a:blip r:embed="rId15"/>
                    <a:stretch>
                      <a:fillRect/>
                    </a:stretch>
                  </pic:blipFill>
                  <pic:spPr>
                    <a:xfrm>
                      <a:off x="0" y="0"/>
                      <a:ext cx="5731510" cy="2957195"/>
                    </a:xfrm>
                    <a:prstGeom prst="rect">
                      <a:avLst/>
                    </a:prstGeom>
                  </pic:spPr>
                </pic:pic>
              </a:graphicData>
            </a:graphic>
          </wp:inline>
        </w:drawing>
      </w:r>
    </w:p>
    <w:p w14:paraId="63A7E22E" w14:textId="77777777" w:rsidR="00823DBD" w:rsidRDefault="00823DBD">
      <w:pPr>
        <w:rPr>
          <w:sz w:val="30"/>
          <w:szCs w:val="30"/>
        </w:rPr>
      </w:pPr>
    </w:p>
    <w:p w14:paraId="3F19C6B2" w14:textId="77777777" w:rsidR="00823DBD" w:rsidRPr="00823DBD" w:rsidRDefault="00823DBD" w:rsidP="00823DBD">
      <w:pPr>
        <w:rPr>
          <w:b/>
          <w:bCs/>
          <w:sz w:val="30"/>
          <w:szCs w:val="30"/>
        </w:rPr>
      </w:pPr>
      <w:r w:rsidRPr="00823DBD">
        <w:rPr>
          <w:b/>
          <w:bCs/>
          <w:sz w:val="30"/>
          <w:szCs w:val="30"/>
        </w:rPr>
        <w:t>12. High-Risk Customer Pool</w:t>
      </w:r>
    </w:p>
    <w:p w14:paraId="5AE879D2" w14:textId="77777777" w:rsidR="00823DBD" w:rsidRPr="00823DBD" w:rsidRDefault="00823DBD" w:rsidP="00823DBD">
      <w:pPr>
        <w:rPr>
          <w:sz w:val="30"/>
          <w:szCs w:val="30"/>
        </w:rPr>
      </w:pPr>
      <w:r w:rsidRPr="00823DBD">
        <w:rPr>
          <w:sz w:val="30"/>
          <w:szCs w:val="30"/>
        </w:rPr>
        <w:t>This gauge visualization summarizes the number of customers identified as high churn risk. It provides management with a quick indicator of how many customers may require immediate retention strategies, enabling better prioritization of customer engagement initiatives.</w:t>
      </w:r>
    </w:p>
    <w:p w14:paraId="2F8DFAFD" w14:textId="77777777" w:rsidR="00823DBD" w:rsidRDefault="00823DBD">
      <w:pPr>
        <w:rPr>
          <w:sz w:val="30"/>
          <w:szCs w:val="30"/>
        </w:rPr>
      </w:pPr>
    </w:p>
    <w:p w14:paraId="1E259D34" w14:textId="77777777" w:rsidR="00823DBD" w:rsidRDefault="00823DBD">
      <w:pPr>
        <w:rPr>
          <w:sz w:val="30"/>
          <w:szCs w:val="30"/>
        </w:rPr>
      </w:pPr>
    </w:p>
    <w:p w14:paraId="0F673630" w14:textId="77777777" w:rsidR="00823DBD" w:rsidRDefault="00823DBD">
      <w:pPr>
        <w:rPr>
          <w:sz w:val="30"/>
          <w:szCs w:val="30"/>
        </w:rPr>
      </w:pPr>
    </w:p>
    <w:p w14:paraId="1B8EEA80" w14:textId="77777777" w:rsidR="002D6F21" w:rsidRDefault="002D6F21">
      <w:pPr>
        <w:rPr>
          <w:sz w:val="30"/>
          <w:szCs w:val="30"/>
        </w:rPr>
      </w:pPr>
    </w:p>
    <w:p w14:paraId="714F2F82" w14:textId="77777777" w:rsidR="002D6F21" w:rsidRDefault="002D6F21">
      <w:pPr>
        <w:rPr>
          <w:sz w:val="30"/>
          <w:szCs w:val="30"/>
        </w:rPr>
      </w:pPr>
    </w:p>
    <w:p w14:paraId="4E0CCDC1" w14:textId="77777777" w:rsidR="002D6F21" w:rsidRPr="002D6F21" w:rsidRDefault="002D6F21">
      <w:pPr>
        <w:rPr>
          <w:sz w:val="30"/>
          <w:szCs w:val="30"/>
        </w:rPr>
      </w:pPr>
    </w:p>
    <w:sectPr w:rsidR="002D6F21" w:rsidRPr="002D6F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F21"/>
    <w:rsid w:val="002D6437"/>
    <w:rsid w:val="002D6F21"/>
    <w:rsid w:val="005B53D2"/>
    <w:rsid w:val="007A61CA"/>
    <w:rsid w:val="00823DBD"/>
    <w:rsid w:val="00900460"/>
    <w:rsid w:val="009C31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368F7"/>
  <w15:chartTrackingRefBased/>
  <w15:docId w15:val="{85EFBFF7-F638-495B-A9C0-088C023EC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6F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6F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6F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6F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6F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6F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F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F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F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F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6F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6F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6F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6F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6F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F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F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F21"/>
    <w:rPr>
      <w:rFonts w:eastAsiaTheme="majorEastAsia" w:cstheme="majorBidi"/>
      <w:color w:val="272727" w:themeColor="text1" w:themeTint="D8"/>
    </w:rPr>
  </w:style>
  <w:style w:type="paragraph" w:styleId="Title">
    <w:name w:val="Title"/>
    <w:basedOn w:val="Normal"/>
    <w:next w:val="Normal"/>
    <w:link w:val="TitleChar"/>
    <w:uiPriority w:val="10"/>
    <w:qFormat/>
    <w:rsid w:val="002D6F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F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F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F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F21"/>
    <w:pPr>
      <w:spacing w:before="160"/>
      <w:jc w:val="center"/>
    </w:pPr>
    <w:rPr>
      <w:i/>
      <w:iCs/>
      <w:color w:val="404040" w:themeColor="text1" w:themeTint="BF"/>
    </w:rPr>
  </w:style>
  <w:style w:type="character" w:customStyle="1" w:styleId="QuoteChar">
    <w:name w:val="Quote Char"/>
    <w:basedOn w:val="DefaultParagraphFont"/>
    <w:link w:val="Quote"/>
    <w:uiPriority w:val="29"/>
    <w:rsid w:val="002D6F21"/>
    <w:rPr>
      <w:i/>
      <w:iCs/>
      <w:color w:val="404040" w:themeColor="text1" w:themeTint="BF"/>
    </w:rPr>
  </w:style>
  <w:style w:type="paragraph" w:styleId="ListParagraph">
    <w:name w:val="List Paragraph"/>
    <w:basedOn w:val="Normal"/>
    <w:uiPriority w:val="34"/>
    <w:qFormat/>
    <w:rsid w:val="002D6F21"/>
    <w:pPr>
      <w:ind w:left="720"/>
      <w:contextualSpacing/>
    </w:pPr>
  </w:style>
  <w:style w:type="character" w:styleId="IntenseEmphasis">
    <w:name w:val="Intense Emphasis"/>
    <w:basedOn w:val="DefaultParagraphFont"/>
    <w:uiPriority w:val="21"/>
    <w:qFormat/>
    <w:rsid w:val="002D6F21"/>
    <w:rPr>
      <w:i/>
      <w:iCs/>
      <w:color w:val="2F5496" w:themeColor="accent1" w:themeShade="BF"/>
    </w:rPr>
  </w:style>
  <w:style w:type="paragraph" w:styleId="IntenseQuote">
    <w:name w:val="Intense Quote"/>
    <w:basedOn w:val="Normal"/>
    <w:next w:val="Normal"/>
    <w:link w:val="IntenseQuoteChar"/>
    <w:uiPriority w:val="30"/>
    <w:qFormat/>
    <w:rsid w:val="002D6F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6F21"/>
    <w:rPr>
      <w:i/>
      <w:iCs/>
      <w:color w:val="2F5496" w:themeColor="accent1" w:themeShade="BF"/>
    </w:rPr>
  </w:style>
  <w:style w:type="character" w:styleId="IntenseReference">
    <w:name w:val="Intense Reference"/>
    <w:basedOn w:val="DefaultParagraphFont"/>
    <w:uiPriority w:val="32"/>
    <w:qFormat/>
    <w:rsid w:val="002D6F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535</Words>
  <Characters>3052</Characters>
  <Application>Microsoft Office Word</Application>
  <DocSecurity>0</DocSecurity>
  <Lines>25</Lines>
  <Paragraphs>7</Paragraphs>
  <ScaleCrop>false</ScaleCrop>
  <Company/>
  <LinksUpToDate>false</LinksUpToDate>
  <CharactersWithSpaces>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ANANTHARAJAN V B-[CH.EN.U4CSE22004]</dc:creator>
  <cp:keywords/>
  <dc:description/>
  <cp:lastModifiedBy>ANANTHARAJAN V B-[CH.EN.U4CSE22004]</cp:lastModifiedBy>
  <cp:revision>2</cp:revision>
  <dcterms:created xsi:type="dcterms:W3CDTF">2026-06-27T10:21:00Z</dcterms:created>
  <dcterms:modified xsi:type="dcterms:W3CDTF">2026-06-27T10:30:00Z</dcterms:modified>
</cp:coreProperties>
</file>