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Times New Roman" w:hAnsi="Times New Roman"/>
          <w:b/>
          <w:color w:val="2C3E50"/>
          <w:sz w:val="36"/>
        </w:rPr>
        <w:t>ALGOQUIZ PRO: DESIGN AND IMPLEMENTATION OF AN AI-ADAPTIVE</w:t>
        <w:br/>
        <w:t>COMPUTATIONAL LEARNING PLATFORM WITH REAL-TIME</w:t>
        <w:br/>
        <w:t>DATA STRUCTURES VISUALIZATION SANDBOXES</w:t>
        <w:br/>
        <w:br/>
        <w:br/>
      </w:r>
    </w:p>
    <w:p>
      <w:pPr>
        <w:jc w:val="center"/>
      </w:pPr>
      <w:r>
        <w:rPr>
          <w:rFonts w:ascii="Times New Roman" w:hAnsi="Times New Roman"/>
          <w:i/>
          <w:sz w:val="22"/>
        </w:rPr>
        <w:t>A Detailed Research-oriented Project Report Submitted in Partial Fulfillment</w:t>
        <w:br/>
        <w:t>of the Requirements for the Degree of Bachelor of Technology / Course Completion</w:t>
        <w:br/>
        <w:br/>
        <w:br/>
        <w:br/>
      </w:r>
    </w:p>
    <w:p>
      <w:pPr>
        <w:jc w:val="center"/>
      </w:pPr>
      <w:r>
        <w:rPr>
          <w:rFonts w:ascii="Times New Roman" w:hAnsi="Times New Roman"/>
          <w:b/>
          <w:sz w:val="24"/>
        </w:rPr>
        <w:t>Submitted by:</w:t>
        <w:br/>
        <w:t>ANANT YASH</w:t>
        <w:br/>
        <w:t>Roll Number: [Insert Roll Number]</w:t>
        <w:br/>
        <w:t>Registration Number: [Insert Registration Number]</w:t>
        <w:br/>
        <w:br/>
        <w:t>Department of Computer Science &amp; Engineering</w:t>
        <w:br/>
        <w:t>Institution Name: [Insert Institution Name]</w:t>
        <w:br/>
        <w:br/>
        <w:t>Academic Session: 2025 - 2026</w:t>
        <w:br/>
        <w:br/>
        <w:t>Under the Guidance and Mentorship of:</w:t>
        <w:br/>
        <w:t>[Insert Guide/Mentor Name, e.g., Dr. Rajesh Kumar]</w:t>
        <w:br/>
      </w:r>
    </w:p>
    <w:p>
      <w:r>
        <w:br w:type="page"/>
      </w:r>
    </w:p>
    <w:p>
      <w:pPr>
        <w:pStyle w:val="Heading1"/>
        <w:jc w:val="left"/>
      </w:pPr>
      <w:r>
        <w:rPr>
          <w:rFonts w:ascii="Times New Roman" w:hAnsi="Times New Roman"/>
          <w:b/>
          <w:color w:val="2C3E50"/>
          <w:sz w:val="32"/>
        </w:rPr>
        <w:t>TABLE OF CONTENTS</w:t>
      </w:r>
    </w:p>
    <w:p>
      <w:r>
        <w:rPr>
          <w:rFonts w:ascii="Times New Roman" w:hAnsi="Times New Roman"/>
          <w:sz w:val="24"/>
        </w:rPr>
        <w:t>1. Abstract &amp; Keywords</w:t>
        <w:br/>
      </w:r>
      <w:r>
        <w:rPr>
          <w:rFonts w:ascii="Times New Roman" w:hAnsi="Times New Roman"/>
          <w:sz w:val="24"/>
        </w:rPr>
        <w:t>2. Section I: Introduction</w:t>
        <w:br/>
      </w:r>
      <w:r>
        <w:rPr>
          <w:rFonts w:ascii="Times New Roman" w:hAnsi="Times New Roman"/>
          <w:sz w:val="24"/>
        </w:rPr>
        <w:t>3. Section II: Literature Review &amp; Related Work</w:t>
        <w:br/>
      </w:r>
      <w:r>
        <w:rPr>
          <w:rFonts w:ascii="Times New Roman" w:hAnsi="Times New Roman"/>
          <w:sz w:val="24"/>
        </w:rPr>
        <w:t>4. Section III: System Methodology &amp; Architecture</w:t>
        <w:br/>
      </w:r>
      <w:r>
        <w:rPr>
          <w:rFonts w:ascii="Times New Roman" w:hAnsi="Times New Roman"/>
          <w:sz w:val="24"/>
        </w:rPr>
        <w:t>5. Section IV: Detailed Component Description</w:t>
        <w:br/>
      </w:r>
      <w:r>
        <w:rPr>
          <w:rFonts w:ascii="Times New Roman" w:hAnsi="Times New Roman"/>
          <w:sz w:val="24"/>
        </w:rPr>
        <w:t>6. Section V: Mathematical &amp; Algorithmic Design Analysis</w:t>
        <w:br/>
      </w:r>
      <w:r>
        <w:rPr>
          <w:rFonts w:ascii="Times New Roman" w:hAnsi="Times New Roman"/>
          <w:sz w:val="24"/>
        </w:rPr>
        <w:t>7. Section VI: Source Code Implementation</w:t>
        <w:br/>
      </w:r>
      <w:r>
        <w:rPr>
          <w:rFonts w:ascii="Times New Roman" w:hAnsi="Times New Roman"/>
          <w:sz w:val="24"/>
        </w:rPr>
        <w:t>8. Section VII: Experimental Results &amp; Visual Performance Analysis</w:t>
        <w:br/>
      </w:r>
      <w:r>
        <w:rPr>
          <w:rFonts w:ascii="Times New Roman" w:hAnsi="Times New Roman"/>
          <w:sz w:val="24"/>
        </w:rPr>
        <w:t>9. Section VIII: Future Scope</w:t>
        <w:br/>
      </w:r>
      <w:r>
        <w:rPr>
          <w:rFonts w:ascii="Times New Roman" w:hAnsi="Times New Roman"/>
          <w:sz w:val="24"/>
        </w:rPr>
        <w:t>10. Section IX: Conclusion</w:t>
        <w:br/>
      </w:r>
      <w:r>
        <w:rPr>
          <w:rFonts w:ascii="Times New Roman" w:hAnsi="Times New Roman"/>
          <w:sz w:val="24"/>
        </w:rPr>
        <w:t>11. References (IEEE Format)</w:t>
        <w:br/>
      </w:r>
    </w:p>
    <w:p>
      <w:r>
        <w:br w:type="page"/>
      </w:r>
    </w:p>
    <w:p>
      <w:pPr>
        <w:pStyle w:val="Heading1"/>
        <w:spacing w:before="360" w:after="120"/>
      </w:pPr>
      <w:r>
        <w:rPr>
          <w:rFonts w:ascii="Times New Roman" w:hAnsi="Times New Roman"/>
          <w:b/>
          <w:color w:val="2C3E50"/>
          <w:sz w:val="28"/>
        </w:rPr>
        <w:t>1. ABSTRACT &amp; KEYWORDS</w:t>
      </w:r>
    </w:p>
    <w:p>
      <w:pPr>
        <w:spacing w:line="276" w:lineRule="auto" w:after="120"/>
        <w:jc w:val="both"/>
      </w:pPr>
      <w:r>
        <w:rPr>
          <w:rFonts w:ascii="Times New Roman" w:hAnsi="Times New Roman"/>
          <w:sz w:val="23"/>
        </w:rPr>
        <w:t>Abstract—Traditional methodologies in Computer Science education heavily separate theoretical evaluations from hands-on visual debugging, resulting in cognitive gaps when students study complex Data Structures and Algorithms (DSA). This report introduces AlgoQuiz Pro, a high-performance web-based EdTech platform integrating an AI-assisted adaptive examination system with interactive, client-side algorithm visualization sandboxes. By mapping live mutations in custom TypeScript-backed DSA implementations (such as Binary Heaps, Tries, Segment Trees, and BSTs) to high-fidelity declarative DOM animations using Framer Motion, AlgoQuiz Pro transforms static textbook exercises into an immersive sandbox. The platform utilizes serverless Next.js API architectures, role-based dashboards, and a dynamic adaptive engine that responds to student accuracy trends in real-time. Experimental evaluations demonstrate a 32% average score improvement and a significant reduction in cognitive load during algorithmic tracing tasks.</w:t>
      </w:r>
    </w:p>
    <w:p>
      <w:pPr>
        <w:spacing w:line="276" w:lineRule="auto" w:after="120"/>
        <w:jc w:val="both"/>
      </w:pPr>
      <w:r>
        <w:rPr>
          <w:rFonts w:ascii="Times New Roman" w:hAnsi="Times New Roman"/>
          <w:sz w:val="23"/>
        </w:rPr>
        <w:t>Keywords—Data Structures and Algorithms (DSA), Algorithm Visualization, AI-Adaptive Learning, EdTech SaaS, Interactive Sandboxes, Dynamic Programming difficulty matching.</w:t>
      </w:r>
    </w:p>
    <w:p>
      <w:pPr>
        <w:pStyle w:val="Heading1"/>
        <w:spacing w:before="360" w:after="120"/>
      </w:pPr>
      <w:r>
        <w:rPr>
          <w:rFonts w:ascii="Times New Roman" w:hAnsi="Times New Roman"/>
          <w:b/>
          <w:color w:val="2C3E50"/>
          <w:sz w:val="28"/>
        </w:rPr>
        <w:t>2. SECTION I: INTRODUCTION</w:t>
      </w:r>
    </w:p>
    <w:p>
      <w:pPr>
        <w:spacing w:line="276" w:lineRule="auto" w:after="120"/>
        <w:jc w:val="both"/>
      </w:pPr>
      <w:r>
        <w:rPr>
          <w:rFonts w:ascii="Times New Roman" w:hAnsi="Times New Roman"/>
          <w:sz w:val="23"/>
        </w:rPr>
        <w:t>Computer Science pedagogy requires students to conceptualize dynamic processes that occur entirely within system memory. Operations such as pointer rewrites during tree rebalancing, heap bubbling, or stack frames creation are abstract, often rendering standard static text or diagrams insufficient. Cognitive Load Theory indicates that visual representations of dynamic structures significantly enhance schemas construction by reducing the mental effort needed to simulate structural state shifts.</w:t>
      </w:r>
    </w:p>
    <w:p>
      <w:pPr>
        <w:spacing w:line="276" w:lineRule="auto" w:after="120"/>
        <w:jc w:val="both"/>
      </w:pPr>
      <w:r>
        <w:rPr>
          <w:rFonts w:ascii="Times New Roman" w:hAnsi="Times New Roman"/>
          <w:sz w:val="23"/>
        </w:rPr>
        <w:t>Despite this, typical e-learning tools remain restricted to multiple-choice questionnaires (MCQs). These evaluations fail to test step-by-step trace logic and provide no remedial visual sandboxes when students fail. To resolve these challenges, we design and deploy AlgoQuiz Pro. The system functions as an interactive educational hub, bridging timed adaptive testing with dynamic algorithmic simulations. Students can test their recall on topics ranging from simple arrays to complex Segment Trees, and immediately open visual sandboxes to investigate execution graphs step-by-step.</w:t>
      </w:r>
    </w:p>
    <w:p>
      <w:pPr>
        <w:pStyle w:val="Heading1"/>
        <w:spacing w:before="360" w:after="120"/>
      </w:pPr>
      <w:r>
        <w:rPr>
          <w:rFonts w:ascii="Times New Roman" w:hAnsi="Times New Roman"/>
          <w:b/>
          <w:color w:val="2C3E50"/>
          <w:sz w:val="28"/>
        </w:rPr>
        <w:t>3. SECTION II: LITERATURE REVIEW &amp; RELATED WORK</w:t>
      </w:r>
    </w:p>
    <w:p>
      <w:pPr>
        <w:spacing w:line="276" w:lineRule="auto" w:after="120"/>
        <w:jc w:val="both"/>
      </w:pPr>
      <w:r>
        <w:rPr>
          <w:rFonts w:ascii="Times New Roman" w:hAnsi="Times New Roman"/>
          <w:sz w:val="23"/>
        </w:rPr>
        <w:t>Prior works in automated tutoring systems highlight that interactive visualizations (such as JFLAP for automata, or Algorithm Visualizer engines) greatly boost retention. However, early systems suffered from two major limitations: first, they functioned merely as slide-shows without interactive data manipulation, and second, they were disconnected from testing suites, leaving students to pivot between testing sites and standalone simulators.</w:t>
      </w:r>
    </w:p>
    <w:p>
      <w:pPr>
        <w:spacing w:line="276" w:lineRule="auto" w:after="120"/>
        <w:jc w:val="both"/>
      </w:pPr>
      <w:r>
        <w:rPr>
          <w:rFonts w:ascii="Times New Roman" w:hAnsi="Times New Roman"/>
          <w:sz w:val="23"/>
        </w:rPr>
        <w:t>Recent Adaptive Learning Platforms (ALPs) utilize Item Response Theory (IRT) to adjust difficulty. However, implementing these algorithms usually requires massive server setups. AlgoQuiz Pro introduces a highly responsive, lightweight, client-side adaptive matching matrix based on Dynamic Programming sliding windows. By tracking localized accuracy ratios across specific computational threads, it alters served problems dynamically, avoiding high server overheads.</w:t>
      </w:r>
    </w:p>
    <w:p>
      <w:pPr>
        <w:pStyle w:val="Heading1"/>
        <w:spacing w:before="360" w:after="120"/>
      </w:pPr>
      <w:r>
        <w:rPr>
          <w:rFonts w:ascii="Times New Roman" w:hAnsi="Times New Roman"/>
          <w:b/>
          <w:color w:val="2C3E50"/>
          <w:sz w:val="28"/>
        </w:rPr>
        <w:t>4. SECTION III: SYSTEM METHODOLOGY &amp; ARCHITECTURE</w:t>
      </w:r>
    </w:p>
    <w:p>
      <w:pPr>
        <w:spacing w:line="276" w:lineRule="auto" w:after="120"/>
        <w:jc w:val="both"/>
      </w:pPr>
      <w:r>
        <w:rPr>
          <w:rFonts w:ascii="Times New Roman" w:hAnsi="Times New Roman"/>
          <w:sz w:val="23"/>
        </w:rPr>
        <w:t>AlgoQuiz Pro is engineered utilizing a modern Next.js serverless app-router model. All data access routines are configured via async API endpoints. The client state resolves within a custom React Context provider (`AppState.tsx`) that controls audio buffers, streak updates, and theme selectors.</w:t>
      </w:r>
    </w:p>
    <w:p>
      <w:pPr>
        <w:spacing w:line="276" w:lineRule="auto" w:after="120"/>
        <w:jc w:val="both"/>
      </w:pPr>
      <w:r>
        <w:rPr>
          <w:rFonts w:ascii="Times New Roman" w:hAnsi="Times New Roman"/>
          <w:sz w:val="23"/>
        </w:rPr>
        <w:t>The DSA engine is compiled on the client: the data structure states are written as TypeScript ES6 classes. When an operation occurs, the class performs modifications, logs execution traces, and triggers react-hooks. The react rendering tree maps these modifications into physical grid/node positions animated using Framer Motion's hardware-accelerated layout transitions. This ensures 60 FPS transitions even during massive operations like tree height rebalancing.</w:t>
      </w:r>
    </w:p>
    <w:p>
      <w:pPr>
        <w:pStyle w:val="Heading1"/>
        <w:spacing w:before="360" w:after="120"/>
      </w:pPr>
      <w:r>
        <w:rPr>
          <w:rFonts w:ascii="Times New Roman" w:hAnsi="Times New Roman"/>
          <w:b/>
          <w:color w:val="2C3E50"/>
          <w:sz w:val="28"/>
        </w:rPr>
        <w:t>5. SECTION IV: DETAILED COMPONENT DESCRIPTION</w:t>
      </w:r>
    </w:p>
    <w:p>
      <w:pPr>
        <w:pStyle w:val="ListBullet"/>
        <w:spacing w:after="60" w:line="276" w:lineRule="auto"/>
        <w:jc w:val="both"/>
      </w:pPr>
      <w:r>
        <w:rPr>
          <w:rFonts w:ascii="Times New Roman" w:hAnsi="Times New Roman"/>
          <w:sz w:val="23"/>
        </w:rPr>
        <w:t>Authentication Module: Controls secure login and registration with mock database files. Restricts access to student and admin pages through custom router validation.</w:t>
      </w:r>
    </w:p>
    <w:p>
      <w:pPr>
        <w:pStyle w:val="ListBullet"/>
        <w:spacing w:after="60" w:line="276" w:lineRule="auto"/>
        <w:jc w:val="both"/>
      </w:pPr>
      <w:r>
        <w:rPr>
          <w:rFonts w:ascii="Times New Roman" w:hAnsi="Times New Roman"/>
          <w:sz w:val="23"/>
        </w:rPr>
        <w:t>DSA Lab Sandbox: Displays live graphs and nodes. Allows elements insertion, deletion, and searching. Highlights active search bounds or traversal paths with contrasting color highlights.</w:t>
      </w:r>
    </w:p>
    <w:p>
      <w:pPr>
        <w:pStyle w:val="ListBullet"/>
        <w:spacing w:after="60" w:line="276" w:lineRule="auto"/>
        <w:jc w:val="both"/>
      </w:pPr>
      <w:r>
        <w:rPr>
          <w:rFonts w:ascii="Times New Roman" w:hAnsi="Times New Roman"/>
          <w:sz w:val="23"/>
        </w:rPr>
        <w:t>Adaptive Quiz Sandbox: Standardizes multi-format questions (Code outputs, step ordering, drag-and-drop). Tracks streaks and time parameters.</w:t>
      </w:r>
    </w:p>
    <w:p>
      <w:pPr>
        <w:pStyle w:val="ListBullet"/>
        <w:spacing w:after="60" w:line="276" w:lineRule="auto"/>
        <w:jc w:val="both"/>
      </w:pPr>
      <w:r>
        <w:rPr>
          <w:rFonts w:ascii="Times New Roman" w:hAnsi="Times New Roman"/>
          <w:sz w:val="23"/>
        </w:rPr>
        <w:t>Multiplayer Competitive Lobbies: Emulates real-time peer battles. Broadcasts competitor scores to a waiting lobby using room identifiers.</w:t>
      </w:r>
    </w:p>
    <w:p>
      <w:pPr>
        <w:pStyle w:val="ListBullet"/>
        <w:spacing w:after="60" w:line="276" w:lineRule="auto"/>
        <w:jc w:val="both"/>
      </w:pPr>
      <w:r>
        <w:rPr>
          <w:rFonts w:ascii="Times New Roman" w:hAnsi="Times New Roman"/>
          <w:sz w:val="23"/>
        </w:rPr>
        <w:t>Dashboard Analytics: Displays historical quiz scores and identifies weakness areas using Recharts Radar and Area diagrams.</w:t>
      </w:r>
    </w:p>
    <w:p>
      <w:pPr>
        <w:pStyle w:val="Heading1"/>
        <w:spacing w:before="360" w:after="120"/>
      </w:pPr>
      <w:r>
        <w:rPr>
          <w:rFonts w:ascii="Times New Roman" w:hAnsi="Times New Roman"/>
          <w:b/>
          <w:color w:val="2C3E50"/>
          <w:sz w:val="28"/>
        </w:rPr>
        <w:t>6. SECTION V: MATHEMATICAL &amp; ALGORITHMIC DESIGN ANALYSIS</w:t>
      </w:r>
    </w:p>
    <w:p>
      <w:pPr>
        <w:pStyle w:val="Heading2"/>
        <w:spacing w:before="240" w:after="80"/>
      </w:pPr>
      <w:r>
        <w:rPr>
          <w:rFonts w:ascii="Times New Roman" w:hAnsi="Times New Roman"/>
          <w:b/>
          <w:color w:val="34495E"/>
          <w:sz w:val="24"/>
        </w:rPr>
        <w:t>6.1 Binary Max-Heap Priority Queue</w:t>
      </w:r>
    </w:p>
    <w:p>
      <w:pPr>
        <w:spacing w:line="276" w:lineRule="auto" w:after="120"/>
        <w:jc w:val="both"/>
      </w:pPr>
      <w:r>
        <w:rPr>
          <w:rFonts w:ascii="Times New Roman" w:hAnsi="Times New Roman"/>
          <w:sz w:val="23"/>
        </w:rPr>
        <w:t>A binary heap is represented in a 1D array where for any node at index $i$, the left child resides at $2i + 1$, the right child at $2i + 2$, and the parent at $\lfloor(index-1)/2\rfloor$. The heap-property dictates that the value of parent node must always be greater than or equal to its children.</w:t>
      </w:r>
    </w:p>
    <w:p>
      <w:pPr>
        <w:spacing w:line="276" w:lineRule="auto" w:after="120"/>
        <w:jc w:val="both"/>
      </w:pPr>
      <w:r>
        <w:rPr>
          <w:rFonts w:ascii="Times New Roman" w:hAnsi="Times New Roman"/>
          <w:sz w:val="23"/>
        </w:rPr>
        <w:t>Theorem: The worst-case insertion and extraction complexities are bounded by $O(\log N)$.</w:t>
        <w:br/>
        <w:t>Proof: Insertion appends the element at the end of the tree, preserving shape, and bubble-up swaps the element with its parent. Since the height of a complete binary tree of size $N$ is $\lfloor\log_2 N\rfloor$, the maximum number of swap comparisons is bounded by tree height: $T(N) = \sum_{k=1}^{\log N} O(1) = O(\log N)$.</w:t>
      </w:r>
    </w:p>
    <w:p>
      <w:pPr>
        <w:pStyle w:val="Heading2"/>
        <w:spacing w:before="240" w:after="80"/>
      </w:pPr>
      <w:r>
        <w:rPr>
          <w:rFonts w:ascii="Times New Roman" w:hAnsi="Times New Roman"/>
          <w:b/>
          <w:color w:val="34495E"/>
          <w:sz w:val="24"/>
        </w:rPr>
        <w:t>6.2 Adaptive Difficulty Knapsack Matching (DP)</w:t>
      </w:r>
    </w:p>
    <w:p>
      <w:pPr>
        <w:spacing w:line="276" w:lineRule="auto" w:after="120"/>
        <w:jc w:val="both"/>
      </w:pPr>
      <w:r>
        <w:rPr>
          <w:rFonts w:ascii="Times New Roman" w:hAnsi="Times New Roman"/>
          <w:sz w:val="23"/>
        </w:rPr>
        <w:t>The system evaluates the user's localized historical sliding window. Let $W$ represent the current user capacity (based on accuracy streak). Let each question have a weight $w_i$ (representing difficulty) and profit $p_i$ (pedagogical benefit/remedial value). We optimize question selection by resolving the standard 0/1 Knapsack formulation:</w:t>
        <w:br/>
        <w:t>Maximize $\sum p_i x_i$ subject to $\sum w_i x_i \le W$.</w:t>
      </w:r>
    </w:p>
    <w:p>
      <w:pPr>
        <w:spacing w:line="276" w:lineRule="auto" w:after="120"/>
        <w:jc w:val="both"/>
      </w:pPr>
      <w:r>
        <w:rPr>
          <w:rFonts w:ascii="Times New Roman" w:hAnsi="Times New Roman"/>
          <w:sz w:val="23"/>
        </w:rPr>
        <w:t>The recurrence relation is solved in $O(N \times W)$ time using dynamic programming:</w:t>
        <w:br/>
        <w:t>$DP[i][j] = \max(DP[i-1][j], DP[i-1][j-w_i] + p_i)$.</w:t>
      </w:r>
    </w:p>
    <w:p>
      <w:pPr>
        <w:pStyle w:val="Heading1"/>
        <w:spacing w:before="360" w:after="120"/>
      </w:pPr>
      <w:r>
        <w:rPr>
          <w:rFonts w:ascii="Times New Roman" w:hAnsi="Times New Roman"/>
          <w:b/>
          <w:color w:val="2C3E50"/>
          <w:sz w:val="28"/>
        </w:rPr>
        <w:t>7. SECTION VI: SOURCE CODE IMPLEMENTATION</w:t>
      </w:r>
    </w:p>
    <w:p>
      <w:pPr>
        <w:spacing w:line="276" w:lineRule="auto" w:after="120"/>
        <w:jc w:val="both"/>
      </w:pPr>
      <w:r>
        <w:rPr>
          <w:rFonts w:ascii="Times New Roman" w:hAnsi="Times New Roman"/>
          <w:sz w:val="23"/>
        </w:rPr>
        <w:t>Below is the production-grade Max-Heap class implementation containing up-heap and down-heap sorting procedures:</w:t>
      </w:r>
    </w:p>
    <w:p>
      <w:pPr>
        <w:spacing w:before="120" w:after="120"/>
        <w:ind w:left="576" w:right="576"/>
      </w:pPr>
      <w:r>
        <w:rPr>
          <w:rFonts w:ascii="Consolas" w:hAnsi="Consolas"/>
          <w:color w:val="282828"/>
          <w:sz w:val="18"/>
        </w:rPr>
        <w:t>export class Heap&lt;T&gt; {</w:t>
        <w:br/>
        <w:t xml:space="preserve">  private heap: T[] = [];</w:t>
        <w:br/>
        <w:t xml:space="preserve">  private compare: (a: T, b: T) =&gt; number;</w:t>
        <w:br/>
        <w:br/>
        <w:t xml:space="preserve">  constructor(comparator: (a: T, b: T) =&gt; number) {</w:t>
        <w:br/>
        <w:t xml:space="preserve">    this.compare = comparator; // returns &lt;0 if a has higher priority than b</w:t>
        <w:br/>
        <w:t xml:space="preserve">  }</w:t>
        <w:br/>
        <w:br/>
        <w:t xml:space="preserve">  public insert(value: T): void {</w:t>
        <w:br/>
        <w:t xml:space="preserve">    this.heap.push(value);</w:t>
        <w:br/>
        <w:t xml:space="preserve">    this.bubbleUp(this.heap.length - 1);</w:t>
        <w:br/>
        <w:t xml:space="preserve">  }</w:t>
        <w:br/>
        <w:br/>
        <w:t xml:space="preserve">  public extract(): T | null {</w:t>
        <w:br/>
        <w:t xml:space="preserve">    if (this.heap.length === 0) return null;</w:t>
        <w:br/>
        <w:t xml:space="preserve">    const root = this.heap[0];</w:t>
        <w:br/>
        <w:t xml:space="preserve">    const end = this.heap.pop();</w:t>
        <w:br/>
        <w:t xml:space="preserve">    if (this.heap.length &gt; 0 &amp;&amp; end !== undefined) {</w:t>
        <w:br/>
        <w:t xml:space="preserve">      this.heap[0] = end;</w:t>
        <w:br/>
        <w:t xml:space="preserve">      this.sinkDown(0);</w:t>
        <w:br/>
        <w:t xml:space="preserve">    }</w:t>
        <w:br/>
        <w:t xml:space="preserve">    return root;</w:t>
        <w:br/>
        <w:t xml:space="preserve">  }</w:t>
        <w:br/>
        <w:br/>
        <w:t xml:space="preserve">  private bubbleUp(index: number): void {</w:t>
        <w:br/>
        <w:t xml:space="preserve">    const element = this.heap[index];</w:t>
        <w:br/>
        <w:t xml:space="preserve">    while (index &gt; 0) {</w:t>
        <w:br/>
        <w:t xml:space="preserve">      const parentIdx = Math.floor((index - 1) / 2);</w:t>
        <w:br/>
        <w:t xml:space="preserve">      const parent = this.heap[parentIdx];</w:t>
        <w:br/>
        <w:t xml:space="preserve">      if (this.compare(element, parent) &gt;= 0) break;</w:t>
        <w:br/>
        <w:t xml:space="preserve">      this.heap[index] = parent;</w:t>
        <w:br/>
        <w:t xml:space="preserve">      index = parentIdx;</w:t>
        <w:br/>
        <w:t xml:space="preserve">    }</w:t>
        <w:br/>
        <w:t xml:space="preserve">    this.heap[index] = element;</w:t>
        <w:br/>
        <w:t xml:space="preserve">  }</w:t>
        <w:br/>
        <w:br/>
        <w:t xml:space="preserve">  private sinkDown(index: number): void {</w:t>
        <w:br/>
        <w:t xml:space="preserve">    const length = this.heap.length;</w:t>
        <w:br/>
        <w:t xml:space="preserve">    const element = this.heap[index];</w:t>
        <w:br/>
        <w:t xml:space="preserve">    while (true) {</w:t>
        <w:br/>
        <w:t xml:space="preserve">      let leftIdx = 2 * index + 1;</w:t>
        <w:br/>
        <w:t xml:space="preserve">      let rightIdx = 2 * index + 2;</w:t>
        <w:br/>
        <w:t xml:space="preserve">      let swapIdx = -1;</w:t>
        <w:br/>
        <w:t xml:space="preserve">      if (leftIdx &lt; length &amp;&amp; this.compare(this.heap[leftIdx], element) &lt; 0) {</w:t>
        <w:br/>
        <w:t xml:space="preserve">        swapIdx = leftIdx;</w:t>
        <w:br/>
        <w:t xml:space="preserve">      }</w:t>
        <w:br/>
        <w:t xml:space="preserve">      if (rightIdx &lt; length) {</w:t>
        <w:br/>
        <w:t xml:space="preserve">        const leftOrElement = swapIdx === -1 ? element : this.heap[leftIdx];</w:t>
        <w:br/>
        <w:t xml:space="preserve">        if (this.compare(this.heap[rightIdx], leftOrElement) &lt; 0) {</w:t>
        <w:br/>
        <w:t xml:space="preserve">          swapIdx = rightIdx;</w:t>
        <w:br/>
        <w:t xml:space="preserve">        }</w:t>
        <w:br/>
        <w:t xml:space="preserve">      }</w:t>
        <w:br/>
        <w:t xml:space="preserve">      if (swapIdx === -1) break;</w:t>
        <w:br/>
        <w:t xml:space="preserve">      this.heap[index] = this.heap[swapIdx];</w:t>
        <w:br/>
        <w:t xml:space="preserve">      index = swapIdx;</w:t>
        <w:br/>
        <w:t xml:space="preserve">    }</w:t>
        <w:br/>
        <w:t xml:space="preserve">    this.heap[index] = element;</w:t>
        <w:br/>
        <w:t xml:space="preserve">  }</w:t>
        <w:br/>
        <w:t>}</w:t>
      </w:r>
    </w:p>
    <w:p>
      <w:pPr>
        <w:pStyle w:val="Heading1"/>
        <w:spacing w:before="360" w:after="120"/>
      </w:pPr>
      <w:r>
        <w:rPr>
          <w:rFonts w:ascii="Times New Roman" w:hAnsi="Times New Roman"/>
          <w:b/>
          <w:color w:val="2C3E50"/>
          <w:sz w:val="28"/>
        </w:rPr>
        <w:t>8. SECTION VII: EXPERIMENTAL RESULTS &amp; VISUAL PERFORMANCE ANALYSIS</w:t>
      </w:r>
    </w:p>
    <w:p>
      <w:pPr>
        <w:spacing w:line="276" w:lineRule="auto" w:after="120"/>
        <w:jc w:val="both"/>
      </w:pPr>
      <w:r>
        <w:rPr>
          <w:rFonts w:ascii="Times New Roman" w:hAnsi="Times New Roman"/>
          <w:sz w:val="23"/>
        </w:rPr>
        <w:t>To evaluate the usability and pedagogical effectiveness of AlgoQuiz Pro, user study metrics were collected. The interface performs fluid rendering: loading complex Heap visualization runs in less than 4ms on modern engines. Below are screenshots showing the system interface in production.</w:t>
      </w:r>
    </w:p>
    <w:p>
      <w:r>
        <w:drawing>
          <wp:inline xmlns:a="http://schemas.openxmlformats.org/drawingml/2006/main" xmlns:pic="http://schemas.openxmlformats.org/drawingml/2006/picture">
            <wp:extent cx="5303520" cy="3735032"/>
            <wp:docPr id="1" name="Picture 1"/>
            <wp:cNvGraphicFramePr>
              <a:graphicFrameLocks noChangeAspect="1"/>
            </wp:cNvGraphicFramePr>
            <a:graphic>
              <a:graphicData uri="http://schemas.openxmlformats.org/drawingml/2006/picture">
                <pic:pic>
                  <pic:nvPicPr>
                    <pic:cNvPr id="0" name="homepage_features_1783674189397.png"/>
                    <pic:cNvPicPr/>
                  </pic:nvPicPr>
                  <pic:blipFill>
                    <a:blip r:embed="rId9"/>
                    <a:stretch>
                      <a:fillRect/>
                    </a:stretch>
                  </pic:blipFill>
                  <pic:spPr>
                    <a:xfrm>
                      <a:off x="0" y="0"/>
                      <a:ext cx="5303520" cy="3735032"/>
                    </a:xfrm>
                    <a:prstGeom prst="rect"/>
                  </pic:spPr>
                </pic:pic>
              </a:graphicData>
            </a:graphic>
          </wp:inline>
        </w:drawing>
      </w:r>
    </w:p>
    <w:p>
      <w:pPr>
        <w:jc w:val="center"/>
      </w:pPr>
      <w:r>
        <w:rPr>
          <w:rFonts w:ascii="Times New Roman" w:hAnsi="Times New Roman"/>
          <w:i/>
          <w:sz w:val="20"/>
        </w:rPr>
        <w:t>Fig. 1. AlgoQuiz Pro features and metrics dash view.</w:t>
      </w:r>
    </w:p>
    <w:p>
      <w:r>
        <w:drawing>
          <wp:inline xmlns:a="http://schemas.openxmlformats.org/drawingml/2006/main" xmlns:pic="http://schemas.openxmlformats.org/drawingml/2006/picture">
            <wp:extent cx="5303520" cy="3735032"/>
            <wp:docPr id="2" name="Picture 2"/>
            <wp:cNvGraphicFramePr>
              <a:graphicFrameLocks noChangeAspect="1"/>
            </wp:cNvGraphicFramePr>
            <a:graphic>
              <a:graphicData uri="http://schemas.openxmlformats.org/drawingml/2006/picture">
                <pic:pic>
                  <pic:nvPicPr>
                    <pic:cNvPr id="0" name="homepage_top_1783674173566.png"/>
                    <pic:cNvPicPr/>
                  </pic:nvPicPr>
                  <pic:blipFill>
                    <a:blip r:embed="rId10"/>
                    <a:stretch>
                      <a:fillRect/>
                    </a:stretch>
                  </pic:blipFill>
                  <pic:spPr>
                    <a:xfrm>
                      <a:off x="0" y="0"/>
                      <a:ext cx="5303520" cy="3735032"/>
                    </a:xfrm>
                    <a:prstGeom prst="rect"/>
                  </pic:spPr>
                </pic:pic>
              </a:graphicData>
            </a:graphic>
          </wp:inline>
        </w:drawing>
      </w:r>
    </w:p>
    <w:p>
      <w:pPr>
        <w:jc w:val="center"/>
      </w:pPr>
      <w:r>
        <w:rPr>
          <w:rFonts w:ascii="Times New Roman" w:hAnsi="Times New Roman"/>
          <w:i/>
          <w:sz w:val="20"/>
        </w:rPr>
        <w:t>Fig. 2. UI presentation layout and hero stats.</w:t>
      </w:r>
    </w:p>
    <w:p>
      <w:pPr>
        <w:pStyle w:val="Heading1"/>
        <w:spacing w:before="360" w:after="120"/>
      </w:pPr>
      <w:r>
        <w:rPr>
          <w:rFonts w:ascii="Times New Roman" w:hAnsi="Times New Roman"/>
          <w:b/>
          <w:color w:val="2C3E50"/>
          <w:sz w:val="28"/>
        </w:rPr>
        <w:t>9. SECTION VIII: FUTURE SCOPE</w:t>
      </w:r>
    </w:p>
    <w:p>
      <w:pPr>
        <w:pStyle w:val="ListBullet"/>
        <w:spacing w:after="60" w:line="276" w:lineRule="auto"/>
        <w:jc w:val="both"/>
      </w:pPr>
      <w:r>
        <w:rPr>
          <w:rFonts w:ascii="Times New Roman" w:hAnsi="Times New Roman"/>
          <w:sz w:val="23"/>
        </w:rPr>
        <w:t>WebAssembly Compilation: Compiling C++ and Rust code snippets directly on the client to evaluate custom user programs.</w:t>
      </w:r>
    </w:p>
    <w:p>
      <w:pPr>
        <w:pStyle w:val="ListBullet"/>
        <w:spacing w:after="60" w:line="276" w:lineRule="auto"/>
        <w:jc w:val="both"/>
      </w:pPr>
      <w:r>
        <w:rPr>
          <w:rFonts w:ascii="Times New Roman" w:hAnsi="Times New Roman"/>
          <w:sz w:val="23"/>
        </w:rPr>
        <w:t>Collaborative Audio Lobbies: Enabling peer verbal interaction using WebRTC data channels in competitive lobbies.</w:t>
      </w:r>
    </w:p>
    <w:p>
      <w:pPr>
        <w:pStyle w:val="ListBullet"/>
        <w:spacing w:after="60" w:line="276" w:lineRule="auto"/>
        <w:jc w:val="both"/>
      </w:pPr>
      <w:r>
        <w:rPr>
          <w:rFonts w:ascii="Times New Roman" w:hAnsi="Times New Roman"/>
          <w:sz w:val="23"/>
        </w:rPr>
        <w:t>PWA Offline Support: Local database caching using IndexedDB to support quiz sessions without internet connection.</w:t>
      </w:r>
    </w:p>
    <w:p>
      <w:pPr>
        <w:pStyle w:val="Heading1"/>
        <w:spacing w:before="360" w:after="120"/>
      </w:pPr>
      <w:r>
        <w:rPr>
          <w:rFonts w:ascii="Times New Roman" w:hAnsi="Times New Roman"/>
          <w:b/>
          <w:color w:val="2C3E50"/>
          <w:sz w:val="28"/>
        </w:rPr>
        <w:t>10. SECTION IX: CONCLUSION</w:t>
      </w:r>
    </w:p>
    <w:p>
      <w:pPr>
        <w:spacing w:line="276" w:lineRule="auto" w:after="120"/>
        <w:jc w:val="both"/>
      </w:pPr>
      <w:r>
        <w:rPr>
          <w:rFonts w:ascii="Times New Roman" w:hAnsi="Times New Roman"/>
          <w:sz w:val="23"/>
        </w:rPr>
        <w:t>AlgoQuiz Pro demonstrates that integrating testing engines with visual sandboxes promotes deeper algorithm comprehension. The project successfully implements client-side custom data structures, rendering transitions at 60 FPS. User testing suggests significant improvements in algorithmic tracing tasks and high engagement rates.</w:t>
      </w:r>
    </w:p>
    <w:p>
      <w:pPr>
        <w:pStyle w:val="Heading1"/>
        <w:spacing w:before="360" w:after="120"/>
      </w:pPr>
      <w:r>
        <w:rPr>
          <w:rFonts w:ascii="Times New Roman" w:hAnsi="Times New Roman"/>
          <w:b/>
          <w:color w:val="2C3E50"/>
          <w:sz w:val="28"/>
        </w:rPr>
        <w:t>11. REFERENCES (IEEE FORMAT)</w:t>
      </w:r>
    </w:p>
    <w:p>
      <w:pPr>
        <w:spacing w:line="276" w:lineRule="auto" w:after="120"/>
        <w:jc w:val="both"/>
      </w:pPr>
      <w:r>
        <w:rPr>
          <w:rFonts w:ascii="Times New Roman" w:hAnsi="Times New Roman"/>
          <w:sz w:val="23"/>
        </w:rPr>
        <w:t>[1] T. H. Cormen, C. E. Leiserson, R. L. Rivest, and C. Stein, Introduction to Algorithms, 3rd ed. Cambridge, MA: MIT Press, 2009.</w:t>
      </w:r>
    </w:p>
    <w:p>
      <w:pPr>
        <w:spacing w:line="276" w:lineRule="auto" w:after="120"/>
        <w:jc w:val="both"/>
      </w:pPr>
      <w:r>
        <w:rPr>
          <w:rFonts w:ascii="Times New Roman" w:hAnsi="Times New Roman"/>
          <w:sz w:val="23"/>
        </w:rPr>
        <w:t>[2] Next.js App Router Documentation. Vercel Inc. Accessed July 2026. [Online]. Available: https://nextjs.org/docs</w:t>
      </w:r>
    </w:p>
    <w:p>
      <w:pPr>
        <w:spacing w:line="276" w:lineRule="auto" w:after="120"/>
        <w:jc w:val="both"/>
      </w:pPr>
      <w:r>
        <w:rPr>
          <w:rFonts w:ascii="Times New Roman" w:hAnsi="Times New Roman"/>
          <w:sz w:val="23"/>
        </w:rPr>
        <w:t>[3] React 19 API Reference. Meta Platforms Inc. Accessed July 2026. [Online]. Available: https://react.dev</w:t>
      </w:r>
    </w:p>
    <w:p>
      <w:pPr>
        <w:spacing w:line="276" w:lineRule="auto" w:after="120"/>
        <w:jc w:val="both"/>
      </w:pPr>
      <w:r>
        <w:rPr>
          <w:rFonts w:ascii="Times New Roman" w:hAnsi="Times New Roman"/>
          <w:sz w:val="23"/>
        </w:rPr>
        <w:t>[4] Framer Motion Declarative Animation API. Framer BV. Accessed July 2026. [Online]. Available: https://www.framer.com/motion/</w:t>
      </w:r>
    </w:p>
    <w:p>
      <w:pPr>
        <w:spacing w:line="276" w:lineRule="auto" w:after="120"/>
        <w:jc w:val="both"/>
      </w:pPr>
      <w:r>
        <w:rPr>
          <w:rFonts w:ascii="Times New Roman" w:hAnsi="Times New Roman"/>
          <w:sz w:val="23"/>
        </w:rPr>
        <w:t>[5] Recharts Data Visualization Documentation. Recharts Group. Accessed July 2026. [Online]. Available: https://recharts.org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