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pPr>
        <w:jc w:val="center"/>
      </w:pPr>
      <w:r>
        <w:rPr>
          <w:b/>
          <w:color w:val="1496A5"/>
          <w:sz w:val="28"/>
        </w:rPr>
        <w:t>INDEPENDENT PROJECT REPORT</w:t>
      </w:r>
    </w:p>
    <w:p>
      <w:pPr>
        <w:pStyle w:val="Title"/>
        <w:jc w:val="center"/>
      </w:pPr>
      <w:r>
        <w:t>Design and Deployment of a Secure Notes Application</w:t>
        <w:br/>
        <w:t>with DevSecOps and GitOps</w:t>
      </w:r>
    </w:p>
    <w:p>
      <w:pPr>
        <w:pStyle w:val="Subtitle"/>
        <w:jc w:val="center"/>
      </w:pPr>
      <w:r>
        <w:t>From a local application to a continuously delivered Kubernetes service</w:t>
      </w:r>
    </w:p>
    <w:p>
      <w:r/>
    </w:p>
    <w:p>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464"/>
            <w:shd w:fill="1F4E79"/>
            <w:vAlign w:val="center"/>
            <w:tcMar>
              <w:top w:w="90" w:type="dxa"/>
              <w:start w:w="100" w:type="dxa"/>
              <w:bottom w:w="90" w:type="dxa"/>
              <w:end w:w="100" w:type="dxa"/>
            </w:tcMar>
          </w:tcPr>
          <w:p>
            <w:r>
              <w:rPr>
                <w:b/>
                <w:color w:val="FFFFFF"/>
                <w:sz w:val="22"/>
              </w:rPr>
              <w:t>Project</w:t>
            </w:r>
          </w:p>
        </w:tc>
        <w:tc>
          <w:tcPr>
            <w:tcW w:type="dxa" w:w="4464"/>
            <w:shd w:fill="1F4E79"/>
            <w:vAlign w:val="center"/>
            <w:tcMar>
              <w:top w:w="90" w:type="dxa"/>
              <w:start w:w="100" w:type="dxa"/>
              <w:bottom w:w="90" w:type="dxa"/>
              <w:end w:w="100" w:type="dxa"/>
            </w:tcMar>
          </w:tcPr>
          <w:p>
            <w:r>
              <w:rPr>
                <w:b/>
                <w:color w:val="FFFFFF"/>
                <w:sz w:val="22"/>
              </w:rPr>
              <w:t>Author</w:t>
            </w:r>
          </w:p>
        </w:tc>
      </w:tr>
      <w:tr>
        <w:tc>
          <w:tcPr>
            <w:tcW w:type="dxa" w:w="4464"/>
            <w:vAlign w:val="center"/>
            <w:tcMar>
              <w:top w:w="90" w:type="dxa"/>
              <w:start w:w="100" w:type="dxa"/>
              <w:bottom w:w="90" w:type="dxa"/>
              <w:end w:w="100" w:type="dxa"/>
            </w:tcMar>
            <w:shd w:fill="F4F8FB"/>
          </w:tcPr>
          <w:p>
            <w:pPr>
              <w:spacing w:after="20"/>
              <w:jc w:val="left"/>
            </w:pPr>
            <w:r>
              <w:rPr>
                <w:rFonts w:ascii="Times New Roman" w:hAnsi="Times New Roman"/>
                <w:sz w:val="22"/>
              </w:rPr>
              <w:t>Secure Notes application and delivery platform</w:t>
            </w:r>
          </w:p>
        </w:tc>
        <w:tc>
          <w:tcPr>
            <w:tcW w:type="dxa" w:w="4464"/>
            <w:vAlign w:val="center"/>
            <w:tcMar>
              <w:top w:w="90" w:type="dxa"/>
              <w:start w:w="100" w:type="dxa"/>
              <w:bottom w:w="90" w:type="dxa"/>
              <w:end w:w="100" w:type="dxa"/>
            </w:tcMar>
            <w:shd w:fill="F4F8FB"/>
          </w:tcPr>
          <w:p>
            <w:pPr>
              <w:spacing w:after="20"/>
              <w:jc w:val="left"/>
            </w:pPr>
            <w:r>
              <w:rPr>
                <w:rFonts w:ascii="Times New Roman" w:hAnsi="Times New Roman"/>
                <w:sz w:val="22"/>
              </w:rPr>
              <w:t>Anas Bougraine</w:t>
            </w:r>
          </w:p>
        </w:tc>
      </w:tr>
    </w:tbl>
    <w:p>
      <w:pPr>
        <w:spacing w:after="20"/>
      </w:pPr>
    </w:p>
    <w:p>
      <w:pPr>
        <w:jc w:val="center"/>
      </w:pPr>
      <w:r>
        <w:t>Independent technical project</w:t>
      </w:r>
    </w:p>
    <w:p>
      <w:pPr>
        <w:jc w:val="center"/>
      </w:pPr>
      <w:r>
        <w:rPr>
          <w:color w:val="5B6573"/>
        </w:rPr>
        <w:t>October 2026</w:t>
      </w:r>
    </w:p>
    <w:p>
      <w:pPr>
        <w:pStyle w:val="CaptionSmall"/>
        <w:jc w:val="center"/>
      </w:pPr>
      <w:r>
        <w:t>Prepared from the project repository, the supplied conversation archive, and the implementation evidence shared during the work. Secrets and access tokens are intentionally omitted.</w:t>
      </w:r>
    </w:p>
    <w:p>
      <w:r>
        <w:br w:type="page"/>
      </w:r>
    </w:p>
    <w:p>
      <w:pPr>
        <w:pStyle w:val="Heading1"/>
      </w:pPr>
      <w:r>
        <w:t>Acknowledgements</w:t>
      </w:r>
    </w:p>
    <w:p>
      <w:r>
        <w:t>I would like to thank the people who supported me while I learned and built this project. The work grew through practical experimentation: making a small application, running it locally, containerising it, and gradually connecting it to automated delivery and a virtual Kubernetes cluster. The questions, failed attempts, and follow-up checks were all part of the learning process.</w:t>
      </w:r>
    </w:p>
    <w:p>
      <w:r>
        <w:t>I also acknowledge the maintainers of the open-source projects and documentation referenced in this report. Their tools and guidance made it possible to assemble a realistic learning environment without claiming that it is a production platform.</w:t>
      </w:r>
    </w:p>
    <w:p>
      <w:pPr>
        <w:pStyle w:val="Heading1"/>
      </w:pPr>
      <w:r>
        <w:t>Abstract</w:t>
      </w:r>
    </w:p>
    <w:p>
      <w:r>
        <w:t>This report documents the design, implementation, and validation of Secure Notes, a small web application used to learn the complete path from application code to Kubernetes deployment. The application provides account registration, login, and private notes. Its frontend is written in HTML, CSS, and JavaScript; its backend is split into Python FastAPI authentication and notes services; PostgreSQL stores account and note data. Docker Compose provides the first repeatable local environment. GitLab CI builds and checks container images, publishes them to Docker Hub, and updates Helm image references. Argo CD watches a private GitLab.com repository and reconciles a Helm release onto a kubeadm cluster running in VMware Ubuntu virtual machines.</w:t>
      </w:r>
    </w:p>
    <w:p>
      <w:r>
        <w:t>The work proceeded by solving concrete integration failures. These included local API port and CORS mismatches, Python dependency and database configuration issues, Docker-in-Docker and registry authentication errors, a private repository access denial in Argo CD, missing Kubernetes storage provisioning, unhealthy service startup, and a missing ingress controller. The final observed lab state had both Kubernetes nodes Ready; application and database pods Ready; PostgreSQL claims Bound through local-path storage; Argo CD reporting the application Synced; and Traefik exposing the application through NodePort 30080 on the VMs’ private addresses. Browser sign-up and login were exercised successfully.</w:t>
      </w:r>
    </w:p>
    <w:p>
      <w:r>
        <w:t>The report distinguishes implemented and observed results from exploratory work. A MiniStack/Terraform path and an earlier Minikube/Argo CD path informed the learning process, but neither is represented as the production of the final VMware lab. The result is a working educational delivery chain, not a highly available or internet-facing production service. The final endpoint is limited to network paths that can route to the VM addresses, and the database uses node-local development storage.</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9000"/>
            <w:shd w:fill="1F4E79"/>
            <w:vAlign w:val="center"/>
            <w:tcMar>
              <w:top w:w="90" w:type="dxa"/>
              <w:start w:w="100" w:type="dxa"/>
              <w:bottom w:w="90" w:type="dxa"/>
              <w:end w:w="100" w:type="dxa"/>
            </w:tcMar>
          </w:tcPr>
          <w:p>
            <w:r>
              <w:rPr>
                <w:b/>
                <w:color w:val="FFFFFF"/>
                <w:sz w:val="20"/>
              </w:rPr>
              <w:t>Keywords</w:t>
            </w:r>
          </w:p>
        </w:tc>
        <w:tc>
          <w:tcPr>
            <w:tcW w:type="dxa" w:w="4658"/>
            <w:shd w:fill="1F4E79"/>
            <w:vAlign w:val="center"/>
            <w:tcMar>
              <w:top w:w="90" w:type="dxa"/>
              <w:start w:w="100" w:type="dxa"/>
              <w:bottom w:w="90" w:type="dxa"/>
              <w:end w:w="100" w:type="dxa"/>
            </w:tcMar>
          </w:tcPr>
          <w:p>
            <w:r>
              <w:rPr>
                <w:b/>
                <w:color w:val="FFFFFF"/>
                <w:sz w:val="20"/>
              </w:rPr>
            </w:r>
          </w:p>
        </w:tc>
      </w:tr>
      <w:tr>
        <w:tc>
          <w:tcPr>
            <w:tcW w:type="dxa" w:w="9000"/>
            <w:vAlign w:val="center"/>
            <w:tcMar>
              <w:top w:w="90" w:type="dxa"/>
              <w:start w:w="100" w:type="dxa"/>
              <w:bottom w:w="90" w:type="dxa"/>
              <w:end w:w="100" w:type="dxa"/>
            </w:tcMar>
            <w:shd w:fill="F4F8FB"/>
          </w:tcPr>
          <w:p>
            <w:pPr>
              <w:spacing w:after="20"/>
              <w:jc w:val="left"/>
            </w:pPr>
            <w:r>
              <w:rPr>
                <w:rFonts w:ascii="Times New Roman" w:hAnsi="Times New Roman"/>
                <w:sz w:val="20"/>
              </w:rPr>
              <w:t>Secure Notes, FastAPI, PostgreSQL, Docker, GitLab CI/CD, Docker Hub, Helm, Argo CD, Kubernetes, Traefik, Ansible, VMware, DevSecOps, GitOps</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20"/>
              </w:rPr>
            </w:r>
          </w:p>
        </w:tc>
      </w:tr>
    </w:tbl>
    <w:p>
      <w:pPr>
        <w:spacing w:after="20"/>
      </w:pPr>
    </w:p>
    <w:p>
      <w:pPr>
        <w:pStyle w:val="Heading1"/>
      </w:pPr>
      <w:r>
        <w:t>How to read this report</w:t>
      </w:r>
    </w:p>
    <w:p>
      <w:r>
        <w:t>Chapter 1 presents the project context and the choices made as the work evolved. Chapter 2 translates the application and delivery goals into requirements. Chapter 3 describes the architecture and the paths followed by source code, images, manifests, and runtime traffic. Chapter 4 records implementation, incidents, verification, and the limits of the result. The annexes provide sanitised examples, repeatable commands, and evidence checklists. Configuration fragments are illustrative: live credentials, private tokens, and personal passwords are never reproduced.</w:t>
      </w:r>
    </w:p>
    <w:p>
      <w:pPr>
        <w:pStyle w:val="Heading1"/>
      </w:pPr>
      <w:r>
        <w:t>Contents</w:t>
      </w:r>
    </w:p>
    <w:p>
      <w:r>
        <w:t>The contents below is a navigation list by chapter and section. In Word, use the Navigation Pane to jump to a heading. The electronic document retains Word heading styles for updating a page-numbered table of contents if the text is later revised.</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1872"/>
            <w:shd w:fill="1F4E79"/>
            <w:vAlign w:val="center"/>
            <w:tcMar>
              <w:top w:w="90" w:type="dxa"/>
              <w:start w:w="100" w:type="dxa"/>
              <w:bottom w:w="90" w:type="dxa"/>
              <w:end w:w="100" w:type="dxa"/>
            </w:tcMar>
          </w:tcPr>
          <w:p>
            <w:r>
              <w:rPr>
                <w:b/>
                <w:color w:val="FFFFFF"/>
                <w:sz w:val="20"/>
              </w:rPr>
              <w:t>Part</w:t>
            </w:r>
          </w:p>
        </w:tc>
        <w:tc>
          <w:tcPr>
            <w:tcW w:type="dxa" w:w="7200"/>
            <w:shd w:fill="1F4E79"/>
            <w:vAlign w:val="center"/>
            <w:tcMar>
              <w:top w:w="90" w:type="dxa"/>
              <w:start w:w="100" w:type="dxa"/>
              <w:bottom w:w="90" w:type="dxa"/>
              <w:end w:w="100" w:type="dxa"/>
            </w:tcMar>
          </w:tcPr>
          <w:p>
            <w:r>
              <w:rPr>
                <w:b/>
                <w:color w:val="FFFFFF"/>
                <w:sz w:val="20"/>
              </w:rPr>
              <w:t>Coverage</w:t>
            </w:r>
          </w:p>
        </w:tc>
      </w:tr>
      <w:tr>
        <w:tc>
          <w:tcPr>
            <w:tcW w:type="dxa" w:w="1872"/>
            <w:vAlign w:val="center"/>
            <w:tcMar>
              <w:top w:w="90" w:type="dxa"/>
              <w:start w:w="100" w:type="dxa"/>
              <w:bottom w:w="90" w:type="dxa"/>
              <w:end w:w="100" w:type="dxa"/>
            </w:tcMar>
            <w:shd w:fill="F4F8FB"/>
          </w:tcPr>
          <w:p>
            <w:pPr>
              <w:spacing w:after="20"/>
              <w:jc w:val="left"/>
            </w:pPr>
            <w:r>
              <w:rPr>
                <w:rFonts w:ascii="Times New Roman" w:hAnsi="Times New Roman"/>
                <w:sz w:val="20"/>
              </w:rPr>
              <w:t>Front matter</w:t>
            </w:r>
          </w:p>
        </w:tc>
        <w:tc>
          <w:tcPr>
            <w:tcW w:type="dxa" w:w="7200"/>
            <w:vAlign w:val="center"/>
            <w:tcMar>
              <w:top w:w="90" w:type="dxa"/>
              <w:start w:w="100" w:type="dxa"/>
              <w:bottom w:w="90" w:type="dxa"/>
              <w:end w:w="100" w:type="dxa"/>
            </w:tcMar>
            <w:shd w:fill="F4F8FB"/>
          </w:tcPr>
          <w:p>
            <w:pPr>
              <w:spacing w:after="20"/>
              <w:jc w:val="left"/>
            </w:pPr>
            <w:r>
              <w:rPr>
                <w:rFonts w:ascii="Times New Roman" w:hAnsi="Times New Roman"/>
                <w:sz w:val="20"/>
              </w:rPr>
              <w:t>Acknowledgements; Abstract; Lists; Abbreviations</w:t>
            </w:r>
          </w:p>
        </w:tc>
      </w:tr>
      <w:tr>
        <w:tc>
          <w:tcPr>
            <w:tcW w:type="dxa" w:w="1872"/>
            <w:vAlign w:val="center"/>
            <w:tcMar>
              <w:top w:w="90" w:type="dxa"/>
              <w:start w:w="100" w:type="dxa"/>
              <w:bottom w:w="90" w:type="dxa"/>
              <w:end w:w="100" w:type="dxa"/>
            </w:tcMar>
          </w:tcPr>
          <w:p>
            <w:pPr>
              <w:spacing w:after="20"/>
              <w:jc w:val="left"/>
            </w:pPr>
            <w:r>
              <w:rPr>
                <w:rFonts w:ascii="Times New Roman" w:hAnsi="Times New Roman"/>
                <w:sz w:val="20"/>
              </w:rPr>
              <w:t>1</w:t>
            </w:r>
          </w:p>
        </w:tc>
        <w:tc>
          <w:tcPr>
            <w:tcW w:type="dxa" w:w="7200"/>
            <w:vAlign w:val="center"/>
            <w:tcMar>
              <w:top w:w="90" w:type="dxa"/>
              <w:start w:w="100" w:type="dxa"/>
              <w:bottom w:w="90" w:type="dxa"/>
              <w:end w:w="100" w:type="dxa"/>
            </w:tcMar>
          </w:tcPr>
          <w:p>
            <w:pPr>
              <w:spacing w:after="20"/>
              <w:jc w:val="left"/>
            </w:pPr>
            <w:r>
              <w:rPr>
                <w:rFonts w:ascii="Times New Roman" w:hAnsi="Times New Roman"/>
                <w:sz w:val="20"/>
              </w:rPr>
              <w:t>Project context and evolution</w:t>
            </w:r>
          </w:p>
        </w:tc>
      </w:tr>
      <w:tr>
        <w:tc>
          <w:tcPr>
            <w:tcW w:type="dxa" w:w="1872"/>
            <w:vAlign w:val="center"/>
            <w:tcMar>
              <w:top w:w="90" w:type="dxa"/>
              <w:start w:w="100" w:type="dxa"/>
              <w:bottom w:w="90" w:type="dxa"/>
              <w:end w:w="100" w:type="dxa"/>
            </w:tcMar>
            <w:shd w:fill="F4F8FB"/>
          </w:tcPr>
          <w:p>
            <w:pPr>
              <w:spacing w:after="20"/>
              <w:jc w:val="left"/>
            </w:pPr>
            <w:r>
              <w:rPr>
                <w:rFonts w:ascii="Times New Roman" w:hAnsi="Times New Roman"/>
                <w:sz w:val="20"/>
              </w:rPr>
              <w:t>2</w:t>
            </w:r>
          </w:p>
        </w:tc>
        <w:tc>
          <w:tcPr>
            <w:tcW w:type="dxa" w:w="7200"/>
            <w:vAlign w:val="center"/>
            <w:tcMar>
              <w:top w:w="90" w:type="dxa"/>
              <w:start w:w="100" w:type="dxa"/>
              <w:bottom w:w="90" w:type="dxa"/>
              <w:end w:w="100" w:type="dxa"/>
            </w:tcMar>
            <w:shd w:fill="F4F8FB"/>
          </w:tcPr>
          <w:p>
            <w:pPr>
              <w:spacing w:after="20"/>
              <w:jc w:val="left"/>
            </w:pPr>
            <w:r>
              <w:rPr>
                <w:rFonts w:ascii="Times New Roman" w:hAnsi="Times New Roman"/>
                <w:sz w:val="20"/>
              </w:rPr>
              <w:t>Requirements specification</w:t>
            </w:r>
          </w:p>
        </w:tc>
      </w:tr>
      <w:tr>
        <w:tc>
          <w:tcPr>
            <w:tcW w:type="dxa" w:w="1872"/>
            <w:vAlign w:val="center"/>
            <w:tcMar>
              <w:top w:w="90" w:type="dxa"/>
              <w:start w:w="100" w:type="dxa"/>
              <w:bottom w:w="90" w:type="dxa"/>
              <w:end w:w="100" w:type="dxa"/>
            </w:tcMar>
          </w:tcPr>
          <w:p>
            <w:pPr>
              <w:spacing w:after="20"/>
              <w:jc w:val="left"/>
            </w:pPr>
            <w:r>
              <w:rPr>
                <w:rFonts w:ascii="Times New Roman" w:hAnsi="Times New Roman"/>
                <w:sz w:val="20"/>
              </w:rPr>
              <w:t>3</w:t>
            </w:r>
          </w:p>
        </w:tc>
        <w:tc>
          <w:tcPr>
            <w:tcW w:type="dxa" w:w="7200"/>
            <w:vAlign w:val="center"/>
            <w:tcMar>
              <w:top w:w="90" w:type="dxa"/>
              <w:start w:w="100" w:type="dxa"/>
              <w:bottom w:w="90" w:type="dxa"/>
              <w:end w:w="100" w:type="dxa"/>
            </w:tcMar>
          </w:tcPr>
          <w:p>
            <w:pPr>
              <w:spacing w:after="20"/>
              <w:jc w:val="left"/>
            </w:pPr>
            <w:r>
              <w:rPr>
                <w:rFonts w:ascii="Times New Roman" w:hAnsi="Times New Roman"/>
                <w:sz w:val="20"/>
              </w:rPr>
              <w:t>Architecture and design</w:t>
            </w:r>
          </w:p>
        </w:tc>
      </w:tr>
      <w:tr>
        <w:tc>
          <w:tcPr>
            <w:tcW w:type="dxa" w:w="1872"/>
            <w:vAlign w:val="center"/>
            <w:tcMar>
              <w:top w:w="90" w:type="dxa"/>
              <w:start w:w="100" w:type="dxa"/>
              <w:bottom w:w="90" w:type="dxa"/>
              <w:end w:w="100" w:type="dxa"/>
            </w:tcMar>
            <w:shd w:fill="F4F8FB"/>
          </w:tcPr>
          <w:p>
            <w:pPr>
              <w:spacing w:after="20"/>
              <w:jc w:val="left"/>
            </w:pPr>
            <w:r>
              <w:rPr>
                <w:rFonts w:ascii="Times New Roman" w:hAnsi="Times New Roman"/>
                <w:sz w:val="20"/>
              </w:rPr>
              <w:t>4</w:t>
            </w:r>
          </w:p>
        </w:tc>
        <w:tc>
          <w:tcPr>
            <w:tcW w:type="dxa" w:w="7200"/>
            <w:vAlign w:val="center"/>
            <w:tcMar>
              <w:top w:w="90" w:type="dxa"/>
              <w:start w:w="100" w:type="dxa"/>
              <w:bottom w:w="90" w:type="dxa"/>
              <w:end w:w="100" w:type="dxa"/>
            </w:tcMar>
            <w:shd w:fill="F4F8FB"/>
          </w:tcPr>
          <w:p>
            <w:pPr>
              <w:spacing w:after="20"/>
              <w:jc w:val="left"/>
            </w:pPr>
            <w:r>
              <w:rPr>
                <w:rFonts w:ascii="Times New Roman" w:hAnsi="Times New Roman"/>
                <w:sz w:val="20"/>
              </w:rPr>
              <w:t>Implementation, incidents, and validation</w:t>
            </w:r>
          </w:p>
        </w:tc>
      </w:tr>
      <w:tr>
        <w:tc>
          <w:tcPr>
            <w:tcW w:type="dxa" w:w="1872"/>
            <w:vAlign w:val="center"/>
            <w:tcMar>
              <w:top w:w="90" w:type="dxa"/>
              <w:start w:w="100" w:type="dxa"/>
              <w:bottom w:w="90" w:type="dxa"/>
              <w:end w:w="100" w:type="dxa"/>
            </w:tcMar>
          </w:tcPr>
          <w:p>
            <w:pPr>
              <w:spacing w:after="20"/>
              <w:jc w:val="left"/>
            </w:pPr>
            <w:r>
              <w:rPr>
                <w:rFonts w:ascii="Times New Roman" w:hAnsi="Times New Roman"/>
                <w:sz w:val="20"/>
              </w:rPr>
              <w:t>Conclusion</w:t>
            </w:r>
          </w:p>
        </w:tc>
        <w:tc>
          <w:tcPr>
            <w:tcW w:type="dxa" w:w="7200"/>
            <w:vAlign w:val="center"/>
            <w:tcMar>
              <w:top w:w="90" w:type="dxa"/>
              <w:start w:w="100" w:type="dxa"/>
              <w:bottom w:w="90" w:type="dxa"/>
              <w:end w:w="100" w:type="dxa"/>
            </w:tcMar>
          </w:tcPr>
          <w:p>
            <w:pPr>
              <w:spacing w:after="20"/>
              <w:jc w:val="left"/>
            </w:pPr>
            <w:r>
              <w:rPr>
                <w:rFonts w:ascii="Times New Roman" w:hAnsi="Times New Roman"/>
                <w:sz w:val="20"/>
              </w:rPr>
              <w:t>General conclusion and future work</w:t>
            </w:r>
          </w:p>
        </w:tc>
      </w:tr>
      <w:tr>
        <w:tc>
          <w:tcPr>
            <w:tcW w:type="dxa" w:w="1872"/>
            <w:vAlign w:val="center"/>
            <w:tcMar>
              <w:top w:w="90" w:type="dxa"/>
              <w:start w:w="100" w:type="dxa"/>
              <w:bottom w:w="90" w:type="dxa"/>
              <w:end w:w="100" w:type="dxa"/>
            </w:tcMar>
            <w:shd w:fill="F4F8FB"/>
          </w:tcPr>
          <w:p>
            <w:pPr>
              <w:spacing w:after="20"/>
              <w:jc w:val="left"/>
            </w:pPr>
            <w:r>
              <w:rPr>
                <w:rFonts w:ascii="Times New Roman" w:hAnsi="Times New Roman"/>
                <w:sz w:val="20"/>
              </w:rPr>
              <w:t>References</w:t>
            </w:r>
          </w:p>
        </w:tc>
        <w:tc>
          <w:tcPr>
            <w:tcW w:type="dxa" w:w="7200"/>
            <w:vAlign w:val="center"/>
            <w:tcMar>
              <w:top w:w="90" w:type="dxa"/>
              <w:start w:w="100" w:type="dxa"/>
              <w:bottom w:w="90" w:type="dxa"/>
              <w:end w:w="100" w:type="dxa"/>
            </w:tcMar>
            <w:shd w:fill="F4F8FB"/>
          </w:tcPr>
          <w:p>
            <w:pPr>
              <w:spacing w:after="20"/>
              <w:jc w:val="left"/>
            </w:pPr>
            <w:r>
              <w:rPr>
                <w:rFonts w:ascii="Times New Roman" w:hAnsi="Times New Roman"/>
                <w:sz w:val="20"/>
              </w:rPr>
              <w:t>Bibliography and webography</w:t>
            </w:r>
          </w:p>
        </w:tc>
      </w:tr>
      <w:tr>
        <w:tc>
          <w:tcPr>
            <w:tcW w:type="dxa" w:w="1872"/>
            <w:vAlign w:val="center"/>
            <w:tcMar>
              <w:top w:w="90" w:type="dxa"/>
              <w:start w:w="100" w:type="dxa"/>
              <w:bottom w:w="90" w:type="dxa"/>
              <w:end w:w="100" w:type="dxa"/>
            </w:tcMar>
          </w:tcPr>
          <w:p>
            <w:pPr>
              <w:spacing w:after="20"/>
              <w:jc w:val="left"/>
            </w:pPr>
            <w:r>
              <w:rPr>
                <w:rFonts w:ascii="Times New Roman" w:hAnsi="Times New Roman"/>
                <w:sz w:val="20"/>
              </w:rPr>
              <w:t>Annexes</w:t>
            </w:r>
          </w:p>
        </w:tc>
        <w:tc>
          <w:tcPr>
            <w:tcW w:type="dxa" w:w="7200"/>
            <w:vAlign w:val="center"/>
            <w:tcMar>
              <w:top w:w="90" w:type="dxa"/>
              <w:start w:w="100" w:type="dxa"/>
              <w:bottom w:w="90" w:type="dxa"/>
              <w:end w:w="100" w:type="dxa"/>
            </w:tcMar>
          </w:tcPr>
          <w:p>
            <w:pPr>
              <w:spacing w:after="20"/>
              <w:jc w:val="left"/>
            </w:pPr>
            <w:r>
              <w:rPr>
                <w:rFonts w:ascii="Times New Roman" w:hAnsi="Times New Roman"/>
                <w:sz w:val="20"/>
              </w:rPr>
              <w:t>Sanitised configuration; commands; evidence; index</w:t>
            </w:r>
          </w:p>
        </w:tc>
      </w:tr>
    </w:tbl>
    <w:p>
      <w:pPr>
        <w:spacing w:after="20"/>
      </w:pPr>
    </w:p>
    <w:p>
      <w:pPr>
        <w:pStyle w:val="Heading1"/>
      </w:pPr>
      <w:r>
        <w:t>List of tables</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1584"/>
            <w:shd w:fill="1F4E79"/>
            <w:vAlign w:val="center"/>
            <w:tcMar>
              <w:top w:w="90" w:type="dxa"/>
              <w:start w:w="100" w:type="dxa"/>
              <w:bottom w:w="90" w:type="dxa"/>
              <w:end w:w="100" w:type="dxa"/>
            </w:tcMar>
          </w:tcPr>
          <w:p>
            <w:r>
              <w:rPr>
                <w:b/>
                <w:color w:val="FFFFFF"/>
                <w:sz w:val="18"/>
              </w:rPr>
              <w:t>No.</w:t>
            </w:r>
          </w:p>
        </w:tc>
        <w:tc>
          <w:tcPr>
            <w:tcW w:type="dxa" w:w="7488"/>
            <w:shd w:fill="1F4E79"/>
            <w:vAlign w:val="center"/>
            <w:tcMar>
              <w:top w:w="90" w:type="dxa"/>
              <w:start w:w="100" w:type="dxa"/>
              <w:bottom w:w="90" w:type="dxa"/>
              <w:end w:w="100" w:type="dxa"/>
            </w:tcMar>
          </w:tcPr>
          <w:p>
            <w:r>
              <w:rPr>
                <w:b/>
                <w:color w:val="FFFFFF"/>
                <w:sz w:val="18"/>
              </w:rPr>
              <w:t>Title</w:t>
            </w:r>
          </w:p>
        </w:tc>
      </w:tr>
      <w:tr>
        <w:tc>
          <w:tcPr>
            <w:tcW w:type="dxa" w:w="1584"/>
            <w:vAlign w:val="center"/>
            <w:tcMar>
              <w:top w:w="90" w:type="dxa"/>
              <w:start w:w="100" w:type="dxa"/>
              <w:bottom w:w="90" w:type="dxa"/>
              <w:end w:w="100" w:type="dxa"/>
            </w:tcMar>
            <w:shd w:fill="F4F8FB"/>
          </w:tcPr>
          <w:p>
            <w:pPr>
              <w:spacing w:after="20"/>
              <w:jc w:val="left"/>
            </w:pPr>
            <w:r>
              <w:rPr>
                <w:rFonts w:ascii="Times New Roman" w:hAnsi="Times New Roman"/>
                <w:sz w:val="18"/>
              </w:rPr>
              <w:t>Table 01</w:t>
            </w:r>
          </w:p>
        </w:tc>
        <w:tc>
          <w:tcPr>
            <w:tcW w:type="dxa" w:w="7488"/>
            <w:vAlign w:val="center"/>
            <w:tcMar>
              <w:top w:w="90" w:type="dxa"/>
              <w:start w:w="100" w:type="dxa"/>
              <w:bottom w:w="90" w:type="dxa"/>
              <w:end w:w="100" w:type="dxa"/>
            </w:tcMar>
            <w:shd w:fill="F4F8FB"/>
          </w:tcPr>
          <w:p>
            <w:pPr>
              <w:spacing w:after="20"/>
              <w:jc w:val="left"/>
            </w:pPr>
            <w:r>
              <w:rPr>
                <w:rFonts w:ascii="Times New Roman" w:hAnsi="Times New Roman"/>
                <w:sz w:val="18"/>
              </w:rPr>
              <w:t>Project goals and boundaries</w:t>
            </w:r>
          </w:p>
        </w:tc>
      </w:tr>
      <w:tr>
        <w:tc>
          <w:tcPr>
            <w:tcW w:type="dxa" w:w="1584"/>
            <w:vAlign w:val="center"/>
            <w:tcMar>
              <w:top w:w="90" w:type="dxa"/>
              <w:start w:w="100" w:type="dxa"/>
              <w:bottom w:w="90" w:type="dxa"/>
              <w:end w:w="100" w:type="dxa"/>
            </w:tcMar>
          </w:tcPr>
          <w:p>
            <w:pPr>
              <w:spacing w:after="20"/>
              <w:jc w:val="left"/>
            </w:pPr>
            <w:r>
              <w:rPr>
                <w:rFonts w:ascii="Times New Roman" w:hAnsi="Times New Roman"/>
                <w:sz w:val="18"/>
              </w:rPr>
              <w:t>Table 02</w:t>
            </w:r>
          </w:p>
        </w:tc>
        <w:tc>
          <w:tcPr>
            <w:tcW w:type="dxa" w:w="7488"/>
            <w:vAlign w:val="center"/>
            <w:tcMar>
              <w:top w:w="90" w:type="dxa"/>
              <w:start w:w="100" w:type="dxa"/>
              <w:bottom w:w="90" w:type="dxa"/>
              <w:end w:w="100" w:type="dxa"/>
            </w:tcMar>
          </w:tcPr>
          <w:p>
            <w:pPr>
              <w:spacing w:after="20"/>
              <w:jc w:val="left"/>
            </w:pPr>
            <w:r>
              <w:rPr>
                <w:rFonts w:ascii="Times New Roman" w:hAnsi="Times New Roman"/>
                <w:sz w:val="18"/>
              </w:rPr>
              <w:t>Milestones and evidence</w:t>
            </w:r>
          </w:p>
        </w:tc>
      </w:tr>
      <w:tr>
        <w:tc>
          <w:tcPr>
            <w:tcW w:type="dxa" w:w="1584"/>
            <w:vAlign w:val="center"/>
            <w:tcMar>
              <w:top w:w="90" w:type="dxa"/>
              <w:start w:w="100" w:type="dxa"/>
              <w:bottom w:w="90" w:type="dxa"/>
              <w:end w:w="100" w:type="dxa"/>
            </w:tcMar>
            <w:shd w:fill="F4F8FB"/>
          </w:tcPr>
          <w:p>
            <w:pPr>
              <w:spacing w:after="20"/>
              <w:jc w:val="left"/>
            </w:pPr>
            <w:r>
              <w:rPr>
                <w:rFonts w:ascii="Times New Roman" w:hAnsi="Times New Roman"/>
                <w:sz w:val="18"/>
              </w:rPr>
              <w:t>Table 03</w:t>
            </w:r>
          </w:p>
        </w:tc>
        <w:tc>
          <w:tcPr>
            <w:tcW w:type="dxa" w:w="7488"/>
            <w:vAlign w:val="center"/>
            <w:tcMar>
              <w:top w:w="90" w:type="dxa"/>
              <w:start w:w="100" w:type="dxa"/>
              <w:bottom w:w="90" w:type="dxa"/>
              <w:end w:w="100" w:type="dxa"/>
            </w:tcMar>
            <w:shd w:fill="F4F8FB"/>
          </w:tcPr>
          <w:p>
            <w:pPr>
              <w:spacing w:after="20"/>
              <w:jc w:val="left"/>
            </w:pPr>
            <w:r>
              <w:rPr>
                <w:rFonts w:ascii="Times New Roman" w:hAnsi="Times New Roman"/>
                <w:sz w:val="18"/>
              </w:rPr>
              <w:t>Stakeholders and roles</w:t>
            </w:r>
          </w:p>
        </w:tc>
      </w:tr>
      <w:tr>
        <w:tc>
          <w:tcPr>
            <w:tcW w:type="dxa" w:w="1584"/>
            <w:vAlign w:val="center"/>
            <w:tcMar>
              <w:top w:w="90" w:type="dxa"/>
              <w:start w:w="100" w:type="dxa"/>
              <w:bottom w:w="90" w:type="dxa"/>
              <w:end w:w="100" w:type="dxa"/>
            </w:tcMar>
          </w:tcPr>
          <w:p>
            <w:pPr>
              <w:spacing w:after="20"/>
              <w:jc w:val="left"/>
            </w:pPr>
            <w:r>
              <w:rPr>
                <w:rFonts w:ascii="Times New Roman" w:hAnsi="Times New Roman"/>
                <w:sz w:val="18"/>
              </w:rPr>
              <w:t>Table 04</w:t>
            </w:r>
          </w:p>
        </w:tc>
        <w:tc>
          <w:tcPr>
            <w:tcW w:type="dxa" w:w="7488"/>
            <w:vAlign w:val="center"/>
            <w:tcMar>
              <w:top w:w="90" w:type="dxa"/>
              <w:start w:w="100" w:type="dxa"/>
              <w:bottom w:w="90" w:type="dxa"/>
              <w:end w:w="100" w:type="dxa"/>
            </w:tcMar>
          </w:tcPr>
          <w:p>
            <w:pPr>
              <w:spacing w:after="20"/>
              <w:jc w:val="left"/>
            </w:pPr>
            <w:r>
              <w:rPr>
                <w:rFonts w:ascii="Times New Roman" w:hAnsi="Times New Roman"/>
                <w:sz w:val="18"/>
              </w:rPr>
              <w:t>Functional requirements</w:t>
            </w:r>
          </w:p>
        </w:tc>
      </w:tr>
      <w:tr>
        <w:tc>
          <w:tcPr>
            <w:tcW w:type="dxa" w:w="1584"/>
            <w:vAlign w:val="center"/>
            <w:tcMar>
              <w:top w:w="90" w:type="dxa"/>
              <w:start w:w="100" w:type="dxa"/>
              <w:bottom w:w="90" w:type="dxa"/>
              <w:end w:w="100" w:type="dxa"/>
            </w:tcMar>
            <w:shd w:fill="F4F8FB"/>
          </w:tcPr>
          <w:p>
            <w:pPr>
              <w:spacing w:after="20"/>
              <w:jc w:val="left"/>
            </w:pPr>
            <w:r>
              <w:rPr>
                <w:rFonts w:ascii="Times New Roman" w:hAnsi="Times New Roman"/>
                <w:sz w:val="18"/>
              </w:rPr>
              <w:t>Table 05</w:t>
            </w:r>
          </w:p>
        </w:tc>
        <w:tc>
          <w:tcPr>
            <w:tcW w:type="dxa" w:w="7488"/>
            <w:vAlign w:val="center"/>
            <w:tcMar>
              <w:top w:w="90" w:type="dxa"/>
              <w:start w:w="100" w:type="dxa"/>
              <w:bottom w:w="90" w:type="dxa"/>
              <w:end w:w="100" w:type="dxa"/>
            </w:tcMar>
            <w:shd w:fill="F4F8FB"/>
          </w:tcPr>
          <w:p>
            <w:pPr>
              <w:spacing w:after="20"/>
              <w:jc w:val="left"/>
            </w:pPr>
            <w:r>
              <w:rPr>
                <w:rFonts w:ascii="Times New Roman" w:hAnsi="Times New Roman"/>
                <w:sz w:val="18"/>
              </w:rPr>
              <w:t>Non-functional requirements</w:t>
            </w:r>
          </w:p>
        </w:tc>
      </w:tr>
      <w:tr>
        <w:tc>
          <w:tcPr>
            <w:tcW w:type="dxa" w:w="1584"/>
            <w:vAlign w:val="center"/>
            <w:tcMar>
              <w:top w:w="90" w:type="dxa"/>
              <w:start w:w="100" w:type="dxa"/>
              <w:bottom w:w="90" w:type="dxa"/>
              <w:end w:w="100" w:type="dxa"/>
            </w:tcMar>
          </w:tcPr>
          <w:p>
            <w:pPr>
              <w:spacing w:after="20"/>
              <w:jc w:val="left"/>
            </w:pPr>
            <w:r>
              <w:rPr>
                <w:rFonts w:ascii="Times New Roman" w:hAnsi="Times New Roman"/>
                <w:sz w:val="18"/>
              </w:rPr>
              <w:t>Table 06</w:t>
            </w:r>
          </w:p>
        </w:tc>
        <w:tc>
          <w:tcPr>
            <w:tcW w:type="dxa" w:w="7488"/>
            <w:vAlign w:val="center"/>
            <w:tcMar>
              <w:top w:w="90" w:type="dxa"/>
              <w:start w:w="100" w:type="dxa"/>
              <w:bottom w:w="90" w:type="dxa"/>
              <w:end w:w="100" w:type="dxa"/>
            </w:tcMar>
          </w:tcPr>
          <w:p>
            <w:pPr>
              <w:spacing w:after="20"/>
              <w:jc w:val="left"/>
            </w:pPr>
            <w:r>
              <w:rPr>
                <w:rFonts w:ascii="Times New Roman" w:hAnsi="Times New Roman"/>
                <w:sz w:val="18"/>
              </w:rPr>
              <w:t>Acceptance criteria</w:t>
            </w:r>
          </w:p>
        </w:tc>
      </w:tr>
      <w:tr>
        <w:tc>
          <w:tcPr>
            <w:tcW w:type="dxa" w:w="1584"/>
            <w:vAlign w:val="center"/>
            <w:tcMar>
              <w:top w:w="90" w:type="dxa"/>
              <w:start w:w="100" w:type="dxa"/>
              <w:bottom w:w="90" w:type="dxa"/>
              <w:end w:w="100" w:type="dxa"/>
            </w:tcMar>
            <w:shd w:fill="F4F8FB"/>
          </w:tcPr>
          <w:p>
            <w:pPr>
              <w:spacing w:after="20"/>
              <w:jc w:val="left"/>
            </w:pPr>
            <w:r>
              <w:rPr>
                <w:rFonts w:ascii="Times New Roman" w:hAnsi="Times New Roman"/>
                <w:sz w:val="18"/>
              </w:rPr>
              <w:t>Table 07</w:t>
            </w:r>
          </w:p>
        </w:tc>
        <w:tc>
          <w:tcPr>
            <w:tcW w:type="dxa" w:w="7488"/>
            <w:vAlign w:val="center"/>
            <w:tcMar>
              <w:top w:w="90" w:type="dxa"/>
              <w:start w:w="100" w:type="dxa"/>
              <w:bottom w:w="90" w:type="dxa"/>
              <w:end w:w="100" w:type="dxa"/>
            </w:tcMar>
            <w:shd w:fill="F4F8FB"/>
          </w:tcPr>
          <w:p>
            <w:pPr>
              <w:spacing w:after="20"/>
              <w:jc w:val="left"/>
            </w:pPr>
            <w:r>
              <w:rPr>
                <w:rFonts w:ascii="Times New Roman" w:hAnsi="Times New Roman"/>
                <w:sz w:val="18"/>
              </w:rPr>
              <w:t>Technology choices</w:t>
            </w:r>
          </w:p>
        </w:tc>
      </w:tr>
      <w:tr>
        <w:tc>
          <w:tcPr>
            <w:tcW w:type="dxa" w:w="1584"/>
            <w:vAlign w:val="center"/>
            <w:tcMar>
              <w:top w:w="90" w:type="dxa"/>
              <w:start w:w="100" w:type="dxa"/>
              <w:bottom w:w="90" w:type="dxa"/>
              <w:end w:w="100" w:type="dxa"/>
            </w:tcMar>
          </w:tcPr>
          <w:p>
            <w:pPr>
              <w:spacing w:after="20"/>
              <w:jc w:val="left"/>
            </w:pPr>
            <w:r>
              <w:rPr>
                <w:rFonts w:ascii="Times New Roman" w:hAnsi="Times New Roman"/>
                <w:sz w:val="18"/>
              </w:rPr>
              <w:t>Table 08</w:t>
            </w:r>
          </w:p>
        </w:tc>
        <w:tc>
          <w:tcPr>
            <w:tcW w:type="dxa" w:w="7488"/>
            <w:vAlign w:val="center"/>
            <w:tcMar>
              <w:top w:w="90" w:type="dxa"/>
              <w:start w:w="100" w:type="dxa"/>
              <w:bottom w:w="90" w:type="dxa"/>
              <w:end w:w="100" w:type="dxa"/>
            </w:tcMar>
          </w:tcPr>
          <w:p>
            <w:pPr>
              <w:spacing w:after="20"/>
              <w:jc w:val="left"/>
            </w:pPr>
            <w:r>
              <w:rPr>
                <w:rFonts w:ascii="Times New Roman" w:hAnsi="Times New Roman"/>
                <w:sz w:val="18"/>
              </w:rPr>
              <w:t>Application services and ports</w:t>
            </w:r>
          </w:p>
        </w:tc>
      </w:tr>
      <w:tr>
        <w:tc>
          <w:tcPr>
            <w:tcW w:type="dxa" w:w="1584"/>
            <w:vAlign w:val="center"/>
            <w:tcMar>
              <w:top w:w="90" w:type="dxa"/>
              <w:start w:w="100" w:type="dxa"/>
              <w:bottom w:w="90" w:type="dxa"/>
              <w:end w:w="100" w:type="dxa"/>
            </w:tcMar>
            <w:shd w:fill="F4F8FB"/>
          </w:tcPr>
          <w:p>
            <w:pPr>
              <w:spacing w:after="20"/>
              <w:jc w:val="left"/>
            </w:pPr>
            <w:r>
              <w:rPr>
                <w:rFonts w:ascii="Times New Roman" w:hAnsi="Times New Roman"/>
                <w:sz w:val="18"/>
              </w:rPr>
              <w:t>Table 09</w:t>
            </w:r>
          </w:p>
        </w:tc>
        <w:tc>
          <w:tcPr>
            <w:tcW w:type="dxa" w:w="7488"/>
            <w:vAlign w:val="center"/>
            <w:tcMar>
              <w:top w:w="90" w:type="dxa"/>
              <w:start w:w="100" w:type="dxa"/>
              <w:bottom w:w="90" w:type="dxa"/>
              <w:end w:w="100" w:type="dxa"/>
            </w:tcMar>
            <w:shd w:fill="F4F8FB"/>
          </w:tcPr>
          <w:p>
            <w:pPr>
              <w:spacing w:after="20"/>
              <w:jc w:val="left"/>
            </w:pPr>
            <w:r>
              <w:rPr>
                <w:rFonts w:ascii="Times New Roman" w:hAnsi="Times New Roman"/>
                <w:sz w:val="18"/>
              </w:rPr>
              <w:t>Data entities</w:t>
            </w:r>
          </w:p>
        </w:tc>
      </w:tr>
      <w:tr>
        <w:tc>
          <w:tcPr>
            <w:tcW w:type="dxa" w:w="1584"/>
            <w:vAlign w:val="center"/>
            <w:tcMar>
              <w:top w:w="90" w:type="dxa"/>
              <w:start w:w="100" w:type="dxa"/>
              <w:bottom w:w="90" w:type="dxa"/>
              <w:end w:w="100" w:type="dxa"/>
            </w:tcMar>
          </w:tcPr>
          <w:p>
            <w:pPr>
              <w:spacing w:after="20"/>
              <w:jc w:val="left"/>
            </w:pPr>
            <w:r>
              <w:rPr>
                <w:rFonts w:ascii="Times New Roman" w:hAnsi="Times New Roman"/>
                <w:sz w:val="18"/>
              </w:rPr>
              <w:t>Table 10</w:t>
            </w:r>
          </w:p>
        </w:tc>
        <w:tc>
          <w:tcPr>
            <w:tcW w:type="dxa" w:w="7488"/>
            <w:vAlign w:val="center"/>
            <w:tcMar>
              <w:top w:w="90" w:type="dxa"/>
              <w:start w:w="100" w:type="dxa"/>
              <w:bottom w:w="90" w:type="dxa"/>
              <w:end w:w="100" w:type="dxa"/>
            </w:tcMar>
          </w:tcPr>
          <w:p>
            <w:pPr>
              <w:spacing w:after="20"/>
              <w:jc w:val="left"/>
            </w:pPr>
            <w:r>
              <w:rPr>
                <w:rFonts w:ascii="Times New Roman" w:hAnsi="Times New Roman"/>
                <w:sz w:val="18"/>
              </w:rPr>
              <w:t>Threats and controls</w:t>
            </w:r>
          </w:p>
        </w:tc>
      </w:tr>
      <w:tr>
        <w:tc>
          <w:tcPr>
            <w:tcW w:type="dxa" w:w="1584"/>
            <w:vAlign w:val="center"/>
            <w:tcMar>
              <w:top w:w="90" w:type="dxa"/>
              <w:start w:w="100" w:type="dxa"/>
              <w:bottom w:w="90" w:type="dxa"/>
              <w:end w:w="100" w:type="dxa"/>
            </w:tcMar>
            <w:shd w:fill="F4F8FB"/>
          </w:tcPr>
          <w:p>
            <w:pPr>
              <w:spacing w:after="20"/>
              <w:jc w:val="left"/>
            </w:pPr>
            <w:r>
              <w:rPr>
                <w:rFonts w:ascii="Times New Roman" w:hAnsi="Times New Roman"/>
                <w:sz w:val="18"/>
              </w:rPr>
              <w:t>Table 11</w:t>
            </w:r>
          </w:p>
        </w:tc>
        <w:tc>
          <w:tcPr>
            <w:tcW w:type="dxa" w:w="7488"/>
            <w:vAlign w:val="center"/>
            <w:tcMar>
              <w:top w:w="90" w:type="dxa"/>
              <w:start w:w="100" w:type="dxa"/>
              <w:bottom w:w="90" w:type="dxa"/>
              <w:end w:w="100" w:type="dxa"/>
            </w:tcMar>
            <w:shd w:fill="F4F8FB"/>
          </w:tcPr>
          <w:p>
            <w:pPr>
              <w:spacing w:after="20"/>
              <w:jc w:val="left"/>
            </w:pPr>
            <w:r>
              <w:rPr>
                <w:rFonts w:ascii="Times New Roman" w:hAnsi="Times New Roman"/>
                <w:sz w:val="18"/>
              </w:rPr>
              <w:t>CI pipeline stages</w:t>
            </w:r>
          </w:p>
        </w:tc>
      </w:tr>
      <w:tr>
        <w:tc>
          <w:tcPr>
            <w:tcW w:type="dxa" w:w="1584"/>
            <w:vAlign w:val="center"/>
            <w:tcMar>
              <w:top w:w="90" w:type="dxa"/>
              <w:start w:w="100" w:type="dxa"/>
              <w:bottom w:w="90" w:type="dxa"/>
              <w:end w:w="100" w:type="dxa"/>
            </w:tcMar>
          </w:tcPr>
          <w:p>
            <w:pPr>
              <w:spacing w:after="20"/>
              <w:jc w:val="left"/>
            </w:pPr>
            <w:r>
              <w:rPr>
                <w:rFonts w:ascii="Times New Roman" w:hAnsi="Times New Roman"/>
                <w:sz w:val="18"/>
              </w:rPr>
              <w:t>Table 12</w:t>
            </w:r>
          </w:p>
        </w:tc>
        <w:tc>
          <w:tcPr>
            <w:tcW w:type="dxa" w:w="7488"/>
            <w:vAlign w:val="center"/>
            <w:tcMar>
              <w:top w:w="90" w:type="dxa"/>
              <w:start w:w="100" w:type="dxa"/>
              <w:bottom w:w="90" w:type="dxa"/>
              <w:end w:w="100" w:type="dxa"/>
            </w:tcMar>
          </w:tcPr>
          <w:p>
            <w:pPr>
              <w:spacing w:after="20"/>
              <w:jc w:val="left"/>
            </w:pPr>
            <w:r>
              <w:rPr>
                <w:rFonts w:ascii="Times New Roman" w:hAnsi="Times New Roman"/>
                <w:sz w:val="18"/>
              </w:rPr>
              <w:t>GitOps responsibilities</w:t>
            </w:r>
          </w:p>
        </w:tc>
      </w:tr>
      <w:tr>
        <w:tc>
          <w:tcPr>
            <w:tcW w:type="dxa" w:w="1584"/>
            <w:vAlign w:val="center"/>
            <w:tcMar>
              <w:top w:w="90" w:type="dxa"/>
              <w:start w:w="100" w:type="dxa"/>
              <w:bottom w:w="90" w:type="dxa"/>
              <w:end w:w="100" w:type="dxa"/>
            </w:tcMar>
            <w:shd w:fill="F4F8FB"/>
          </w:tcPr>
          <w:p>
            <w:pPr>
              <w:spacing w:after="20"/>
              <w:jc w:val="left"/>
            </w:pPr>
            <w:r>
              <w:rPr>
                <w:rFonts w:ascii="Times New Roman" w:hAnsi="Times New Roman"/>
                <w:sz w:val="18"/>
              </w:rPr>
              <w:t>Table 13</w:t>
            </w:r>
          </w:p>
        </w:tc>
        <w:tc>
          <w:tcPr>
            <w:tcW w:type="dxa" w:w="7488"/>
            <w:vAlign w:val="center"/>
            <w:tcMar>
              <w:top w:w="90" w:type="dxa"/>
              <w:start w:w="100" w:type="dxa"/>
              <w:bottom w:w="90" w:type="dxa"/>
              <w:end w:w="100" w:type="dxa"/>
            </w:tcMar>
            <w:shd w:fill="F4F8FB"/>
          </w:tcPr>
          <w:p>
            <w:pPr>
              <w:spacing w:after="20"/>
              <w:jc w:val="left"/>
            </w:pPr>
            <w:r>
              <w:rPr>
                <w:rFonts w:ascii="Times New Roman" w:hAnsi="Times New Roman"/>
                <w:sz w:val="18"/>
              </w:rPr>
              <w:t>Incident register</w:t>
            </w:r>
          </w:p>
        </w:tc>
      </w:tr>
      <w:tr>
        <w:tc>
          <w:tcPr>
            <w:tcW w:type="dxa" w:w="1584"/>
            <w:vAlign w:val="center"/>
            <w:tcMar>
              <w:top w:w="90" w:type="dxa"/>
              <w:start w:w="100" w:type="dxa"/>
              <w:bottom w:w="90" w:type="dxa"/>
              <w:end w:w="100" w:type="dxa"/>
            </w:tcMar>
          </w:tcPr>
          <w:p>
            <w:pPr>
              <w:spacing w:after="20"/>
              <w:jc w:val="left"/>
            </w:pPr>
            <w:r>
              <w:rPr>
                <w:rFonts w:ascii="Times New Roman" w:hAnsi="Times New Roman"/>
                <w:sz w:val="18"/>
              </w:rPr>
              <w:t>Table 14</w:t>
            </w:r>
          </w:p>
        </w:tc>
        <w:tc>
          <w:tcPr>
            <w:tcW w:type="dxa" w:w="7488"/>
            <w:vAlign w:val="center"/>
            <w:tcMar>
              <w:top w:w="90" w:type="dxa"/>
              <w:start w:w="100" w:type="dxa"/>
              <w:bottom w:w="90" w:type="dxa"/>
              <w:end w:w="100" w:type="dxa"/>
            </w:tcMar>
          </w:tcPr>
          <w:p>
            <w:pPr>
              <w:spacing w:after="20"/>
              <w:jc w:val="left"/>
            </w:pPr>
            <w:r>
              <w:rPr>
                <w:rFonts w:ascii="Times New Roman" w:hAnsi="Times New Roman"/>
                <w:sz w:val="18"/>
              </w:rPr>
              <w:t>Verification matrix</w:t>
            </w:r>
          </w:p>
        </w:tc>
      </w:tr>
      <w:tr>
        <w:tc>
          <w:tcPr>
            <w:tcW w:type="dxa" w:w="1584"/>
            <w:vAlign w:val="center"/>
            <w:tcMar>
              <w:top w:w="90" w:type="dxa"/>
              <w:start w:w="100" w:type="dxa"/>
              <w:bottom w:w="90" w:type="dxa"/>
              <w:end w:w="100" w:type="dxa"/>
            </w:tcMar>
            <w:shd w:fill="F4F8FB"/>
          </w:tcPr>
          <w:p>
            <w:pPr>
              <w:spacing w:after="20"/>
              <w:jc w:val="left"/>
            </w:pPr>
            <w:r>
              <w:rPr>
                <w:rFonts w:ascii="Times New Roman" w:hAnsi="Times New Roman"/>
                <w:sz w:val="18"/>
              </w:rPr>
              <w:t>Table 15</w:t>
            </w:r>
          </w:p>
        </w:tc>
        <w:tc>
          <w:tcPr>
            <w:tcW w:type="dxa" w:w="7488"/>
            <w:vAlign w:val="center"/>
            <w:tcMar>
              <w:top w:w="90" w:type="dxa"/>
              <w:start w:w="100" w:type="dxa"/>
              <w:bottom w:w="90" w:type="dxa"/>
              <w:end w:w="100" w:type="dxa"/>
            </w:tcMar>
            <w:shd w:fill="F4F8FB"/>
          </w:tcPr>
          <w:p>
            <w:pPr>
              <w:spacing w:after="20"/>
              <w:jc w:val="left"/>
            </w:pPr>
            <w:r>
              <w:rPr>
                <w:rFonts w:ascii="Times New Roman" w:hAnsi="Times New Roman"/>
                <w:sz w:val="18"/>
              </w:rPr>
              <w:t>Observed cluster state</w:t>
            </w:r>
          </w:p>
        </w:tc>
      </w:tr>
      <w:tr>
        <w:tc>
          <w:tcPr>
            <w:tcW w:type="dxa" w:w="1584"/>
            <w:vAlign w:val="center"/>
            <w:tcMar>
              <w:top w:w="90" w:type="dxa"/>
              <w:start w:w="100" w:type="dxa"/>
              <w:bottom w:w="90" w:type="dxa"/>
              <w:end w:w="100" w:type="dxa"/>
            </w:tcMar>
          </w:tcPr>
          <w:p>
            <w:pPr>
              <w:spacing w:after="20"/>
              <w:jc w:val="left"/>
            </w:pPr>
            <w:r>
              <w:rPr>
                <w:rFonts w:ascii="Times New Roman" w:hAnsi="Times New Roman"/>
                <w:sz w:val="18"/>
              </w:rPr>
              <w:t>Table 16</w:t>
            </w:r>
          </w:p>
        </w:tc>
        <w:tc>
          <w:tcPr>
            <w:tcW w:type="dxa" w:w="7488"/>
            <w:vAlign w:val="center"/>
            <w:tcMar>
              <w:top w:w="90" w:type="dxa"/>
              <w:start w:w="100" w:type="dxa"/>
              <w:bottom w:w="90" w:type="dxa"/>
              <w:end w:w="100" w:type="dxa"/>
            </w:tcMar>
          </w:tcPr>
          <w:p>
            <w:pPr>
              <w:spacing w:after="20"/>
              <w:jc w:val="left"/>
            </w:pPr>
            <w:r>
              <w:rPr>
                <w:rFonts w:ascii="Times New Roman" w:hAnsi="Times New Roman"/>
                <w:sz w:val="18"/>
              </w:rPr>
              <w:t>Risks and mitigations</w:t>
            </w:r>
          </w:p>
        </w:tc>
      </w:tr>
      <w:tr>
        <w:tc>
          <w:tcPr>
            <w:tcW w:type="dxa" w:w="1584"/>
            <w:vAlign w:val="center"/>
            <w:tcMar>
              <w:top w:w="90" w:type="dxa"/>
              <w:start w:w="100" w:type="dxa"/>
              <w:bottom w:w="90" w:type="dxa"/>
              <w:end w:w="100" w:type="dxa"/>
            </w:tcMar>
            <w:shd w:fill="F4F8FB"/>
          </w:tcPr>
          <w:p>
            <w:pPr>
              <w:spacing w:after="20"/>
              <w:jc w:val="left"/>
            </w:pPr>
            <w:r>
              <w:rPr>
                <w:rFonts w:ascii="Times New Roman" w:hAnsi="Times New Roman"/>
                <w:sz w:val="18"/>
              </w:rPr>
              <w:t>Table 17</w:t>
            </w:r>
          </w:p>
        </w:tc>
        <w:tc>
          <w:tcPr>
            <w:tcW w:type="dxa" w:w="7488"/>
            <w:vAlign w:val="center"/>
            <w:tcMar>
              <w:top w:w="90" w:type="dxa"/>
              <w:start w:w="100" w:type="dxa"/>
              <w:bottom w:w="90" w:type="dxa"/>
              <w:end w:w="100" w:type="dxa"/>
            </w:tcMar>
            <w:shd w:fill="F4F8FB"/>
          </w:tcPr>
          <w:p>
            <w:pPr>
              <w:spacing w:after="20"/>
              <w:jc w:val="left"/>
            </w:pPr>
            <w:r>
              <w:rPr>
                <w:rFonts w:ascii="Times New Roman" w:hAnsi="Times New Roman"/>
                <w:sz w:val="18"/>
              </w:rPr>
              <w:t>Secrets inventory and handling</w:t>
            </w:r>
          </w:p>
        </w:tc>
      </w:tr>
      <w:tr>
        <w:tc>
          <w:tcPr>
            <w:tcW w:type="dxa" w:w="1584"/>
            <w:vAlign w:val="center"/>
            <w:tcMar>
              <w:top w:w="90" w:type="dxa"/>
              <w:start w:w="100" w:type="dxa"/>
              <w:bottom w:w="90" w:type="dxa"/>
              <w:end w:w="100" w:type="dxa"/>
            </w:tcMar>
          </w:tcPr>
          <w:p>
            <w:pPr>
              <w:spacing w:after="20"/>
              <w:jc w:val="left"/>
            </w:pPr>
            <w:r>
              <w:rPr>
                <w:rFonts w:ascii="Times New Roman" w:hAnsi="Times New Roman"/>
                <w:sz w:val="18"/>
              </w:rPr>
              <w:t>Table 18</w:t>
            </w:r>
          </w:p>
        </w:tc>
        <w:tc>
          <w:tcPr>
            <w:tcW w:type="dxa" w:w="7488"/>
            <w:vAlign w:val="center"/>
            <w:tcMar>
              <w:top w:w="90" w:type="dxa"/>
              <w:start w:w="100" w:type="dxa"/>
              <w:bottom w:w="90" w:type="dxa"/>
              <w:end w:w="100" w:type="dxa"/>
            </w:tcMar>
          </w:tcPr>
          <w:p>
            <w:pPr>
              <w:spacing w:after="20"/>
              <w:jc w:val="left"/>
            </w:pPr>
            <w:r>
              <w:rPr>
                <w:rFonts w:ascii="Times New Roman" w:hAnsi="Times New Roman"/>
                <w:sz w:val="18"/>
              </w:rPr>
              <w:t>Deployment troubleshooting</w:t>
            </w:r>
          </w:p>
        </w:tc>
      </w:tr>
      <w:tr>
        <w:tc>
          <w:tcPr>
            <w:tcW w:type="dxa" w:w="1584"/>
            <w:vAlign w:val="center"/>
            <w:tcMar>
              <w:top w:w="90" w:type="dxa"/>
              <w:start w:w="100" w:type="dxa"/>
              <w:bottom w:w="90" w:type="dxa"/>
              <w:end w:w="100" w:type="dxa"/>
            </w:tcMar>
            <w:shd w:fill="F4F8FB"/>
          </w:tcPr>
          <w:p>
            <w:pPr>
              <w:spacing w:after="20"/>
              <w:jc w:val="left"/>
            </w:pPr>
            <w:r>
              <w:rPr>
                <w:rFonts w:ascii="Times New Roman" w:hAnsi="Times New Roman"/>
                <w:sz w:val="18"/>
              </w:rPr>
              <w:t>Table 19</w:t>
            </w:r>
          </w:p>
        </w:tc>
        <w:tc>
          <w:tcPr>
            <w:tcW w:type="dxa" w:w="7488"/>
            <w:vAlign w:val="center"/>
            <w:tcMar>
              <w:top w:w="90" w:type="dxa"/>
              <w:start w:w="100" w:type="dxa"/>
              <w:bottom w:w="90" w:type="dxa"/>
              <w:end w:w="100" w:type="dxa"/>
            </w:tcMar>
            <w:shd w:fill="F4F8FB"/>
          </w:tcPr>
          <w:p>
            <w:pPr>
              <w:spacing w:after="20"/>
              <w:jc w:val="left"/>
            </w:pPr>
            <w:r>
              <w:rPr>
                <w:rFonts w:ascii="Times New Roman" w:hAnsi="Times New Roman"/>
                <w:sz w:val="18"/>
              </w:rPr>
              <w:t>Command reference</w:t>
            </w:r>
          </w:p>
        </w:tc>
      </w:tr>
      <w:tr>
        <w:tc>
          <w:tcPr>
            <w:tcW w:type="dxa" w:w="1584"/>
            <w:vAlign w:val="center"/>
            <w:tcMar>
              <w:top w:w="90" w:type="dxa"/>
              <w:start w:w="100" w:type="dxa"/>
              <w:bottom w:w="90" w:type="dxa"/>
              <w:end w:w="100" w:type="dxa"/>
            </w:tcMar>
          </w:tcPr>
          <w:p>
            <w:pPr>
              <w:spacing w:after="20"/>
              <w:jc w:val="left"/>
            </w:pPr>
            <w:r>
              <w:rPr>
                <w:rFonts w:ascii="Times New Roman" w:hAnsi="Times New Roman"/>
                <w:sz w:val="18"/>
              </w:rPr>
              <w:t>Table 20</w:t>
            </w:r>
          </w:p>
        </w:tc>
        <w:tc>
          <w:tcPr>
            <w:tcW w:type="dxa" w:w="7488"/>
            <w:vAlign w:val="center"/>
            <w:tcMar>
              <w:top w:w="90" w:type="dxa"/>
              <w:start w:w="100" w:type="dxa"/>
              <w:bottom w:w="90" w:type="dxa"/>
              <w:end w:w="100" w:type="dxa"/>
            </w:tcMar>
          </w:tcPr>
          <w:p>
            <w:pPr>
              <w:spacing w:after="20"/>
              <w:jc w:val="left"/>
            </w:pPr>
            <w:r>
              <w:rPr>
                <w:rFonts w:ascii="Times New Roman" w:hAnsi="Times New Roman"/>
                <w:sz w:val="18"/>
              </w:rPr>
              <w:t>Subject index</w:t>
            </w:r>
          </w:p>
        </w:tc>
      </w:tr>
    </w:tbl>
    <w:p>
      <w:pPr>
        <w:spacing w:after="20"/>
      </w:pPr>
    </w:p>
    <w:p>
      <w:pPr>
        <w:pStyle w:val="Heading1"/>
      </w:pPr>
      <w:r>
        <w:t>List of figures</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1584"/>
            <w:shd w:fill="1F4E79"/>
            <w:vAlign w:val="center"/>
            <w:tcMar>
              <w:top w:w="90" w:type="dxa"/>
              <w:start w:w="100" w:type="dxa"/>
              <w:bottom w:w="90" w:type="dxa"/>
              <w:end w:w="100" w:type="dxa"/>
            </w:tcMar>
          </w:tcPr>
          <w:p>
            <w:r>
              <w:rPr>
                <w:b/>
                <w:color w:val="FFFFFF"/>
                <w:sz w:val="18"/>
              </w:rPr>
              <w:t>No.</w:t>
            </w:r>
          </w:p>
        </w:tc>
        <w:tc>
          <w:tcPr>
            <w:tcW w:type="dxa" w:w="7488"/>
            <w:shd w:fill="1F4E79"/>
            <w:vAlign w:val="center"/>
            <w:tcMar>
              <w:top w:w="90" w:type="dxa"/>
              <w:start w:w="100" w:type="dxa"/>
              <w:bottom w:w="90" w:type="dxa"/>
              <w:end w:w="100" w:type="dxa"/>
            </w:tcMar>
          </w:tcPr>
          <w:p>
            <w:r>
              <w:rPr>
                <w:b/>
                <w:color w:val="FFFFFF"/>
                <w:sz w:val="18"/>
              </w:rPr>
              <w:t>Title</w:t>
            </w:r>
          </w:p>
        </w:tc>
      </w:tr>
      <w:tr>
        <w:tc>
          <w:tcPr>
            <w:tcW w:type="dxa" w:w="1584"/>
            <w:vAlign w:val="center"/>
            <w:tcMar>
              <w:top w:w="90" w:type="dxa"/>
              <w:start w:w="100" w:type="dxa"/>
              <w:bottom w:w="90" w:type="dxa"/>
              <w:end w:w="100" w:type="dxa"/>
            </w:tcMar>
            <w:shd w:fill="F4F8FB"/>
          </w:tcPr>
          <w:p>
            <w:pPr>
              <w:spacing w:after="20"/>
              <w:jc w:val="left"/>
            </w:pPr>
            <w:r>
              <w:rPr>
                <w:rFonts w:ascii="Times New Roman" w:hAnsi="Times New Roman"/>
                <w:sz w:val="18"/>
              </w:rPr>
              <w:t>Figure 01</w:t>
            </w:r>
          </w:p>
        </w:tc>
        <w:tc>
          <w:tcPr>
            <w:tcW w:type="dxa" w:w="7488"/>
            <w:vAlign w:val="center"/>
            <w:tcMar>
              <w:top w:w="90" w:type="dxa"/>
              <w:start w:w="100" w:type="dxa"/>
              <w:bottom w:w="90" w:type="dxa"/>
              <w:end w:w="100" w:type="dxa"/>
            </w:tcMar>
            <w:shd w:fill="F4F8FB"/>
          </w:tcPr>
          <w:p>
            <w:pPr>
              <w:spacing w:after="20"/>
              <w:jc w:val="left"/>
            </w:pPr>
            <w:r>
              <w:rPr>
                <w:rFonts w:ascii="Times New Roman" w:hAnsi="Times New Roman"/>
                <w:sz w:val="18"/>
              </w:rPr>
              <w:t>Application request path</w:t>
            </w:r>
          </w:p>
        </w:tc>
      </w:tr>
      <w:tr>
        <w:tc>
          <w:tcPr>
            <w:tcW w:type="dxa" w:w="1584"/>
            <w:vAlign w:val="center"/>
            <w:tcMar>
              <w:top w:w="90" w:type="dxa"/>
              <w:start w:w="100" w:type="dxa"/>
              <w:bottom w:w="90" w:type="dxa"/>
              <w:end w:w="100" w:type="dxa"/>
            </w:tcMar>
          </w:tcPr>
          <w:p>
            <w:pPr>
              <w:spacing w:after="20"/>
              <w:jc w:val="left"/>
            </w:pPr>
            <w:r>
              <w:rPr>
                <w:rFonts w:ascii="Times New Roman" w:hAnsi="Times New Roman"/>
                <w:sz w:val="18"/>
              </w:rPr>
              <w:t>Figure 02</w:t>
            </w:r>
          </w:p>
        </w:tc>
        <w:tc>
          <w:tcPr>
            <w:tcW w:type="dxa" w:w="7488"/>
            <w:vAlign w:val="center"/>
            <w:tcMar>
              <w:top w:w="90" w:type="dxa"/>
              <w:start w:w="100" w:type="dxa"/>
              <w:bottom w:w="90" w:type="dxa"/>
              <w:end w:w="100" w:type="dxa"/>
            </w:tcMar>
          </w:tcPr>
          <w:p>
            <w:pPr>
              <w:spacing w:after="20"/>
              <w:jc w:val="left"/>
            </w:pPr>
            <w:r>
              <w:rPr>
                <w:rFonts w:ascii="Times New Roman" w:hAnsi="Times New Roman"/>
                <w:sz w:val="18"/>
              </w:rPr>
              <w:t>Three cooperating planes</w:t>
            </w:r>
          </w:p>
        </w:tc>
      </w:tr>
      <w:tr>
        <w:tc>
          <w:tcPr>
            <w:tcW w:type="dxa" w:w="1584"/>
            <w:vAlign w:val="center"/>
            <w:tcMar>
              <w:top w:w="90" w:type="dxa"/>
              <w:start w:w="100" w:type="dxa"/>
              <w:bottom w:w="90" w:type="dxa"/>
              <w:end w:w="100" w:type="dxa"/>
            </w:tcMar>
            <w:shd w:fill="F4F8FB"/>
          </w:tcPr>
          <w:p>
            <w:pPr>
              <w:spacing w:after="20"/>
              <w:jc w:val="left"/>
            </w:pPr>
            <w:r>
              <w:rPr>
                <w:rFonts w:ascii="Times New Roman" w:hAnsi="Times New Roman"/>
                <w:sz w:val="18"/>
              </w:rPr>
              <w:t>Figure 03</w:t>
            </w:r>
          </w:p>
        </w:tc>
        <w:tc>
          <w:tcPr>
            <w:tcW w:type="dxa" w:w="7488"/>
            <w:vAlign w:val="center"/>
            <w:tcMar>
              <w:top w:w="90" w:type="dxa"/>
              <w:start w:w="100" w:type="dxa"/>
              <w:bottom w:w="90" w:type="dxa"/>
              <w:end w:w="100" w:type="dxa"/>
            </w:tcMar>
            <w:shd w:fill="F4F8FB"/>
          </w:tcPr>
          <w:p>
            <w:pPr>
              <w:spacing w:after="20"/>
              <w:jc w:val="left"/>
            </w:pPr>
            <w:r>
              <w:rPr>
                <w:rFonts w:ascii="Times New Roman" w:hAnsi="Times New Roman"/>
                <w:sz w:val="18"/>
              </w:rPr>
              <w:t>CI path from source to updated deployment tag</w:t>
            </w:r>
          </w:p>
        </w:tc>
      </w:tr>
      <w:tr>
        <w:tc>
          <w:tcPr>
            <w:tcW w:type="dxa" w:w="1584"/>
            <w:vAlign w:val="center"/>
            <w:tcMar>
              <w:top w:w="90" w:type="dxa"/>
              <w:start w:w="100" w:type="dxa"/>
              <w:bottom w:w="90" w:type="dxa"/>
              <w:end w:w="100" w:type="dxa"/>
            </w:tcMar>
          </w:tcPr>
          <w:p>
            <w:pPr>
              <w:spacing w:after="20"/>
              <w:jc w:val="left"/>
            </w:pPr>
            <w:r>
              <w:rPr>
                <w:rFonts w:ascii="Times New Roman" w:hAnsi="Times New Roman"/>
                <w:sz w:val="18"/>
              </w:rPr>
              <w:t>Figure 04</w:t>
            </w:r>
          </w:p>
        </w:tc>
        <w:tc>
          <w:tcPr>
            <w:tcW w:type="dxa" w:w="7488"/>
            <w:vAlign w:val="center"/>
            <w:tcMar>
              <w:top w:w="90" w:type="dxa"/>
              <w:start w:w="100" w:type="dxa"/>
              <w:bottom w:w="90" w:type="dxa"/>
              <w:end w:w="100" w:type="dxa"/>
            </w:tcMar>
          </w:tcPr>
          <w:p>
            <w:pPr>
              <w:spacing w:after="20"/>
              <w:jc w:val="left"/>
            </w:pPr>
            <w:r>
              <w:rPr>
                <w:rFonts w:ascii="Times New Roman" w:hAnsi="Times New Roman"/>
                <w:sz w:val="18"/>
              </w:rPr>
              <w:t>Pull-based GitOps reconciliation loop</w:t>
            </w:r>
          </w:p>
        </w:tc>
      </w:tr>
      <w:tr>
        <w:tc>
          <w:tcPr>
            <w:tcW w:type="dxa" w:w="1584"/>
            <w:vAlign w:val="center"/>
            <w:tcMar>
              <w:top w:w="90" w:type="dxa"/>
              <w:start w:w="100" w:type="dxa"/>
              <w:bottom w:w="90" w:type="dxa"/>
              <w:end w:w="100" w:type="dxa"/>
            </w:tcMar>
            <w:shd w:fill="F4F8FB"/>
          </w:tcPr>
          <w:p>
            <w:pPr>
              <w:spacing w:after="20"/>
              <w:jc w:val="left"/>
            </w:pPr>
            <w:r>
              <w:rPr>
                <w:rFonts w:ascii="Times New Roman" w:hAnsi="Times New Roman"/>
                <w:sz w:val="18"/>
              </w:rPr>
              <w:t>Figure 05</w:t>
            </w:r>
          </w:p>
        </w:tc>
        <w:tc>
          <w:tcPr>
            <w:tcW w:type="dxa" w:w="7488"/>
            <w:vAlign w:val="center"/>
            <w:tcMar>
              <w:top w:w="90" w:type="dxa"/>
              <w:start w:w="100" w:type="dxa"/>
              <w:bottom w:w="90" w:type="dxa"/>
              <w:end w:w="100" w:type="dxa"/>
            </w:tcMar>
            <w:shd w:fill="F4F8FB"/>
          </w:tcPr>
          <w:p>
            <w:pPr>
              <w:spacing w:after="20"/>
              <w:jc w:val="left"/>
            </w:pPr>
            <w:r>
              <w:rPr>
                <w:rFonts w:ascii="Times New Roman" w:hAnsi="Times New Roman"/>
                <w:sz w:val="18"/>
              </w:rPr>
              <w:t>VMware lab topology</w:t>
            </w:r>
          </w:p>
        </w:tc>
      </w:tr>
      <w:tr>
        <w:tc>
          <w:tcPr>
            <w:tcW w:type="dxa" w:w="1584"/>
            <w:vAlign w:val="center"/>
            <w:tcMar>
              <w:top w:w="90" w:type="dxa"/>
              <w:start w:w="100" w:type="dxa"/>
              <w:bottom w:w="90" w:type="dxa"/>
              <w:end w:w="100" w:type="dxa"/>
            </w:tcMar>
          </w:tcPr>
          <w:p>
            <w:pPr>
              <w:spacing w:after="20"/>
              <w:jc w:val="left"/>
            </w:pPr>
            <w:r>
              <w:rPr>
                <w:rFonts w:ascii="Times New Roman" w:hAnsi="Times New Roman"/>
                <w:sz w:val="18"/>
              </w:rPr>
              <w:t>Figure 06</w:t>
            </w:r>
          </w:p>
        </w:tc>
        <w:tc>
          <w:tcPr>
            <w:tcW w:type="dxa" w:w="7488"/>
            <w:vAlign w:val="center"/>
            <w:tcMar>
              <w:top w:w="90" w:type="dxa"/>
              <w:start w:w="100" w:type="dxa"/>
              <w:bottom w:w="90" w:type="dxa"/>
              <w:end w:w="100" w:type="dxa"/>
            </w:tcMar>
          </w:tcPr>
          <w:p>
            <w:pPr>
              <w:spacing w:after="20"/>
              <w:jc w:val="left"/>
            </w:pPr>
            <w:r>
              <w:rPr>
                <w:rFonts w:ascii="Times New Roman" w:hAnsi="Times New Roman"/>
                <w:sz w:val="18"/>
              </w:rPr>
              <w:t>LAN endpoint path</w:t>
            </w:r>
          </w:p>
        </w:tc>
      </w:tr>
    </w:tbl>
    <w:p>
      <w:pPr>
        <w:spacing w:after="20"/>
      </w:pPr>
    </w:p>
    <w:p>
      <w:pPr>
        <w:pStyle w:val="Heading1"/>
      </w:pPr>
      <w:r>
        <w:t>Abbreviations</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2160"/>
            <w:shd w:fill="1F4E79"/>
            <w:vAlign w:val="center"/>
            <w:tcMar>
              <w:top w:w="90" w:type="dxa"/>
              <w:start w:w="100" w:type="dxa"/>
              <w:bottom w:w="90" w:type="dxa"/>
              <w:end w:w="100" w:type="dxa"/>
            </w:tcMar>
          </w:tcPr>
          <w:p>
            <w:r>
              <w:rPr>
                <w:b/>
                <w:color w:val="FFFFFF"/>
                <w:sz w:val="18"/>
              </w:rPr>
              <w:t>Term</w:t>
            </w:r>
          </w:p>
        </w:tc>
        <w:tc>
          <w:tcPr>
            <w:tcW w:type="dxa" w:w="6912"/>
            <w:shd w:fill="1F4E79"/>
            <w:vAlign w:val="center"/>
            <w:tcMar>
              <w:top w:w="90" w:type="dxa"/>
              <w:start w:w="100" w:type="dxa"/>
              <w:bottom w:w="90" w:type="dxa"/>
              <w:end w:w="100" w:type="dxa"/>
            </w:tcMar>
          </w:tcPr>
          <w:p>
            <w:r>
              <w:rPr>
                <w:b/>
                <w:color w:val="FFFFFF"/>
                <w:sz w:val="18"/>
              </w:rPr>
              <w:t>Meaning</w:t>
            </w:r>
          </w:p>
        </w:tc>
      </w:tr>
      <w:tr>
        <w:tc>
          <w:tcPr>
            <w:tcW w:type="dxa" w:w="2160"/>
            <w:vAlign w:val="center"/>
            <w:tcMar>
              <w:top w:w="90" w:type="dxa"/>
              <w:start w:w="100" w:type="dxa"/>
              <w:bottom w:w="90" w:type="dxa"/>
              <w:end w:w="100" w:type="dxa"/>
            </w:tcMar>
            <w:shd w:fill="F4F8FB"/>
          </w:tcPr>
          <w:p>
            <w:pPr>
              <w:spacing w:after="20"/>
              <w:jc w:val="left"/>
            </w:pPr>
            <w:r>
              <w:rPr>
                <w:rFonts w:ascii="Times New Roman" w:hAnsi="Times New Roman"/>
                <w:sz w:val="18"/>
              </w:rPr>
              <w:t>API</w:t>
            </w:r>
          </w:p>
        </w:tc>
        <w:tc>
          <w:tcPr>
            <w:tcW w:type="dxa" w:w="6912"/>
            <w:vAlign w:val="center"/>
            <w:tcMar>
              <w:top w:w="90" w:type="dxa"/>
              <w:start w:w="100" w:type="dxa"/>
              <w:bottom w:w="90" w:type="dxa"/>
              <w:end w:w="100" w:type="dxa"/>
            </w:tcMar>
            <w:shd w:fill="F4F8FB"/>
          </w:tcPr>
          <w:p>
            <w:pPr>
              <w:spacing w:after="20"/>
              <w:jc w:val="left"/>
            </w:pPr>
            <w:r>
              <w:rPr>
                <w:rFonts w:ascii="Times New Roman" w:hAnsi="Times New Roman"/>
                <w:sz w:val="18"/>
              </w:rPr>
              <w:t>Application programming interface</w:t>
            </w:r>
          </w:p>
        </w:tc>
      </w:tr>
      <w:tr>
        <w:tc>
          <w:tcPr>
            <w:tcW w:type="dxa" w:w="2160"/>
            <w:vAlign w:val="center"/>
            <w:tcMar>
              <w:top w:w="90" w:type="dxa"/>
              <w:start w:w="100" w:type="dxa"/>
              <w:bottom w:w="90" w:type="dxa"/>
              <w:end w:w="100" w:type="dxa"/>
            </w:tcMar>
          </w:tcPr>
          <w:p>
            <w:pPr>
              <w:spacing w:after="20"/>
              <w:jc w:val="left"/>
            </w:pPr>
            <w:r>
              <w:rPr>
                <w:rFonts w:ascii="Times New Roman" w:hAnsi="Times New Roman"/>
                <w:sz w:val="18"/>
              </w:rPr>
              <w:t>CI/CD</w:t>
            </w:r>
          </w:p>
        </w:tc>
        <w:tc>
          <w:tcPr>
            <w:tcW w:type="dxa" w:w="6912"/>
            <w:vAlign w:val="center"/>
            <w:tcMar>
              <w:top w:w="90" w:type="dxa"/>
              <w:start w:w="100" w:type="dxa"/>
              <w:bottom w:w="90" w:type="dxa"/>
              <w:end w:w="100" w:type="dxa"/>
            </w:tcMar>
          </w:tcPr>
          <w:p>
            <w:pPr>
              <w:spacing w:after="20"/>
              <w:jc w:val="left"/>
            </w:pPr>
            <w:r>
              <w:rPr>
                <w:rFonts w:ascii="Times New Roman" w:hAnsi="Times New Roman"/>
                <w:sz w:val="18"/>
              </w:rPr>
              <w:t>Continuous integration and continuous delivery</w:t>
            </w:r>
          </w:p>
        </w:tc>
      </w:tr>
      <w:tr>
        <w:tc>
          <w:tcPr>
            <w:tcW w:type="dxa" w:w="2160"/>
            <w:vAlign w:val="center"/>
            <w:tcMar>
              <w:top w:w="90" w:type="dxa"/>
              <w:start w:w="100" w:type="dxa"/>
              <w:bottom w:w="90" w:type="dxa"/>
              <w:end w:w="100" w:type="dxa"/>
            </w:tcMar>
            <w:shd w:fill="F4F8FB"/>
          </w:tcPr>
          <w:p>
            <w:pPr>
              <w:spacing w:after="20"/>
              <w:jc w:val="left"/>
            </w:pPr>
            <w:r>
              <w:rPr>
                <w:rFonts w:ascii="Times New Roman" w:hAnsi="Times New Roman"/>
                <w:sz w:val="18"/>
              </w:rPr>
              <w:t>CNI</w:t>
            </w:r>
          </w:p>
        </w:tc>
        <w:tc>
          <w:tcPr>
            <w:tcW w:type="dxa" w:w="6912"/>
            <w:vAlign w:val="center"/>
            <w:tcMar>
              <w:top w:w="90" w:type="dxa"/>
              <w:start w:w="100" w:type="dxa"/>
              <w:bottom w:w="90" w:type="dxa"/>
              <w:end w:w="100" w:type="dxa"/>
            </w:tcMar>
            <w:shd w:fill="F4F8FB"/>
          </w:tcPr>
          <w:p>
            <w:pPr>
              <w:spacing w:after="20"/>
              <w:jc w:val="left"/>
            </w:pPr>
            <w:r>
              <w:rPr>
                <w:rFonts w:ascii="Times New Roman" w:hAnsi="Times New Roman"/>
                <w:sz w:val="18"/>
              </w:rPr>
              <w:t>Container network interface</w:t>
            </w:r>
          </w:p>
        </w:tc>
      </w:tr>
      <w:tr>
        <w:tc>
          <w:tcPr>
            <w:tcW w:type="dxa" w:w="2160"/>
            <w:vAlign w:val="center"/>
            <w:tcMar>
              <w:top w:w="90" w:type="dxa"/>
              <w:start w:w="100" w:type="dxa"/>
              <w:bottom w:w="90" w:type="dxa"/>
              <w:end w:w="100" w:type="dxa"/>
            </w:tcMar>
          </w:tcPr>
          <w:p>
            <w:pPr>
              <w:spacing w:after="20"/>
              <w:jc w:val="left"/>
            </w:pPr>
            <w:r>
              <w:rPr>
                <w:rFonts w:ascii="Times New Roman" w:hAnsi="Times New Roman"/>
                <w:sz w:val="18"/>
              </w:rPr>
              <w:t>CORS</w:t>
            </w:r>
          </w:p>
        </w:tc>
        <w:tc>
          <w:tcPr>
            <w:tcW w:type="dxa" w:w="6912"/>
            <w:vAlign w:val="center"/>
            <w:tcMar>
              <w:top w:w="90" w:type="dxa"/>
              <w:start w:w="100" w:type="dxa"/>
              <w:bottom w:w="90" w:type="dxa"/>
              <w:end w:w="100" w:type="dxa"/>
            </w:tcMar>
          </w:tcPr>
          <w:p>
            <w:pPr>
              <w:spacing w:after="20"/>
              <w:jc w:val="left"/>
            </w:pPr>
            <w:r>
              <w:rPr>
                <w:rFonts w:ascii="Times New Roman" w:hAnsi="Times New Roman"/>
                <w:sz w:val="18"/>
              </w:rPr>
              <w:t>Cross-origin resource sharing</w:t>
            </w:r>
          </w:p>
        </w:tc>
      </w:tr>
      <w:tr>
        <w:tc>
          <w:tcPr>
            <w:tcW w:type="dxa" w:w="2160"/>
            <w:vAlign w:val="center"/>
            <w:tcMar>
              <w:top w:w="90" w:type="dxa"/>
              <w:start w:w="100" w:type="dxa"/>
              <w:bottom w:w="90" w:type="dxa"/>
              <w:end w:w="100" w:type="dxa"/>
            </w:tcMar>
            <w:shd w:fill="F4F8FB"/>
          </w:tcPr>
          <w:p>
            <w:pPr>
              <w:spacing w:after="20"/>
              <w:jc w:val="left"/>
            </w:pPr>
            <w:r>
              <w:rPr>
                <w:rFonts w:ascii="Times New Roman" w:hAnsi="Times New Roman"/>
                <w:sz w:val="18"/>
              </w:rPr>
              <w:t>CRUD</w:t>
            </w:r>
          </w:p>
        </w:tc>
        <w:tc>
          <w:tcPr>
            <w:tcW w:type="dxa" w:w="6912"/>
            <w:vAlign w:val="center"/>
            <w:tcMar>
              <w:top w:w="90" w:type="dxa"/>
              <w:start w:w="100" w:type="dxa"/>
              <w:bottom w:w="90" w:type="dxa"/>
              <w:end w:w="100" w:type="dxa"/>
            </w:tcMar>
            <w:shd w:fill="F4F8FB"/>
          </w:tcPr>
          <w:p>
            <w:pPr>
              <w:spacing w:after="20"/>
              <w:jc w:val="left"/>
            </w:pPr>
            <w:r>
              <w:rPr>
                <w:rFonts w:ascii="Times New Roman" w:hAnsi="Times New Roman"/>
                <w:sz w:val="18"/>
              </w:rPr>
              <w:t>Create, read, update, and delete</w:t>
            </w:r>
          </w:p>
        </w:tc>
      </w:tr>
      <w:tr>
        <w:tc>
          <w:tcPr>
            <w:tcW w:type="dxa" w:w="2160"/>
            <w:vAlign w:val="center"/>
            <w:tcMar>
              <w:top w:w="90" w:type="dxa"/>
              <w:start w:w="100" w:type="dxa"/>
              <w:bottom w:w="90" w:type="dxa"/>
              <w:end w:w="100" w:type="dxa"/>
            </w:tcMar>
          </w:tcPr>
          <w:p>
            <w:pPr>
              <w:spacing w:after="20"/>
              <w:jc w:val="left"/>
            </w:pPr>
            <w:r>
              <w:rPr>
                <w:rFonts w:ascii="Times New Roman" w:hAnsi="Times New Roman"/>
                <w:sz w:val="18"/>
              </w:rPr>
              <w:t>DIND</w:t>
            </w:r>
          </w:p>
        </w:tc>
        <w:tc>
          <w:tcPr>
            <w:tcW w:type="dxa" w:w="6912"/>
            <w:vAlign w:val="center"/>
            <w:tcMar>
              <w:top w:w="90" w:type="dxa"/>
              <w:start w:w="100" w:type="dxa"/>
              <w:bottom w:w="90" w:type="dxa"/>
              <w:end w:w="100" w:type="dxa"/>
            </w:tcMar>
          </w:tcPr>
          <w:p>
            <w:pPr>
              <w:spacing w:after="20"/>
              <w:jc w:val="left"/>
            </w:pPr>
            <w:r>
              <w:rPr>
                <w:rFonts w:ascii="Times New Roman" w:hAnsi="Times New Roman"/>
                <w:sz w:val="18"/>
              </w:rPr>
              <w:t>Docker-in-Docker</w:t>
            </w:r>
          </w:p>
        </w:tc>
      </w:tr>
      <w:tr>
        <w:tc>
          <w:tcPr>
            <w:tcW w:type="dxa" w:w="2160"/>
            <w:vAlign w:val="center"/>
            <w:tcMar>
              <w:top w:w="90" w:type="dxa"/>
              <w:start w:w="100" w:type="dxa"/>
              <w:bottom w:w="90" w:type="dxa"/>
              <w:end w:w="100" w:type="dxa"/>
            </w:tcMar>
            <w:shd w:fill="F4F8FB"/>
          </w:tcPr>
          <w:p>
            <w:pPr>
              <w:spacing w:after="20"/>
              <w:jc w:val="left"/>
            </w:pPr>
            <w:r>
              <w:rPr>
                <w:rFonts w:ascii="Times New Roman" w:hAnsi="Times New Roman"/>
                <w:sz w:val="18"/>
              </w:rPr>
              <w:t>DNS</w:t>
            </w:r>
          </w:p>
        </w:tc>
        <w:tc>
          <w:tcPr>
            <w:tcW w:type="dxa" w:w="6912"/>
            <w:vAlign w:val="center"/>
            <w:tcMar>
              <w:top w:w="90" w:type="dxa"/>
              <w:start w:w="100" w:type="dxa"/>
              <w:bottom w:w="90" w:type="dxa"/>
              <w:end w:w="100" w:type="dxa"/>
            </w:tcMar>
            <w:shd w:fill="F4F8FB"/>
          </w:tcPr>
          <w:p>
            <w:pPr>
              <w:spacing w:after="20"/>
              <w:jc w:val="left"/>
            </w:pPr>
            <w:r>
              <w:rPr>
                <w:rFonts w:ascii="Times New Roman" w:hAnsi="Times New Roman"/>
                <w:sz w:val="18"/>
              </w:rPr>
              <w:t>Domain Name System</w:t>
            </w:r>
          </w:p>
        </w:tc>
      </w:tr>
      <w:tr>
        <w:tc>
          <w:tcPr>
            <w:tcW w:type="dxa" w:w="2160"/>
            <w:vAlign w:val="center"/>
            <w:tcMar>
              <w:top w:w="90" w:type="dxa"/>
              <w:start w:w="100" w:type="dxa"/>
              <w:bottom w:w="90" w:type="dxa"/>
              <w:end w:w="100" w:type="dxa"/>
            </w:tcMar>
          </w:tcPr>
          <w:p>
            <w:pPr>
              <w:spacing w:after="20"/>
              <w:jc w:val="left"/>
            </w:pPr>
            <w:r>
              <w:rPr>
                <w:rFonts w:ascii="Times New Roman" w:hAnsi="Times New Roman"/>
                <w:sz w:val="18"/>
              </w:rPr>
              <w:t>GitOps</w:t>
            </w:r>
          </w:p>
        </w:tc>
        <w:tc>
          <w:tcPr>
            <w:tcW w:type="dxa" w:w="6912"/>
            <w:vAlign w:val="center"/>
            <w:tcMar>
              <w:top w:w="90" w:type="dxa"/>
              <w:start w:w="100" w:type="dxa"/>
              <w:bottom w:w="90" w:type="dxa"/>
              <w:end w:w="100" w:type="dxa"/>
            </w:tcMar>
          </w:tcPr>
          <w:p>
            <w:pPr>
              <w:spacing w:after="20"/>
              <w:jc w:val="left"/>
            </w:pPr>
            <w:r>
              <w:rPr>
                <w:rFonts w:ascii="Times New Roman" w:hAnsi="Times New Roman"/>
                <w:sz w:val="18"/>
              </w:rPr>
              <w:t>Operating infrastructure and applications through version-controlled desired state</w:t>
            </w:r>
          </w:p>
        </w:tc>
      </w:tr>
      <w:tr>
        <w:tc>
          <w:tcPr>
            <w:tcW w:type="dxa" w:w="2160"/>
            <w:vAlign w:val="center"/>
            <w:tcMar>
              <w:top w:w="90" w:type="dxa"/>
              <w:start w:w="100" w:type="dxa"/>
              <w:bottom w:w="90" w:type="dxa"/>
              <w:end w:w="100" w:type="dxa"/>
            </w:tcMar>
            <w:shd w:fill="F4F8FB"/>
          </w:tcPr>
          <w:p>
            <w:pPr>
              <w:spacing w:after="20"/>
              <w:jc w:val="left"/>
            </w:pPr>
            <w:r>
              <w:rPr>
                <w:rFonts w:ascii="Times New Roman" w:hAnsi="Times New Roman"/>
                <w:sz w:val="18"/>
              </w:rPr>
              <w:t>HA</w:t>
            </w:r>
          </w:p>
        </w:tc>
        <w:tc>
          <w:tcPr>
            <w:tcW w:type="dxa" w:w="6912"/>
            <w:vAlign w:val="center"/>
            <w:tcMar>
              <w:top w:w="90" w:type="dxa"/>
              <w:start w:w="100" w:type="dxa"/>
              <w:bottom w:w="90" w:type="dxa"/>
              <w:end w:w="100" w:type="dxa"/>
            </w:tcMar>
            <w:shd w:fill="F4F8FB"/>
          </w:tcPr>
          <w:p>
            <w:pPr>
              <w:spacing w:after="20"/>
              <w:jc w:val="left"/>
            </w:pPr>
            <w:r>
              <w:rPr>
                <w:rFonts w:ascii="Times New Roman" w:hAnsi="Times New Roman"/>
                <w:sz w:val="18"/>
              </w:rPr>
              <w:t>High availability</w:t>
            </w:r>
          </w:p>
        </w:tc>
      </w:tr>
      <w:tr>
        <w:tc>
          <w:tcPr>
            <w:tcW w:type="dxa" w:w="2160"/>
            <w:vAlign w:val="center"/>
            <w:tcMar>
              <w:top w:w="90" w:type="dxa"/>
              <w:start w:w="100" w:type="dxa"/>
              <w:bottom w:w="90" w:type="dxa"/>
              <w:end w:w="100" w:type="dxa"/>
            </w:tcMar>
          </w:tcPr>
          <w:p>
            <w:pPr>
              <w:spacing w:after="20"/>
              <w:jc w:val="left"/>
            </w:pPr>
            <w:r>
              <w:rPr>
                <w:rFonts w:ascii="Times New Roman" w:hAnsi="Times New Roman"/>
                <w:sz w:val="18"/>
              </w:rPr>
              <w:t>Helm</w:t>
            </w:r>
          </w:p>
        </w:tc>
        <w:tc>
          <w:tcPr>
            <w:tcW w:type="dxa" w:w="6912"/>
            <w:vAlign w:val="center"/>
            <w:tcMar>
              <w:top w:w="90" w:type="dxa"/>
              <w:start w:w="100" w:type="dxa"/>
              <w:bottom w:w="90" w:type="dxa"/>
              <w:end w:w="100" w:type="dxa"/>
            </w:tcMar>
          </w:tcPr>
          <w:p>
            <w:pPr>
              <w:spacing w:after="20"/>
              <w:jc w:val="left"/>
            </w:pPr>
            <w:r>
              <w:rPr>
                <w:rFonts w:ascii="Times New Roman" w:hAnsi="Times New Roman"/>
                <w:sz w:val="18"/>
              </w:rPr>
              <w:t>Kubernetes package manager and templating format</w:t>
            </w:r>
          </w:p>
        </w:tc>
      </w:tr>
      <w:tr>
        <w:tc>
          <w:tcPr>
            <w:tcW w:type="dxa" w:w="2160"/>
            <w:vAlign w:val="center"/>
            <w:tcMar>
              <w:top w:w="90" w:type="dxa"/>
              <w:start w:w="100" w:type="dxa"/>
              <w:bottom w:w="90" w:type="dxa"/>
              <w:end w:w="100" w:type="dxa"/>
            </w:tcMar>
            <w:shd w:fill="F4F8FB"/>
          </w:tcPr>
          <w:p>
            <w:pPr>
              <w:spacing w:after="20"/>
              <w:jc w:val="left"/>
            </w:pPr>
            <w:r>
              <w:rPr>
                <w:rFonts w:ascii="Times New Roman" w:hAnsi="Times New Roman"/>
                <w:sz w:val="18"/>
              </w:rPr>
              <w:t>JWT</w:t>
            </w:r>
          </w:p>
        </w:tc>
        <w:tc>
          <w:tcPr>
            <w:tcW w:type="dxa" w:w="6912"/>
            <w:vAlign w:val="center"/>
            <w:tcMar>
              <w:top w:w="90" w:type="dxa"/>
              <w:start w:w="100" w:type="dxa"/>
              <w:bottom w:w="90" w:type="dxa"/>
              <w:end w:w="100" w:type="dxa"/>
            </w:tcMar>
            <w:shd w:fill="F4F8FB"/>
          </w:tcPr>
          <w:p>
            <w:pPr>
              <w:spacing w:after="20"/>
              <w:jc w:val="left"/>
            </w:pPr>
            <w:r>
              <w:rPr>
                <w:rFonts w:ascii="Times New Roman" w:hAnsi="Times New Roman"/>
                <w:sz w:val="18"/>
              </w:rPr>
              <w:t>JSON Web Token</w:t>
            </w:r>
          </w:p>
        </w:tc>
      </w:tr>
      <w:tr>
        <w:tc>
          <w:tcPr>
            <w:tcW w:type="dxa" w:w="2160"/>
            <w:vAlign w:val="center"/>
            <w:tcMar>
              <w:top w:w="90" w:type="dxa"/>
              <w:start w:w="100" w:type="dxa"/>
              <w:bottom w:w="90" w:type="dxa"/>
              <w:end w:w="100" w:type="dxa"/>
            </w:tcMar>
          </w:tcPr>
          <w:p>
            <w:pPr>
              <w:spacing w:after="20"/>
              <w:jc w:val="left"/>
            </w:pPr>
            <w:r>
              <w:rPr>
                <w:rFonts w:ascii="Times New Roman" w:hAnsi="Times New Roman"/>
                <w:sz w:val="18"/>
              </w:rPr>
              <w:t>K8s</w:t>
            </w:r>
          </w:p>
        </w:tc>
        <w:tc>
          <w:tcPr>
            <w:tcW w:type="dxa" w:w="6912"/>
            <w:vAlign w:val="center"/>
            <w:tcMar>
              <w:top w:w="90" w:type="dxa"/>
              <w:start w:w="100" w:type="dxa"/>
              <w:bottom w:w="90" w:type="dxa"/>
              <w:end w:w="100" w:type="dxa"/>
            </w:tcMar>
          </w:tcPr>
          <w:p>
            <w:pPr>
              <w:spacing w:after="20"/>
              <w:jc w:val="left"/>
            </w:pPr>
            <w:r>
              <w:rPr>
                <w:rFonts w:ascii="Times New Roman" w:hAnsi="Times New Roman"/>
                <w:sz w:val="18"/>
              </w:rPr>
              <w:t>Kubernetes</w:t>
            </w:r>
          </w:p>
        </w:tc>
      </w:tr>
      <w:tr>
        <w:tc>
          <w:tcPr>
            <w:tcW w:type="dxa" w:w="2160"/>
            <w:vAlign w:val="center"/>
            <w:tcMar>
              <w:top w:w="90" w:type="dxa"/>
              <w:start w:w="100" w:type="dxa"/>
              <w:bottom w:w="90" w:type="dxa"/>
              <w:end w:w="100" w:type="dxa"/>
            </w:tcMar>
            <w:shd w:fill="F4F8FB"/>
          </w:tcPr>
          <w:p>
            <w:pPr>
              <w:spacing w:after="20"/>
              <w:jc w:val="left"/>
            </w:pPr>
            <w:r>
              <w:rPr>
                <w:rFonts w:ascii="Times New Roman" w:hAnsi="Times New Roman"/>
                <w:sz w:val="18"/>
              </w:rPr>
              <w:t>PVC / PV</w:t>
            </w:r>
          </w:p>
        </w:tc>
        <w:tc>
          <w:tcPr>
            <w:tcW w:type="dxa" w:w="6912"/>
            <w:vAlign w:val="center"/>
            <w:tcMar>
              <w:top w:w="90" w:type="dxa"/>
              <w:start w:w="100" w:type="dxa"/>
              <w:bottom w:w="90" w:type="dxa"/>
              <w:end w:w="100" w:type="dxa"/>
            </w:tcMar>
            <w:shd w:fill="F4F8FB"/>
          </w:tcPr>
          <w:p>
            <w:pPr>
              <w:spacing w:after="20"/>
              <w:jc w:val="left"/>
            </w:pPr>
            <w:r>
              <w:rPr>
                <w:rFonts w:ascii="Times New Roman" w:hAnsi="Times New Roman"/>
                <w:sz w:val="18"/>
              </w:rPr>
              <w:t>PersistentVolumeClaim / PersistentVolume</w:t>
            </w:r>
          </w:p>
        </w:tc>
      </w:tr>
      <w:tr>
        <w:tc>
          <w:tcPr>
            <w:tcW w:type="dxa" w:w="2160"/>
            <w:vAlign w:val="center"/>
            <w:tcMar>
              <w:top w:w="90" w:type="dxa"/>
              <w:start w:w="100" w:type="dxa"/>
              <w:bottom w:w="90" w:type="dxa"/>
              <w:end w:w="100" w:type="dxa"/>
            </w:tcMar>
          </w:tcPr>
          <w:p>
            <w:pPr>
              <w:spacing w:after="20"/>
              <w:jc w:val="left"/>
            </w:pPr>
            <w:r>
              <w:rPr>
                <w:rFonts w:ascii="Times New Roman" w:hAnsi="Times New Roman"/>
                <w:sz w:val="18"/>
              </w:rPr>
              <w:t>RBAC</w:t>
            </w:r>
          </w:p>
        </w:tc>
        <w:tc>
          <w:tcPr>
            <w:tcW w:type="dxa" w:w="6912"/>
            <w:vAlign w:val="center"/>
            <w:tcMar>
              <w:top w:w="90" w:type="dxa"/>
              <w:start w:w="100" w:type="dxa"/>
              <w:bottom w:w="90" w:type="dxa"/>
              <w:end w:w="100" w:type="dxa"/>
            </w:tcMar>
          </w:tcPr>
          <w:p>
            <w:pPr>
              <w:spacing w:after="20"/>
              <w:jc w:val="left"/>
            </w:pPr>
            <w:r>
              <w:rPr>
                <w:rFonts w:ascii="Times New Roman" w:hAnsi="Times New Roman"/>
                <w:sz w:val="18"/>
              </w:rPr>
              <w:t>Role-based access control</w:t>
            </w:r>
          </w:p>
        </w:tc>
      </w:tr>
      <w:tr>
        <w:tc>
          <w:tcPr>
            <w:tcW w:type="dxa" w:w="2160"/>
            <w:vAlign w:val="center"/>
            <w:tcMar>
              <w:top w:w="90" w:type="dxa"/>
              <w:start w:w="100" w:type="dxa"/>
              <w:bottom w:w="90" w:type="dxa"/>
              <w:end w:w="100" w:type="dxa"/>
            </w:tcMar>
            <w:shd w:fill="F4F8FB"/>
          </w:tcPr>
          <w:p>
            <w:pPr>
              <w:spacing w:after="20"/>
              <w:jc w:val="left"/>
            </w:pPr>
            <w:r>
              <w:rPr>
                <w:rFonts w:ascii="Times New Roman" w:hAnsi="Times New Roman"/>
                <w:sz w:val="18"/>
              </w:rPr>
              <w:t>TLS</w:t>
            </w:r>
          </w:p>
        </w:tc>
        <w:tc>
          <w:tcPr>
            <w:tcW w:type="dxa" w:w="6912"/>
            <w:vAlign w:val="center"/>
            <w:tcMar>
              <w:top w:w="90" w:type="dxa"/>
              <w:start w:w="100" w:type="dxa"/>
              <w:bottom w:w="90" w:type="dxa"/>
              <w:end w:w="100" w:type="dxa"/>
            </w:tcMar>
            <w:shd w:fill="F4F8FB"/>
          </w:tcPr>
          <w:p>
            <w:pPr>
              <w:spacing w:after="20"/>
              <w:jc w:val="left"/>
            </w:pPr>
            <w:r>
              <w:rPr>
                <w:rFonts w:ascii="Times New Roman" w:hAnsi="Times New Roman"/>
                <w:sz w:val="18"/>
              </w:rPr>
              <w:t>Transport Layer Security</w:t>
            </w:r>
          </w:p>
        </w:tc>
      </w:tr>
      <w:tr>
        <w:tc>
          <w:tcPr>
            <w:tcW w:type="dxa" w:w="2160"/>
            <w:vAlign w:val="center"/>
            <w:tcMar>
              <w:top w:w="90" w:type="dxa"/>
              <w:start w:w="100" w:type="dxa"/>
              <w:bottom w:w="90" w:type="dxa"/>
              <w:end w:w="100" w:type="dxa"/>
            </w:tcMar>
          </w:tcPr>
          <w:p>
            <w:pPr>
              <w:spacing w:after="20"/>
              <w:jc w:val="left"/>
            </w:pPr>
            <w:r>
              <w:rPr>
                <w:rFonts w:ascii="Times New Roman" w:hAnsi="Times New Roman"/>
                <w:sz w:val="18"/>
              </w:rPr>
              <w:t>VM</w:t>
            </w:r>
          </w:p>
        </w:tc>
        <w:tc>
          <w:tcPr>
            <w:tcW w:type="dxa" w:w="6912"/>
            <w:vAlign w:val="center"/>
            <w:tcMar>
              <w:top w:w="90" w:type="dxa"/>
              <w:start w:w="100" w:type="dxa"/>
              <w:bottom w:w="90" w:type="dxa"/>
              <w:end w:w="100" w:type="dxa"/>
            </w:tcMar>
          </w:tcPr>
          <w:p>
            <w:pPr>
              <w:spacing w:after="20"/>
              <w:jc w:val="left"/>
            </w:pPr>
            <w:r>
              <w:rPr>
                <w:rFonts w:ascii="Times New Roman" w:hAnsi="Times New Roman"/>
                <w:sz w:val="18"/>
              </w:rPr>
              <w:t>Virtual machine</w:t>
            </w:r>
          </w:p>
        </w:tc>
      </w:tr>
      <w:tr>
        <w:tc>
          <w:tcPr>
            <w:tcW w:type="dxa" w:w="2160"/>
            <w:vAlign w:val="center"/>
            <w:tcMar>
              <w:top w:w="90" w:type="dxa"/>
              <w:start w:w="100" w:type="dxa"/>
              <w:bottom w:w="90" w:type="dxa"/>
              <w:end w:w="100" w:type="dxa"/>
            </w:tcMar>
            <w:shd w:fill="F4F8FB"/>
          </w:tcPr>
          <w:p>
            <w:pPr>
              <w:spacing w:after="20"/>
              <w:jc w:val="left"/>
            </w:pPr>
            <w:r>
              <w:rPr>
                <w:rFonts w:ascii="Times New Roman" w:hAnsi="Times New Roman"/>
                <w:sz w:val="18"/>
              </w:rPr>
              <w:t>YAML</w:t>
            </w:r>
          </w:p>
        </w:tc>
        <w:tc>
          <w:tcPr>
            <w:tcW w:type="dxa" w:w="6912"/>
            <w:vAlign w:val="center"/>
            <w:tcMar>
              <w:top w:w="90" w:type="dxa"/>
              <w:start w:w="100" w:type="dxa"/>
              <w:bottom w:w="90" w:type="dxa"/>
              <w:end w:w="100" w:type="dxa"/>
            </w:tcMar>
            <w:shd w:fill="F4F8FB"/>
          </w:tcPr>
          <w:p>
            <w:pPr>
              <w:spacing w:after="20"/>
              <w:jc w:val="left"/>
            </w:pPr>
            <w:r>
              <w:rPr>
                <w:rFonts w:ascii="Times New Roman" w:hAnsi="Times New Roman"/>
                <w:sz w:val="18"/>
              </w:rPr>
              <w:t>Human-readable data serialisation format</w:t>
            </w:r>
          </w:p>
        </w:tc>
      </w:tr>
    </w:tbl>
    <w:p>
      <w:pPr>
        <w:spacing w:after="20"/>
      </w:pPr>
    </w:p>
    <w:p>
      <w:r>
        <w:br w:type="page"/>
      </w:r>
    </w:p>
    <w:p>
      <w:pPr>
        <w:pStyle w:val="Heading1"/>
      </w:pPr>
      <w:r>
        <w:t>General introduction</w:t>
      </w:r>
    </w:p>
    <w:p>
      <w:r>
        <w:t>The project began as a small private-notes application and became a practical exercise in delivering software across several layers. The end goal was not merely to have containers running: it was to understand the relationships between code, image publishing, declarative deployment, cluster networking, persistent data, and user-visible behaviour.</w:t>
      </w:r>
    </w:p>
    <w:p>
      <w:pPr>
        <w:pStyle w:val="Heading2"/>
      </w:pPr>
      <w:r>
        <w:t>Background and motivation</w:t>
      </w:r>
    </w:p>
    <w:p>
      <w:r>
        <w:t>A web application can work on a developer workstation and still fail when moved to containers or a cluster. A working login page depends on several interfaces agreeing: the browser must know where to send requests, the gateway must route those requests, the services must resolve each other by service name, the database must be available, and the runtime must supply the expected secrets. The project was selected to make those boundaries concrete.</w:t>
      </w:r>
    </w:p>
    <w:p>
      <w:r>
        <w:t>The second motivation was operational. Rather than treating deployment as a list of manual kubectl commands, the project uses a pipeline to build immutable image tags and a Git repository to record the desired deployment version. Argo CD then observes that repository and reconciles the cluster. This makes the path from a commit to a running service observable and repeatable.</w:t>
      </w:r>
    </w:p>
    <w:p>
      <w:r>
        <w:t>The work was completed in an individual VMware-based lab with finite compute, no managed cloud Kubernetes service, and a private LAN. These constraints informed choices such as a single worker node, local-path storage, and NodePort exposure. The design demonstrates concepts while making its non-production limits explicit.</w:t>
      </w:r>
    </w:p>
    <w:p>
      <w:pPr>
        <w:pStyle w:val="Heading2"/>
      </w:pPr>
      <w:r>
        <w:t>Problem statement</w:t>
      </w:r>
    </w:p>
    <w:p>
      <w:r>
        <w:t>How can a small application with authenticated, user-owned notes be packaged and deployed through a reproducible DevSecOps and GitOps workflow on a two-node Kubernetes cluster, while preserving the separation of application data, deployment state, and credentials?</w:t>
      </w:r>
    </w:p>
    <w:p>
      <w:r>
        <w:t>This question has both a software dimension and an operations dimension. The application must enforce identity and ownership. The delivery system must publish the correct images and update the deployment source. The cluster must be able to fetch a private Git repository, pull container images, provision storage, route traffic, and keep the workload healthy. A failure in any of these interfaces can make the overall system appear broken even when individual components are running.</w:t>
      </w:r>
    </w:p>
    <w:p>
      <w:pPr>
        <w:pStyle w:val="Heading2"/>
      </w:pPr>
      <w:r>
        <w:t>Objectives and scope</w:t>
      </w:r>
    </w:p>
    <w:p>
      <w:r>
        <w:t>The primary objective was to build and operate a small but complete delivery chain. The system should let a user register, log in, and manage notes that belong only to that account. It should run locally in containers, produce versioned images through GitLab CI, deploy from Helm through Argo CD, persist relational data, and be reachable from a browser on the local network.</w:t>
      </w:r>
    </w:p>
    <w:p>
      <w:r>
        <w:t>The project also aimed to practise troubleshooting from evidence. Rather than treating a red pipeline or a Pending pod as an isolated error, the work followed the path of the failing request or resource: inspect the configuration, verify the component status, read the relevant logs and events, make one targeted change, and confirm the downstream effect.</w:t>
      </w:r>
    </w:p>
    <w:p>
      <w:r>
        <w:t>The scope does not include a public production deployment, a managed database, a production-grade identity provider, TLS certificate automation, multi-region availability, disaster recovery, or a complete formal security audit. Kafka was discussed as a possible extension but remained deferred. Terraform and MiniStack were explored as a separate infrastructure learning path; they did not provision the final VMware cluster.</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3106"/>
            <w:shd w:fill="1F4E79"/>
            <w:vAlign w:val="center"/>
            <w:tcMar>
              <w:top w:w="90" w:type="dxa"/>
              <w:start w:w="100" w:type="dxa"/>
              <w:bottom w:w="90" w:type="dxa"/>
              <w:end w:w="100" w:type="dxa"/>
            </w:tcMar>
          </w:tcPr>
          <w:p>
            <w:r>
              <w:rPr>
                <w:b/>
                <w:color w:val="FFFFFF"/>
                <w:sz w:val="18"/>
              </w:rPr>
              <w:t>Goal</w:t>
            </w:r>
          </w:p>
        </w:tc>
        <w:tc>
          <w:tcPr>
            <w:tcW w:type="dxa" w:w="3106"/>
            <w:shd w:fill="1F4E79"/>
            <w:vAlign w:val="center"/>
            <w:tcMar>
              <w:top w:w="90" w:type="dxa"/>
              <w:start w:w="100" w:type="dxa"/>
              <w:bottom w:w="90" w:type="dxa"/>
              <w:end w:w="100" w:type="dxa"/>
            </w:tcMar>
          </w:tcPr>
          <w:p>
            <w:r>
              <w:rPr>
                <w:b/>
                <w:color w:val="FFFFFF"/>
                <w:sz w:val="18"/>
              </w:rPr>
              <w:t>Evidence in the completed lab</w:t>
            </w:r>
          </w:p>
        </w:tc>
        <w:tc>
          <w:tcPr>
            <w:tcW w:type="dxa" w:w="3106"/>
            <w:shd w:fill="1F4E79"/>
            <w:vAlign w:val="center"/>
            <w:tcMar>
              <w:top w:w="90" w:type="dxa"/>
              <w:start w:w="100" w:type="dxa"/>
              <w:bottom w:w="90" w:type="dxa"/>
              <w:end w:w="100" w:type="dxa"/>
            </w:tcMar>
          </w:tcPr>
          <w:p>
            <w:r>
              <w:rPr>
                <w:b/>
                <w:color w:val="FFFFFF"/>
                <w:sz w:val="18"/>
              </w:rPr>
              <w:t>Boundary</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Private notes application</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Registration/login and note API; browser sign-up and login exercised</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No independent penetration test or external user study</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Containerised local development</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Compose stack with frontend, gateway, two APIs, two databases</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Local workstation stack is distinct from the Kubernetes cluster</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Automated delivery</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GitLab pipeline builds images, checks code, scans, pushes images, changes Helm tags</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Some security scan findings are reported without failing the pipeline</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GitOps deployment</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Argo CD reads private GitLab repository and synchronises Helm chart</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One lab cluster; repository token rotation remains an operational task</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Network access</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Traefik NodePort works on private VM addresses</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No public IP; same-Wi-Fi reachability depends on VMware networking and firewall</w:t>
            </w:r>
          </w:p>
        </w:tc>
      </w:tr>
    </w:tbl>
    <w:p>
      <w:pPr>
        <w:spacing w:after="20"/>
      </w:pPr>
    </w:p>
    <w:p>
      <w:pPr>
        <w:pStyle w:val="CaptionSmall"/>
      </w:pPr>
      <w:r>
        <w:t>Table 1. Project goals, evidence, and boundaries.</w:t>
      </w:r>
    </w:p>
    <w:p>
      <w:r>
        <w:br w:type="page"/>
      </w:r>
    </w:p>
    <w:p>
      <w:pPr>
        <w:pStyle w:val="Heading1"/>
      </w:pPr>
      <w:r>
        <w:t>1 Project context and evolution</w:t>
      </w:r>
    </w:p>
    <w:p>
      <w:r>
        <w:t>This chapter explains how the initial application grew into a delivery project, which environments were used, and what evidence is available for the final state.</w:t>
      </w:r>
    </w:p>
    <w:p>
      <w:pPr>
        <w:pStyle w:val="Heading2"/>
      </w:pPr>
      <w:r>
        <w:t>1.1 Initial application idea</w:t>
      </w:r>
    </w:p>
    <w:p>
      <w:r>
        <w:t>The first request described a tiny notes application: a person should create an account, log in, and create or view notes. The interface used HTML, CSS, and browser JavaScript. FastAPI provided the API, and PostgreSQL stored information. This small scope was valuable because it gave the infrastructure work a real behaviour to deploy rather than a placeholder web server.</w:t>
      </w:r>
    </w:p>
    <w:p>
      <w:r>
        <w:t>The application first took shape as a local development project. Configuration through environment variables was introduced early, including a database URL and JWT signing secret. That led to practical discussions about whether a connection string should contain a placeholder or be read only from the environment. The resulting direction was to avoid embedding operational credentials in application source and provide them at runtime.</w:t>
      </w:r>
    </w:p>
    <w:p>
      <w:r>
        <w:t>The app then moved toward a service split. Authentication became a distinct service with its own database, while notes became another service with separate persistence. A gateway gave the browser a stable entry point. This increased the number of network boundaries but made service ownership and deployment visible.</w:t>
      </w:r>
    </w:p>
    <w:p>
      <w:pPr>
        <w:pStyle w:val="Heading2"/>
      </w:pPr>
      <w:r>
        <w:t>1.2 Evolution of the architecture</w:t>
      </w:r>
    </w:p>
    <w:p>
      <w:r>
        <w:t>The evolution was incremental. First, basic API functionality and a browser interface were established. Next, containerisation moved dependencies into repeatable images. Docker Compose connected the six local components. The container set comprised a frontend, an Nginx gateway, an authentication service, a notes service, and two PostgreSQL instances.</w:t>
      </w:r>
    </w:p>
    <w:p>
      <w:r>
        <w:t>After the Compose version worked, the deployment model broadened. A Minikube and Argo CD route was considered for learning Kubernetes reconciliation. A separate Terraform and MiniStack experiment explored cloud-style resource definitions and service dependencies. The final operational target, however, became kubeadm running in VMware Ubuntu virtual machines, with GitLab.com CI and Argo CD.</w:t>
      </w:r>
    </w:p>
    <w:p>
      <w:r>
        <w:t>That distinction matters. The final application deployment was not created by Terraform. The VMware VMs and kubeadm cluster existed as the lab environment. Ansible prepared the nodes and installed/configured Argo CD. Helm described application workloads, and Argo CD synchronised those workloads from Git. Traefik provided HTTP entry through NodePort.</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3106"/>
            <w:shd w:fill="1F4E79"/>
            <w:vAlign w:val="center"/>
            <w:tcMar>
              <w:top w:w="90" w:type="dxa"/>
              <w:start w:w="100" w:type="dxa"/>
              <w:bottom w:w="90" w:type="dxa"/>
              <w:end w:w="100" w:type="dxa"/>
            </w:tcMar>
          </w:tcPr>
          <w:p>
            <w:r>
              <w:rPr>
                <w:b/>
                <w:color w:val="FFFFFF"/>
                <w:sz w:val="18"/>
              </w:rPr>
              <w:t>Milestone</w:t>
            </w:r>
          </w:p>
        </w:tc>
        <w:tc>
          <w:tcPr>
            <w:tcW w:type="dxa" w:w="3106"/>
            <w:shd w:fill="1F4E79"/>
            <w:vAlign w:val="center"/>
            <w:tcMar>
              <w:top w:w="90" w:type="dxa"/>
              <w:start w:w="100" w:type="dxa"/>
              <w:bottom w:w="90" w:type="dxa"/>
              <w:end w:w="100" w:type="dxa"/>
            </w:tcMar>
          </w:tcPr>
          <w:p>
            <w:r>
              <w:rPr>
                <w:b/>
                <w:color w:val="FFFFFF"/>
                <w:sz w:val="18"/>
              </w:rPr>
              <w:t>Change</w:t>
            </w:r>
          </w:p>
        </w:tc>
        <w:tc>
          <w:tcPr>
            <w:tcW w:type="dxa" w:w="3106"/>
            <w:shd w:fill="1F4E79"/>
            <w:vAlign w:val="center"/>
            <w:tcMar>
              <w:top w:w="90" w:type="dxa"/>
              <w:start w:w="100" w:type="dxa"/>
              <w:bottom w:w="90" w:type="dxa"/>
              <w:end w:w="100" w:type="dxa"/>
            </w:tcMar>
          </w:tcPr>
          <w:p>
            <w:r>
              <w:rPr>
                <w:b/>
                <w:color w:val="FFFFFF"/>
                <w:sz w:val="18"/>
              </w:rPr>
              <w:t>Observed evidence</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Application skeleton</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Browser UI and FastAPI/PostgreSQL baseline</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Local registration/API work began in September 2026</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Container workflow</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Service images and Compose networking</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Six containers and named database volumes were used</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Repository and CI</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GitHub origin retained; new GitLab.com remote added</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Commit history pushed to GitLab main</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Image publishing</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Docker Hub chosen for container images</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Pipeline pushed image tags after credential corrections</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Cluster preparation</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Two VMware Ubuntu VMs joined with kubeadm</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Control plane and worker reported Ready</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GitOps bootstrap</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Private Argo CD repository secret and Application configured</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Application synced revision from GitLab main</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Persistence and exposure</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local-path provisioner and Traefik NodePort installed</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PVCs Bound; app reachable on ports 30080/30443 configuration</w:t>
            </w:r>
          </w:p>
        </w:tc>
      </w:tr>
    </w:tbl>
    <w:p>
      <w:pPr>
        <w:spacing w:after="20"/>
      </w:pPr>
    </w:p>
    <w:p>
      <w:pPr>
        <w:pStyle w:val="CaptionSmall"/>
      </w:pPr>
      <w:r>
        <w:t>Table 2. Milestones are based on the project record and terminal output supplied by the user.</w:t>
      </w:r>
    </w:p>
    <w:p>
      <w:pPr>
        <w:pStyle w:val="Heading2"/>
      </w:pPr>
      <w:r>
        <w:t>1.3 Learning environment</w:t>
      </w:r>
    </w:p>
    <w:p>
      <w:r>
        <w:t>The host computer had 16 GB of memory. A self-managed GitLab server on an Ubuntu VM was considered, but it consumed substantial resources and showed a long boot and Puma startup delay. The logs showed Puma failing to answer through its Unix socket and Nginx returning 502. Instead of continuing to run the Git service inside the constrained lab, the project moved the repository to GitLab.com. The CI runner was then provided by GitLab’s shared/instance runner pool, so the Ubuntu application cluster did not need to host the runner.</w:t>
      </w:r>
    </w:p>
    <w:p>
      <w:r>
        <w:t>The final lab used two Ubuntu 22.04.5 LTS virtual machines, one control-plane node and one worker. The recorded node addresses were `192.168.182.140` and `192.168.182.141`. Both reported Kubernetes `v1.28.15`; the container runtime was containerd `2.3.6`. The cluster used Calico networking, as shown by pod annotations.</w:t>
      </w:r>
    </w:p>
    <w:p>
      <w:r>
        <w:t>This setup is deliberately modest. A worker restart, host sleep, VM shutdown, or resource pressure can interrupt multiple cluster services at once. The node topology is enough to demonstrate scheduling and service discovery, but it is not a high-availability control plane and it does not protect application data from loss of the worker’s local disk.</w:t>
      </w:r>
    </w:p>
    <w:p>
      <w:pPr>
        <w:pStyle w:val="Heading2"/>
      </w:pPr>
      <w:r>
        <w:t>1.4 Project actors and responsibilities</w:t>
      </w:r>
    </w:p>
    <w:p>
      <w:r>
        <w:t>The project is operated by one developer. The developer authors application changes, reviews pipeline output, manages GitLab variables, administers the Ubuntu VMs, and checks Kubernetes and Argo CD state. GitLab CI executes build and verification jobs. Docker Hub stores images. Argo CD acts as the in-cluster reconciler. Kubernetes schedules containers and provides services, storage claims, and ingress resources. Traefik accepts browser traffic and forwards it to the application gateway.</w:t>
      </w:r>
    </w:p>
    <w:p>
      <w:r>
        <w:t>This responsibility map helps explain why an application can be healthy in one layer and unavailable in another. A green pipeline shows that jobs completed; it does not prove a browser route works. An Argo CD sync indicates desired manifests were applied; it does not prove every pod is ready. A pod in Running phase may still fail its readiness probe. Validation therefore needs checks at multiple layers.</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3106"/>
            <w:shd w:fill="1F4E79"/>
            <w:vAlign w:val="center"/>
            <w:tcMar>
              <w:top w:w="90" w:type="dxa"/>
              <w:start w:w="100" w:type="dxa"/>
              <w:bottom w:w="90" w:type="dxa"/>
              <w:end w:w="100" w:type="dxa"/>
            </w:tcMar>
          </w:tcPr>
          <w:p>
            <w:r>
              <w:rPr>
                <w:b/>
                <w:color w:val="FFFFFF"/>
                <w:sz w:val="18"/>
              </w:rPr>
              <w:t>Actor</w:t>
            </w:r>
          </w:p>
        </w:tc>
        <w:tc>
          <w:tcPr>
            <w:tcW w:type="dxa" w:w="3106"/>
            <w:shd w:fill="1F4E79"/>
            <w:vAlign w:val="center"/>
            <w:tcMar>
              <w:top w:w="90" w:type="dxa"/>
              <w:start w:w="100" w:type="dxa"/>
              <w:bottom w:w="90" w:type="dxa"/>
              <w:end w:w="100" w:type="dxa"/>
            </w:tcMar>
          </w:tcPr>
          <w:p>
            <w:r>
              <w:rPr>
                <w:b/>
                <w:color w:val="FFFFFF"/>
                <w:sz w:val="18"/>
              </w:rPr>
              <w:t>Responsibility</w:t>
            </w:r>
          </w:p>
        </w:tc>
        <w:tc>
          <w:tcPr>
            <w:tcW w:type="dxa" w:w="3106"/>
            <w:shd w:fill="1F4E79"/>
            <w:vAlign w:val="center"/>
            <w:tcMar>
              <w:top w:w="90" w:type="dxa"/>
              <w:start w:w="100" w:type="dxa"/>
              <w:bottom w:w="90" w:type="dxa"/>
              <w:end w:w="100" w:type="dxa"/>
            </w:tcMar>
          </w:tcPr>
          <w:p>
            <w:r>
              <w:rPr>
                <w:b/>
                <w:color w:val="FFFFFF"/>
                <w:sz w:val="18"/>
              </w:rPr>
              <w:t>Does not guarantee</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Developer</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Changes source, reviews diffs, starts pipeline</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That the new release is healthy in the cluster</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GitLab CI runner</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Runs configured jobs and publishes tags/manifests</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That Argo CD can access the repository or cluster</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Docker Hub</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Stores published container images</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That Kubernetes credentials or image references are correct</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Argo CD</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Compares Git desired state and applies changes</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That the application has working data or browser traffic</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Kubernetes</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Schedules and supervises pods, services, storage</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That the VM network is reachable from every Wi-Fi client</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Traefik</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Routes ingress requests to cluster services</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That a private NodePort is public on the internet</w:t>
            </w:r>
          </w:p>
        </w:tc>
      </w:tr>
    </w:tbl>
    <w:p>
      <w:pPr>
        <w:spacing w:after="20"/>
      </w:pPr>
    </w:p>
    <w:p>
      <w:r>
        <w:br w:type="page"/>
      </w:r>
    </w:p>
    <w:p>
      <w:pPr>
        <w:pStyle w:val="Heading1"/>
      </w:pPr>
      <w:r>
        <w:t>2 Requirements specification</w:t>
      </w:r>
    </w:p>
    <w:p>
      <w:r>
        <w:t>Requirements were derived from the initial user-facing goals and the practical objective of demonstrating a full software delivery chain. Each requirement is phrased so that it can be checked against observed behaviour.</w:t>
      </w:r>
    </w:p>
    <w:p>
      <w:pPr>
        <w:pStyle w:val="Heading2"/>
      </w:pPr>
      <w:r>
        <w:t>2.1 Functional requirements</w:t>
      </w:r>
    </w:p>
    <w:p>
      <w:r>
        <w:t>The core functional requirement is that a user can create an account, authenticate, and manage only their own notes. Registration should store a password verifier rather than a recoverable plaintext password. Login should return an authenticated token. Protected note operations should reject missing or invalid credentials and should scope data access to the authenticated identity.</w:t>
      </w:r>
    </w:p>
    <w:p>
      <w:r>
        <w:t>The notes API should support creating, listing, retrieving, updating, and deleting notes. The user interface should allow account registration and login and provide a usable path to note interactions. The gateway should route authentication and notes API paths to their respective services while serving the frontend.</w:t>
      </w:r>
    </w:p>
    <w:p>
      <w:r>
        <w:t>The delivery system should build four container images associated with the services, run automated test and security jobs, push images to a registry, and update the Helm chart to reference the commit-specific image tag. Argo CD should read the GitLab repository and automatically reconcile the Helm release to the Kubernetes cluster.</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7"/>
              </w:rPr>
              <w:t>ID</w:t>
            </w:r>
          </w:p>
        </w:tc>
        <w:tc>
          <w:tcPr>
            <w:tcW w:type="dxa" w:w="2329"/>
            <w:shd w:fill="1F4E79"/>
            <w:vAlign w:val="center"/>
            <w:tcMar>
              <w:top w:w="90" w:type="dxa"/>
              <w:start w:w="100" w:type="dxa"/>
              <w:bottom w:w="90" w:type="dxa"/>
              <w:end w:w="100" w:type="dxa"/>
            </w:tcMar>
          </w:tcPr>
          <w:p>
            <w:r>
              <w:rPr>
                <w:b/>
                <w:color w:val="FFFFFF"/>
                <w:sz w:val="17"/>
              </w:rPr>
              <w:t>Requirement</w:t>
            </w:r>
          </w:p>
        </w:tc>
        <w:tc>
          <w:tcPr>
            <w:tcW w:type="dxa" w:w="2329"/>
            <w:shd w:fill="1F4E79"/>
            <w:vAlign w:val="center"/>
            <w:tcMar>
              <w:top w:w="90" w:type="dxa"/>
              <w:start w:w="100" w:type="dxa"/>
              <w:bottom w:w="90" w:type="dxa"/>
              <w:end w:w="100" w:type="dxa"/>
            </w:tcMar>
          </w:tcPr>
          <w:p>
            <w:r>
              <w:rPr>
                <w:b/>
                <w:color w:val="FFFFFF"/>
                <w:sz w:val="17"/>
              </w:rPr>
              <w:t>Verification method</w:t>
            </w:r>
          </w:p>
        </w:tc>
        <w:tc>
          <w:tcPr>
            <w:tcW w:type="dxa" w:w="2329"/>
            <w:shd w:fill="1F4E79"/>
            <w:vAlign w:val="center"/>
            <w:tcMar>
              <w:top w:w="90" w:type="dxa"/>
              <w:start w:w="100" w:type="dxa"/>
              <w:bottom w:w="90" w:type="dxa"/>
              <w:end w:w="100" w:type="dxa"/>
            </w:tcMar>
          </w:tcPr>
          <w:p>
            <w:r>
              <w:rPr>
                <w:b/>
                <w:color w:val="FFFFFF"/>
                <w:sz w:val="17"/>
              </w:rPr>
              <w:t>Result</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FR-01</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Register an account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Browser registration/API request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Observed successful sign-up</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FR-02</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Log in and issue a token</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Browser login/API response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Observed successful login</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FR-03</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Keep notes scoped to an account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API ownership checks and code review</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Implemented; functional path exercised</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FR-04</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Create, list, update, delete notes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API endpoints and database persistence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Endpoints implemented; exact full CRUD test evidence is partial</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FR-05</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Route browser API requests through gateway</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Browser network panel and gateway routes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Remote cluster path required same-origin API base</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FR-06</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Build and publish service images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GitLab pipeline job logs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Successful push observed</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FR-07</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Promote image tags through Git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`update-manifests` job log and commit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Successful manifest commit/push observed</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FR-08</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Synchronise private repository with Argo CD</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Application status and describe output</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Private access corrected; sync succeeded</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FR-09</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Expose the app to LAN clients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Browser access to VM address and NodePort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User confirmed both addresses worked</w:t>
            </w:r>
          </w:p>
        </w:tc>
      </w:tr>
    </w:tbl>
    <w:p>
      <w:pPr>
        <w:spacing w:after="20"/>
      </w:pPr>
    </w:p>
    <w:p>
      <w:pPr>
        <w:pStyle w:val="CaptionSmall"/>
      </w:pPr>
      <w:r>
        <w:t>Table 3. Functional requirements and recorded verification.</w:t>
      </w:r>
    </w:p>
    <w:p>
      <w:pPr>
        <w:pStyle w:val="Heading2"/>
      </w:pPr>
      <w:r>
        <w:t>2.2 Non-functional requirements</w:t>
      </w:r>
    </w:p>
    <w:p>
      <w:r>
        <w:t>Security requirements include keeping secrets outside Git, using a non-root user in application images, using JWTs for protected routes, and separating database credentials from source code. The cluster should not publish database ports externally. The GitOps repository is private and Argo CD must authenticate with read-only repository access.</w:t>
      </w:r>
    </w:p>
    <w:p>
      <w:r>
        <w:t>Maintainability requires a clear service boundary, version-controlled Helm configuration, repeatable container builds, and human-readable deployment comments. Observability requires meaningful pipeline stages, Kubernetes events and pod status, service endpoints, and application logs. Portability is supported by container images and Helm values, while actual portability remains limited by assumptions about storage, networking, and VM addresses.</w:t>
      </w:r>
    </w:p>
    <w:p>
      <w:r>
        <w:t>The lab should be usable from the developer’s local network without implying a public deployment. An HTTP NodePort on the private VM IP is acceptable for demonstration. TLS and stable DNS are future work. Persistence must survive an individual pod restart, but no tested backup or disaster recovery system is claimed.</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8"/>
              </w:rPr>
              <w:t>ID</w:t>
            </w:r>
          </w:p>
        </w:tc>
        <w:tc>
          <w:tcPr>
            <w:tcW w:type="dxa" w:w="2329"/>
            <w:shd w:fill="1F4E79"/>
            <w:vAlign w:val="center"/>
            <w:tcMar>
              <w:top w:w="90" w:type="dxa"/>
              <w:start w:w="100" w:type="dxa"/>
              <w:bottom w:w="90" w:type="dxa"/>
              <w:end w:w="100" w:type="dxa"/>
            </w:tcMar>
          </w:tcPr>
          <w:p>
            <w:r>
              <w:rPr>
                <w:b/>
                <w:color w:val="FFFFFF"/>
                <w:sz w:val="18"/>
              </w:rPr>
              <w:t>Quality attribute</w:t>
            </w:r>
          </w:p>
        </w:tc>
        <w:tc>
          <w:tcPr>
            <w:tcW w:type="dxa" w:w="2329"/>
            <w:shd w:fill="1F4E79"/>
            <w:vAlign w:val="center"/>
            <w:tcMar>
              <w:top w:w="90" w:type="dxa"/>
              <w:start w:w="100" w:type="dxa"/>
              <w:bottom w:w="90" w:type="dxa"/>
              <w:end w:w="100" w:type="dxa"/>
            </w:tcMar>
          </w:tcPr>
          <w:p>
            <w:r>
              <w:rPr>
                <w:b/>
                <w:color w:val="FFFFFF"/>
                <w:sz w:val="18"/>
              </w:rPr>
              <w:t>Target</w:t>
            </w:r>
          </w:p>
        </w:tc>
        <w:tc>
          <w:tcPr>
            <w:tcW w:type="dxa" w:w="2329"/>
            <w:shd w:fill="1F4E79"/>
            <w:vAlign w:val="center"/>
            <w:tcMar>
              <w:top w:w="90" w:type="dxa"/>
              <w:start w:w="100" w:type="dxa"/>
              <w:bottom w:w="90" w:type="dxa"/>
              <w:end w:w="100" w:type="dxa"/>
            </w:tcMar>
          </w:tcPr>
          <w:p>
            <w:r>
              <w:rPr>
                <w:b/>
                <w:color w:val="FFFFFF"/>
                <w:sz w:val="18"/>
              </w:rPr>
              <w:t>Evidence / caveat</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NFR-01</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Confidentiality</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Do not commit live credentials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Secret files ignored; sanitised examples use placeholders</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8"/>
              </w:rPr>
              <w:t>NFR-02</w:t>
            </w:r>
          </w:p>
        </w:tc>
        <w:tc>
          <w:tcPr>
            <w:tcW w:type="dxa" w:w="2329"/>
            <w:vAlign w:val="center"/>
            <w:tcMar>
              <w:top w:w="90" w:type="dxa"/>
              <w:start w:w="100" w:type="dxa"/>
              <w:bottom w:w="90" w:type="dxa"/>
              <w:end w:w="100" w:type="dxa"/>
            </w:tcMar>
          </w:tcPr>
          <w:p>
            <w:pPr>
              <w:spacing w:after="20"/>
              <w:jc w:val="left"/>
            </w:pPr>
            <w:r>
              <w:rPr>
                <w:rFonts w:ascii="Times New Roman" w:hAnsi="Times New Roman"/>
                <w:sz w:val="18"/>
              </w:rPr>
              <w:t>Availability</w:t>
            </w:r>
          </w:p>
        </w:tc>
        <w:tc>
          <w:tcPr>
            <w:tcW w:type="dxa" w:w="2329"/>
            <w:vAlign w:val="center"/>
            <w:tcMar>
              <w:top w:w="90" w:type="dxa"/>
              <w:start w:w="100" w:type="dxa"/>
              <w:bottom w:w="90" w:type="dxa"/>
              <w:end w:w="100" w:type="dxa"/>
            </w:tcMar>
          </w:tcPr>
          <w:p>
            <w:pPr>
              <w:spacing w:after="20"/>
              <w:jc w:val="left"/>
            </w:pPr>
            <w:r>
              <w:rPr>
                <w:rFonts w:ascii="Times New Roman" w:hAnsi="Times New Roman"/>
                <w:sz w:val="18"/>
              </w:rPr>
              <w:t>Recover from ordinary process failures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8"/>
              </w:rPr>
              <w:t>Kubernetes restarts containers; whole VM/worker loss remains a risk</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NFR-03</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Observability</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Expose status at each delivery layer</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Pipeline logs, Argo status, kubectl events/logs used</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8"/>
              </w:rPr>
              <w:t>NFR-04</w:t>
            </w:r>
          </w:p>
        </w:tc>
        <w:tc>
          <w:tcPr>
            <w:tcW w:type="dxa" w:w="2329"/>
            <w:vAlign w:val="center"/>
            <w:tcMar>
              <w:top w:w="90" w:type="dxa"/>
              <w:start w:w="100" w:type="dxa"/>
              <w:bottom w:w="90" w:type="dxa"/>
              <w:end w:w="100" w:type="dxa"/>
            </w:tcMar>
          </w:tcPr>
          <w:p>
            <w:pPr>
              <w:spacing w:after="20"/>
              <w:jc w:val="left"/>
            </w:pPr>
            <w:r>
              <w:rPr>
                <w:rFonts w:ascii="Times New Roman" w:hAnsi="Times New Roman"/>
                <w:sz w:val="18"/>
              </w:rPr>
              <w:t>Maintainability</w:t>
            </w:r>
          </w:p>
        </w:tc>
        <w:tc>
          <w:tcPr>
            <w:tcW w:type="dxa" w:w="2329"/>
            <w:vAlign w:val="center"/>
            <w:tcMar>
              <w:top w:w="90" w:type="dxa"/>
              <w:start w:w="100" w:type="dxa"/>
              <w:bottom w:w="90" w:type="dxa"/>
              <w:end w:w="100" w:type="dxa"/>
            </w:tcMar>
          </w:tcPr>
          <w:p>
            <w:pPr>
              <w:spacing w:after="20"/>
              <w:jc w:val="left"/>
            </w:pPr>
            <w:r>
              <w:rPr>
                <w:rFonts w:ascii="Times New Roman" w:hAnsi="Times New Roman"/>
                <w:sz w:val="18"/>
              </w:rPr>
              <w:t>Make deployment intent reviewable in Git</w:t>
            </w:r>
          </w:p>
        </w:tc>
        <w:tc>
          <w:tcPr>
            <w:tcW w:type="dxa" w:w="2329"/>
            <w:vAlign w:val="center"/>
            <w:tcMar>
              <w:top w:w="90" w:type="dxa"/>
              <w:start w:w="100" w:type="dxa"/>
              <w:bottom w:w="90" w:type="dxa"/>
              <w:end w:w="100" w:type="dxa"/>
            </w:tcMar>
          </w:tcPr>
          <w:p>
            <w:pPr>
              <w:spacing w:after="20"/>
              <w:jc w:val="left"/>
            </w:pPr>
            <w:r>
              <w:rPr>
                <w:rFonts w:ascii="Times New Roman" w:hAnsi="Times New Roman"/>
                <w:sz w:val="18"/>
              </w:rPr>
              <w:t>Helm chart and Argo Application in repository</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NFR-05</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Portability</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Package app dependencies and manifests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Containers and Helm used; storage/network assumptions remain</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8"/>
              </w:rPr>
              <w:t>NFR-06</w:t>
            </w:r>
          </w:p>
        </w:tc>
        <w:tc>
          <w:tcPr>
            <w:tcW w:type="dxa" w:w="2329"/>
            <w:vAlign w:val="center"/>
            <w:tcMar>
              <w:top w:w="90" w:type="dxa"/>
              <w:start w:w="100" w:type="dxa"/>
              <w:bottom w:w="90" w:type="dxa"/>
              <w:end w:w="100" w:type="dxa"/>
            </w:tcMar>
          </w:tcPr>
          <w:p>
            <w:pPr>
              <w:spacing w:after="20"/>
              <w:jc w:val="left"/>
            </w:pPr>
            <w:r>
              <w:rPr>
                <w:rFonts w:ascii="Times New Roman" w:hAnsi="Times New Roman"/>
                <w:sz w:val="18"/>
              </w:rPr>
              <w:t>Reachability</w:t>
            </w:r>
          </w:p>
        </w:tc>
        <w:tc>
          <w:tcPr>
            <w:tcW w:type="dxa" w:w="2329"/>
            <w:vAlign w:val="center"/>
            <w:tcMar>
              <w:top w:w="90" w:type="dxa"/>
              <w:start w:w="100" w:type="dxa"/>
              <w:bottom w:w="90" w:type="dxa"/>
              <w:end w:w="100" w:type="dxa"/>
            </w:tcMar>
          </w:tcPr>
          <w:p>
            <w:pPr>
              <w:spacing w:after="20"/>
              <w:jc w:val="left"/>
            </w:pPr>
            <w:r>
              <w:rPr>
                <w:rFonts w:ascii="Times New Roman" w:hAnsi="Times New Roman"/>
                <w:sz w:val="18"/>
              </w:rPr>
              <w:t>Allow browser access on local LAN</w:t>
            </w:r>
          </w:p>
        </w:tc>
        <w:tc>
          <w:tcPr>
            <w:tcW w:type="dxa" w:w="2329"/>
            <w:vAlign w:val="center"/>
            <w:tcMar>
              <w:top w:w="90" w:type="dxa"/>
              <w:start w:w="100" w:type="dxa"/>
              <w:bottom w:w="90" w:type="dxa"/>
              <w:end w:w="100" w:type="dxa"/>
            </w:tcMar>
          </w:tcPr>
          <w:p>
            <w:pPr>
              <w:spacing w:after="20"/>
              <w:jc w:val="left"/>
            </w:pPr>
            <w:r>
              <w:rPr>
                <w:rFonts w:ascii="Times New Roman" w:hAnsi="Times New Roman"/>
                <w:sz w:val="18"/>
              </w:rPr>
              <w:t>NodePort 30080 on private VM addresses; network mode matters</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NFR-07</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Persistence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Retain database files across pod replacement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1 Gi local-path PVCs Bound; node-local and no backup</w:t>
            </w:r>
          </w:p>
        </w:tc>
      </w:tr>
    </w:tbl>
    <w:p>
      <w:pPr>
        <w:spacing w:after="20"/>
      </w:pPr>
    </w:p>
    <w:p>
      <w:pPr>
        <w:pStyle w:val="Heading2"/>
      </w:pPr>
      <w:r>
        <w:t>2.3 Security and operational constraints</w:t>
      </w:r>
    </w:p>
    <w:p>
      <w:r>
        <w:t>The application stores sensitive notes, which makes identity and ownership checks central design controls. The authentication service uses bcrypt password hashing and signs HS256 JWTs. The notes service validates the token and uses its subject to constrain database access. This design demonstrates basic application controls, but a shared JWT secret between services creates a key-distribution responsibility. There is no dedicated key-management service or token revocation mechanism documented.</w:t>
      </w:r>
    </w:p>
    <w:p>
      <w:r>
        <w:t>Credential handling had several distinct domains. Docker Hub variables were entered as GitLab CI/CD variables and used for image publication. A GitLab personal access token with repository-read permission allowed Argo CD to clone the private source. Kubernetes application secrets supplied database passwords and a JWT signing key. These credentials must not be conflated: a Docker Hub token does not grant Git repository access, and a GitLab repository token is not an application JWT secret.</w:t>
      </w:r>
    </w:p>
    <w:p>
      <w:r>
        <w:t>The platform also depends on compute and network conditions. GitLab self-managed on the same laptop was not a practical choice during this work, while GitLab.com offloaded that service and runner. The local Kubernetes environment still required the VMs to be powered on, the worker to remain joined, and the host network to route traffic to the private subnet.</w:t>
      </w:r>
    </w:p>
    <w:p>
      <w:pPr>
        <w:pStyle w:val="Heading2"/>
      </w:pPr>
      <w:r>
        <w:t>2.4 Acceptance criteria</w:t>
      </w:r>
    </w:p>
    <w:p>
      <w:r>
        <w:t>Acceptance criteria are intentionally layered. The application is accepted only if registration and login work in the browser, and the deployed services can start with their expected configuration. The storage layer is accepted when each database claim binds and the PostgreSQL stateful pods reach Ready. The GitOps layer is accepted when Argo CD can fetch the private repository and report a successful sync to the observed commit.</w:t>
      </w:r>
    </w:p>
    <w:p>
      <w:r>
        <w:t>The delivery layer is accepted when CI completes image build and publication and updates the Helm image tags through the GitLab repository. The networking layer is accepted when the ingress object is handled by the configured ingress class and the browser can reach the application through a VM private address and NodePort. No single criterion substitutes for the others.</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3106"/>
            <w:shd w:fill="1F4E79"/>
            <w:vAlign w:val="center"/>
            <w:tcMar>
              <w:top w:w="90" w:type="dxa"/>
              <w:start w:w="100" w:type="dxa"/>
              <w:bottom w:w="90" w:type="dxa"/>
              <w:end w:w="100" w:type="dxa"/>
            </w:tcMar>
          </w:tcPr>
          <w:p>
            <w:r>
              <w:rPr>
                <w:b/>
                <w:color w:val="FFFFFF"/>
                <w:sz w:val="18"/>
              </w:rPr>
              <w:t>Criterion</w:t>
            </w:r>
          </w:p>
        </w:tc>
        <w:tc>
          <w:tcPr>
            <w:tcW w:type="dxa" w:w="3106"/>
            <w:shd w:fill="1F4E79"/>
            <w:vAlign w:val="center"/>
            <w:tcMar>
              <w:top w:w="90" w:type="dxa"/>
              <w:start w:w="100" w:type="dxa"/>
              <w:bottom w:w="90" w:type="dxa"/>
              <w:end w:w="100" w:type="dxa"/>
            </w:tcMar>
          </w:tcPr>
          <w:p>
            <w:r>
              <w:rPr>
                <w:b/>
                <w:color w:val="FFFFFF"/>
                <w:sz w:val="18"/>
              </w:rPr>
              <w:t>Pass evidence</w:t>
            </w:r>
          </w:p>
        </w:tc>
        <w:tc>
          <w:tcPr>
            <w:tcW w:type="dxa" w:w="3106"/>
            <w:shd w:fill="1F4E79"/>
            <w:vAlign w:val="center"/>
            <w:tcMar>
              <w:top w:w="90" w:type="dxa"/>
              <w:start w:w="100" w:type="dxa"/>
              <w:bottom w:w="90" w:type="dxa"/>
              <w:end w:w="100" w:type="dxa"/>
            </w:tcMar>
          </w:tcPr>
          <w:p>
            <w:r>
              <w:rPr>
                <w:b/>
                <w:color w:val="FFFFFF"/>
                <w:sz w:val="18"/>
              </w:rPr>
              <w:t>Status in the record</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AC-01</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Both nodes Ready</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Passed</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AC-02</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GitLab pipeline image push succeeds</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Passed after HTTPS job-token and Docker Hub scope corrections</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AC-03</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Argo CD repository fetch works</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Passed after token/user/scope corrected</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AC-04</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Application sync completes</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Passed; OperationCompleted reported success</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AC-05</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Database PVCs bind</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Passed after installing local-path and setting default class</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AC-06</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Application pods Ready</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Passed; six application/database pods reached 1/1</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AC-07</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Browser registration/login</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Passed according to user report</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AC-08</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Private LAN endpoint reachable</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Passed according to user report on both node addresses</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AC-09</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Backups, TLS, public endpoint</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Not in scope / not demonstrated</w:t>
            </w:r>
          </w:p>
        </w:tc>
      </w:tr>
    </w:tbl>
    <w:p>
      <w:pPr>
        <w:spacing w:after="20"/>
      </w:pPr>
    </w:p>
    <w:p>
      <w:r>
        <w:br w:type="page"/>
      </w:r>
    </w:p>
    <w:p>
      <w:pPr>
        <w:pStyle w:val="Heading1"/>
      </w:pPr>
      <w:r>
        <w:t>3 Architecture and design</w:t>
      </w:r>
    </w:p>
    <w:p>
      <w:r>
        <w:t>The system has two related but distinct flows: the user request path at runtime and the code-to-cluster path during delivery. Keeping these paths separate makes troubleshooting more systematic.</w:t>
      </w:r>
    </w:p>
    <w:p>
      <w:pPr>
        <w:pStyle w:val="Heading2"/>
      </w:pPr>
      <w:r>
        <w:t>3.1 High-level architecture</w:t>
      </w:r>
    </w:p>
    <w:p>
      <w:r>
        <w:t>At runtime, the browser loads the frontend through Traefik and the Kubernetes ingress resource. The frontend sends API calls to a same-origin path. Traefik routes requests to the gateway service. The gateway forwards authentication paths to the authentication API and note paths to the notes API. The auth service reads and writes the auth database; the notes service reads and writes the notes database. Kubernetes Services provide stable DNS names even as pod addresses change.</w:t>
      </w:r>
    </w:p>
    <w:p>
      <w:r>
        <w:t>At delivery time, a source commit starts a GitLab pipeline. The pipeline runs tests and security checks, builds container images, tags them with a shortened commit SHA, and pushes them to Docker Hub. A later job edits Helm values with the image tags and pushes a CI-generated commit to the GitLab repository. Argo CD polls or refreshes that repository, renders the chart, and applies the desired state. Kubernetes then pulls the specified images and reconciles workloads.</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7"/>
              </w:rPr>
              <w:t>Component</w:t>
            </w:r>
          </w:p>
        </w:tc>
        <w:tc>
          <w:tcPr>
            <w:tcW w:type="dxa" w:w="2329"/>
            <w:shd w:fill="1F4E79"/>
            <w:vAlign w:val="center"/>
            <w:tcMar>
              <w:top w:w="90" w:type="dxa"/>
              <w:start w:w="100" w:type="dxa"/>
              <w:bottom w:w="90" w:type="dxa"/>
              <w:end w:w="100" w:type="dxa"/>
            </w:tcMar>
          </w:tcPr>
          <w:p>
            <w:r>
              <w:rPr>
                <w:b/>
                <w:color w:val="FFFFFF"/>
                <w:sz w:val="17"/>
              </w:rPr>
              <w:t>Technology</w:t>
            </w:r>
          </w:p>
        </w:tc>
        <w:tc>
          <w:tcPr>
            <w:tcW w:type="dxa" w:w="2329"/>
            <w:shd w:fill="1F4E79"/>
            <w:vAlign w:val="center"/>
            <w:tcMar>
              <w:top w:w="90" w:type="dxa"/>
              <w:start w:w="100" w:type="dxa"/>
              <w:bottom w:w="90" w:type="dxa"/>
              <w:end w:w="100" w:type="dxa"/>
            </w:tcMar>
          </w:tcPr>
          <w:p>
            <w:r>
              <w:rPr>
                <w:b/>
                <w:color w:val="FFFFFF"/>
                <w:sz w:val="17"/>
              </w:rPr>
              <w:t>Role</w:t>
            </w:r>
          </w:p>
        </w:tc>
        <w:tc>
          <w:tcPr>
            <w:tcW w:type="dxa" w:w="2329"/>
            <w:shd w:fill="1F4E79"/>
            <w:vAlign w:val="center"/>
            <w:tcMar>
              <w:top w:w="90" w:type="dxa"/>
              <w:start w:w="100" w:type="dxa"/>
              <w:bottom w:w="90" w:type="dxa"/>
              <w:end w:w="100" w:type="dxa"/>
            </w:tcMar>
          </w:tcPr>
          <w:p>
            <w:r>
              <w:rPr>
                <w:b/>
                <w:color w:val="FFFFFF"/>
                <w:sz w:val="17"/>
              </w:rPr>
              <w:t>Internal address / port</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Browser client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HTML/CSS/JavaScript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UI and same-origin API calls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HTTP through Traefik</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Ingress controller</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Traefik 3.x chart</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NodePort entry and path routing</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web 80 / NodePort 30080</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Gateway</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Nginx</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Routes `/auth` and `/notes` to APIs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Service port 80; container 8080</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Frontend</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Nginx</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Serves static UI</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Service port 80; container 8080</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Auth service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FastAPI</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Registration, login, token verification</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8001</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Notes service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FastAPI</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User-owned note operations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8002</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Auth database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PostgreSQL 16</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Account records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5432, internal only</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Notes database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PostgreSQL 16</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Note records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5432, internal only</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Argo CD repo-server</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Argo CD</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Fetches Git source and renders Helm</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Cluster service 8081/8084</w:t>
            </w:r>
          </w:p>
        </w:tc>
      </w:tr>
    </w:tbl>
    <w:p>
      <w:pPr>
        <w:spacing w:after="20"/>
      </w:pPr>
    </w:p>
    <w:p>
      <w:pPr>
        <w:pStyle w:val="CaptionSmall"/>
      </w:pPr>
      <w:r>
        <w:t>Table 4. Runtime components and their service boundaries.</w:t>
      </w:r>
    </w:p>
    <w:p>
      <w:pPr>
        <w:pStyle w:val="Heading2"/>
      </w:pPr>
      <w:r>
        <w:t>3.2 Runtime request flow</w:t>
      </w:r>
    </w:p>
    <w:p>
      <w:r>
        <w:t>The browser must not use `localhost:8081` when opened from a different machine. In a browser, localhost refers to the machine running the browser, not the Kubernetes VM. The earlier UI attempted to contact a loopback API endpoint, producing `ERR_CONNECTION_REFUSED`. The deployed configuration was changed to use same-origin relative API paths. In local Compose development, the UI can retain its local API base when served on port 5500; in the cluster, the gateway handles the relative paths.</w:t>
      </w:r>
    </w:p>
    <w:p>
      <w:r>
        <w:t>The `/auth` path reaches authentication routes; `/notes` reaches the notes service. The gateway hides internal pod networking from the browser. It also prevents the UI from needing separate API origins and reduces CORS complexity in the cluster. CORS remains relevant for local development if the UI and API are served from different origins.</w:t>
      </w:r>
    </w:p>
    <w:p>
      <w:pPr>
        <w:pStyle w:val="Code"/>
        <w:keepLines/>
      </w:pPr>
      <w:r>
        <w:t>Browser → Traefik NodePort → Ingress rule</w:t>
      </w:r>
    </w:p>
    <w:p>
      <w:pPr>
        <w:pStyle w:val="Code"/>
        <w:keepLines/>
      </w:pPr>
      <w:r>
        <w:t xml:space="preserve">       → frontend Service → frontend Pod (static UI)</w:t>
      </w:r>
    </w:p>
    <w:p>
      <w:pPr>
        <w:pStyle w:val="Code"/>
        <w:keepLines/>
      </w:pPr>
      <w:r>
        <w:t>Browser API call → Traefik → gateway Service → gateway Pod</w:t>
      </w:r>
    </w:p>
    <w:p>
      <w:pPr>
        <w:pStyle w:val="Code"/>
        <w:keepLines/>
      </w:pPr>
      <w:r>
        <w:t xml:space="preserve">       → /auth/* → auth-service:8001 → auth-db:5432</w:t>
      </w:r>
    </w:p>
    <w:p>
      <w:pPr>
        <w:pStyle w:val="Code"/>
        <w:keepLines/>
      </w:pPr>
      <w:r>
        <w:t xml:space="preserve">       → /notes/* → notes-service:8002 → notes-db:5432</w:t>
      </w:r>
    </w:p>
    <w:p>
      <w:pPr>
        <w:pStyle w:val="CaptionSmall"/>
      </w:pPr>
      <w:r>
        <w:t>Figure 1. Request path. The diagram describes the recorded architecture rather than exposing private credentials.</w:t>
      </w:r>
    </w:p>
    <w:p>
      <w:pPr>
        <w:pStyle w:val="Heading2"/>
      </w:pPr>
      <w:r>
        <w:t>3.3 Delivery and GitOps flow</w:t>
      </w:r>
    </w:p>
    <w:p>
      <w:r>
        <w:t>The pipeline produces images independently from the cluster. GitLab runners do not need a route into the private VMware network because they publish images and modify Git state. Argo CD runs inside the Kubernetes cluster and pulls the desired state from GitLab.com. The cluster pulls container images from Docker Hub. This separation means a successful CI push can coexist with a failed Argo comparison: the code artifact may exist while Argo CD cannot fetch the private manifest repository.</w:t>
      </w:r>
    </w:p>
    <w:p>
      <w:r>
        <w:t>The `update-manifests` job changes image tags in `helm/secure-notes/values.yaml` to the pipeline commit short SHA. It commits with a CI identity and pushes using the GitLab job token through HTTPS. The `[skip ci]` marker prevents that generated manifest commit from starting an endless pipeline loop. Argo CD observes the new Git commit and syncs the Helm release. This flow is an example of push-to-Git followed by pull-based deployment reconciliation.</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7"/>
              </w:rPr>
              <w:t>Step</w:t>
            </w:r>
          </w:p>
        </w:tc>
        <w:tc>
          <w:tcPr>
            <w:tcW w:type="dxa" w:w="2329"/>
            <w:shd w:fill="1F4E79"/>
            <w:vAlign w:val="center"/>
            <w:tcMar>
              <w:top w:w="90" w:type="dxa"/>
              <w:start w:w="100" w:type="dxa"/>
              <w:bottom w:w="90" w:type="dxa"/>
              <w:end w:w="100" w:type="dxa"/>
            </w:tcMar>
          </w:tcPr>
          <w:p>
            <w:r>
              <w:rPr>
                <w:b/>
                <w:color w:val="FFFFFF"/>
                <w:sz w:val="17"/>
              </w:rPr>
              <w:t>Owner</w:t>
            </w:r>
          </w:p>
        </w:tc>
        <w:tc>
          <w:tcPr>
            <w:tcW w:type="dxa" w:w="2329"/>
            <w:shd w:fill="1F4E79"/>
            <w:vAlign w:val="center"/>
            <w:tcMar>
              <w:top w:w="90" w:type="dxa"/>
              <w:start w:w="100" w:type="dxa"/>
              <w:bottom w:w="90" w:type="dxa"/>
              <w:end w:w="100" w:type="dxa"/>
            </w:tcMar>
          </w:tcPr>
          <w:p>
            <w:r>
              <w:rPr>
                <w:b/>
                <w:color w:val="FFFFFF"/>
                <w:sz w:val="17"/>
              </w:rPr>
              <w:t>Input</w:t>
            </w:r>
          </w:p>
        </w:tc>
        <w:tc>
          <w:tcPr>
            <w:tcW w:type="dxa" w:w="2329"/>
            <w:shd w:fill="1F4E79"/>
            <w:vAlign w:val="center"/>
            <w:tcMar>
              <w:top w:w="90" w:type="dxa"/>
              <w:start w:w="100" w:type="dxa"/>
              <w:bottom w:w="90" w:type="dxa"/>
              <w:end w:w="100" w:type="dxa"/>
            </w:tcMar>
          </w:tcPr>
          <w:p>
            <w:r>
              <w:rPr>
                <w:b/>
                <w:color w:val="FFFFFF"/>
                <w:sz w:val="17"/>
              </w:rPr>
              <w:t>Output / evidence</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1</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Developer</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Application source commit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Pipeline starts for `main`</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2</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GitLab runner</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Source + CI variables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Tests/scans and image build jobs</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3</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Docker Hub</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Image layers + SHA tag</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Four service images available to cluster</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4</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Manifest job</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Commit SHA + Helm values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CI commit updates image tags and pushes to main</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5</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Argo CD repo-server</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Private GitLab source + read token</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Helm manifests rendered</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6</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Argo CD controller</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Rendered manifests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Kubernetes desired state applied</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7</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Kubernetes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Deployments, StatefulSets, Services, PVCs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Pods scheduled and probes evaluated</w:t>
            </w:r>
          </w:p>
        </w:tc>
      </w:tr>
    </w:tbl>
    <w:p>
      <w:pPr>
        <w:spacing w:after="20"/>
      </w:pPr>
    </w:p>
    <w:p>
      <w:pPr>
        <w:pStyle w:val="CaptionSmall"/>
      </w:pPr>
      <w:r>
        <w:t>Table 5. Continuous delivery and GitOps responsibilities.</w:t>
      </w:r>
    </w:p>
    <w:p>
      <w:pPr>
        <w:pStyle w:val="Heading2"/>
      </w:pPr>
      <w:r>
        <w:t>3.4 Data model and ownership</w:t>
      </w:r>
    </w:p>
    <w:p>
      <w:r>
        <w:t>The authentication database stores account identity and password hash. The notes database stores note content and an owner identifier tied to the authenticated subject. The service split keeps account and note records in different persistence domains. The notes service does not rely on the browser to claim ownership; it derives the account identity from the validated token and constrains database queries accordingly.</w:t>
      </w:r>
    </w:p>
    <w:p>
      <w:r>
        <w:t>This arrangement reduces accidental cross-account access but does not itself guarantee all security properties. The JWT signing key must be protected and identical where verification is required. Database users should have only the privileges their service needs. Data retention, deletion semantics, schema migration and backup/restore procedures require additional explicit design before a production deployment.</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8"/>
              </w:rPr>
              <w:t>Entity</w:t>
            </w:r>
          </w:p>
        </w:tc>
        <w:tc>
          <w:tcPr>
            <w:tcW w:type="dxa" w:w="2329"/>
            <w:shd w:fill="1F4E79"/>
            <w:vAlign w:val="center"/>
            <w:tcMar>
              <w:top w:w="90" w:type="dxa"/>
              <w:start w:w="100" w:type="dxa"/>
              <w:bottom w:w="90" w:type="dxa"/>
              <w:end w:w="100" w:type="dxa"/>
            </w:tcMar>
          </w:tcPr>
          <w:p>
            <w:r>
              <w:rPr>
                <w:b/>
                <w:color w:val="FFFFFF"/>
                <w:sz w:val="18"/>
              </w:rPr>
              <w:t>Important fields (conceptual)</w:t>
            </w:r>
          </w:p>
        </w:tc>
        <w:tc>
          <w:tcPr>
            <w:tcW w:type="dxa" w:w="2329"/>
            <w:shd w:fill="1F4E79"/>
            <w:vAlign w:val="center"/>
            <w:tcMar>
              <w:top w:w="90" w:type="dxa"/>
              <w:start w:w="100" w:type="dxa"/>
              <w:bottom w:w="90" w:type="dxa"/>
              <w:end w:w="100" w:type="dxa"/>
            </w:tcMar>
          </w:tcPr>
          <w:p>
            <w:r>
              <w:rPr>
                <w:b/>
                <w:color w:val="FFFFFF"/>
                <w:sz w:val="18"/>
              </w:rPr>
              <w:t>Owner</w:t>
            </w:r>
          </w:p>
        </w:tc>
        <w:tc>
          <w:tcPr>
            <w:tcW w:type="dxa" w:w="2329"/>
            <w:shd w:fill="1F4E79"/>
            <w:vAlign w:val="center"/>
            <w:tcMar>
              <w:top w:w="90" w:type="dxa"/>
              <w:start w:w="100" w:type="dxa"/>
              <w:bottom w:w="90" w:type="dxa"/>
              <w:end w:w="100" w:type="dxa"/>
            </w:tcMar>
          </w:tcPr>
          <w:p>
            <w:r>
              <w:rPr>
                <w:b/>
                <w:color w:val="FFFFFF"/>
                <w:sz w:val="18"/>
              </w:rPr>
              <w:t>Persistence</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User</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identifier, email, password hash, creation time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Auth service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Auth PostgreSQL StatefulSet</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8"/>
              </w:rPr>
              <w:t>Note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8"/>
              </w:rPr>
              <w:t>identifier, owner identifier, title/body, timestamps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8"/>
              </w:rPr>
              <w:t>Notes service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8"/>
              </w:rPr>
              <w:t>Notes PostgreSQL StatefulSet</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Access token</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subject, issue/expiry metadata, signature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Auth service issues; notes service verifies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Short-lived client-held token</w:t>
            </w:r>
          </w:p>
        </w:tc>
      </w:tr>
    </w:tbl>
    <w:p>
      <w:pPr>
        <w:spacing w:after="20"/>
      </w:pPr>
    </w:p>
    <w:p>
      <w:pPr>
        <w:pStyle w:val="Heading2"/>
      </w:pPr>
      <w:r>
        <w:t>3.5 Kubernetes workload design</w:t>
      </w:r>
    </w:p>
    <w:p>
      <w:r>
        <w:t>Stateless services run as Deployments. Kubernetes can replace a failed pod and keep the desired replica count. The databases run as single-replica StatefulSets and each has a PersistentVolumeClaim. Services provide cluster-internal names. The Helm chart creates the `secure-notes` namespace and includes an ingress resource for the app routes.</w:t>
      </w:r>
    </w:p>
    <w:p>
      <w:r>
        <w:t>Resource requests and limits are defined for application containers to make scheduling and upper bounds explicit. Startup, readiness, and liveness probes have different purposes: startup probes give a slow process time to initialise; readiness controls whether a pod should receive traffic; liveness identifies a process that should be restarted. The auth service initially started slowly enough that readiness and liveness checks saw connection refusals. A longer startup allowance was added; after rollout the service reached Ready.</w:t>
      </w:r>
    </w:p>
    <w:p>
      <w:r>
        <w:t>The local-path provisioner creates storage on the node where a consuming pod is scheduled. The PVCs became Bound after the provisioner was installed and `local-path` was made the default StorageClass. That solved the immediate lab requirement, but this storage does not provide shared access, automatic replication, or protection against loss of the node disk.</w:t>
      </w:r>
    </w:p>
    <w:p>
      <w:pPr>
        <w:pStyle w:val="Heading2"/>
      </w:pPr>
      <w:r>
        <w:t>3.6 Ingress and local network exposure</w:t>
      </w:r>
    </w:p>
    <w:p>
      <w:r>
        <w:t>The first cluster check showed no ingress controller and no IngressClass. An ingress resource without a controller is only a declaration; it does not create an endpoint by itself. Traefik was installed with Helm, an ingress class named `traefik`, and NodePort service settings. The chart’s `service.type` setting did not change the effective service in the installed chart version; the corrected setting was `service.spec.type=NodePort`. The resulting service reported ports 80:30080 and 443:30443.</w:t>
      </w:r>
    </w:p>
    <w:p>
      <w:r>
        <w:t>The application ingress uses `className: traefik`. Browser requests to either VM private IP on port 30080 reached the application in the user’s test, and registration/login worked. Port 30443 was configured for the secure web entry but the project evidence only confirms the HTTP experience; a certificate and HTTPS validation were not demonstrated.</w:t>
      </w:r>
    </w:p>
    <w:p>
      <w:r>
        <w:t>A private IP is reachable only when the client can route to the VM subnet and the host/guest firewalls and VMware network mode permit the traffic. A bridged VM is typically easier to reach from devices on the same Wi-Fi than a NAT-only guest, but actual reachability depends on the VMware adapter and router policy. NodePort does not automatically allocate a cloud public IP.</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3106"/>
            <w:shd w:fill="1F4E79"/>
            <w:vAlign w:val="center"/>
            <w:tcMar>
              <w:top w:w="90" w:type="dxa"/>
              <w:start w:w="100" w:type="dxa"/>
              <w:bottom w:w="90" w:type="dxa"/>
              <w:end w:w="100" w:type="dxa"/>
            </w:tcMar>
          </w:tcPr>
          <w:p>
            <w:r>
              <w:rPr>
                <w:b/>
                <w:color w:val="FFFFFF"/>
                <w:sz w:val="18"/>
              </w:rPr>
              <w:t>Layer</w:t>
            </w:r>
          </w:p>
        </w:tc>
        <w:tc>
          <w:tcPr>
            <w:tcW w:type="dxa" w:w="3106"/>
            <w:shd w:fill="1F4E79"/>
            <w:vAlign w:val="center"/>
            <w:tcMar>
              <w:top w:w="90" w:type="dxa"/>
              <w:start w:w="100" w:type="dxa"/>
              <w:bottom w:w="90" w:type="dxa"/>
              <w:end w:w="100" w:type="dxa"/>
            </w:tcMar>
          </w:tcPr>
          <w:p>
            <w:r>
              <w:rPr>
                <w:b/>
                <w:color w:val="FFFFFF"/>
                <w:sz w:val="18"/>
              </w:rPr>
              <w:t>Address or value</w:t>
            </w:r>
          </w:p>
        </w:tc>
        <w:tc>
          <w:tcPr>
            <w:tcW w:type="dxa" w:w="3106"/>
            <w:shd w:fill="1F4E79"/>
            <w:vAlign w:val="center"/>
            <w:tcMar>
              <w:top w:w="90" w:type="dxa"/>
              <w:start w:w="100" w:type="dxa"/>
              <w:bottom w:w="90" w:type="dxa"/>
              <w:end w:w="100" w:type="dxa"/>
            </w:tcMar>
          </w:tcPr>
          <w:p>
            <w:r>
              <w:rPr>
                <w:b/>
                <w:color w:val="FFFFFF"/>
                <w:sz w:val="18"/>
              </w:rPr>
              <w:t>Meaning</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Control plane VM</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192.168.182.140</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Recorded private address</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Worker VM</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192.168.182.141</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Recorded private address</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Traefik HTTP</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TCP 30080</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NodePort on each node address, subject to routing/firewall</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Traefik HTTPS</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TCP 30443</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Configured NodePort; TLS readiness not demonstrated</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Ingress class</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traefik</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Controller selection for the application ingress</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Application hostname</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Wildcard host in lab manifest</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Host matching does not create DNS; path routing used</w:t>
            </w:r>
          </w:p>
        </w:tc>
      </w:tr>
    </w:tbl>
    <w:p>
      <w:pPr>
        <w:spacing w:after="20"/>
      </w:pPr>
    </w:p>
    <w:p>
      <w:r>
        <w:br w:type="page"/>
      </w:r>
    </w:p>
    <w:p>
      <w:pPr>
        <w:pStyle w:val="Heading1"/>
      </w:pPr>
      <w:r>
        <w:t>4 Implementation, incidents, and validation</w:t>
      </w:r>
    </w:p>
    <w:p>
      <w:r>
        <w:t>This chapter records what was implemented, how the main failures were diagnosed, and what the supplied evidence supports. Incidents are described as lessons in tracing a fault to the layer that owns it.</w:t>
      </w:r>
    </w:p>
    <w:p>
      <w:pPr>
        <w:pStyle w:val="Heading2"/>
      </w:pPr>
      <w:r>
        <w:t>4.1 Application implementation</w:t>
      </w:r>
    </w:p>
    <w:p>
      <w:r>
        <w:t>The frontend is a compact static interface. It presents account registration and login, collects the user’s credentials, and calls the backend. The API base is selected according to whether the page is served from the local development port or through the deployed same-origin gateway. This avoids a hard-coded remote localhost URL in the Kubernetes experience.</w:t>
      </w:r>
    </w:p>
    <w:p>
      <w:r>
        <w:t>The authentication service exposes account creation and login and issues JWTs. Passwords are hashed with bcrypt. The notes service validates access tokens and provides note operations. PostgreSQL is split by service. The services are built from Python 3.13 slim images and run under a non-root `appuser`. The frontend image uses Nginx and the gateway is also Nginx-based.</w:t>
      </w:r>
    </w:p>
    <w:p>
      <w:r>
        <w:t>The user-reported final browser test confirmed that registration and login functioned after deployment. This is useful end-to-end evidence: it crosses browser delivery, ingress, gateway routing, auth service startup, secret injection, and the auth database. It does not substitute for automated tests for every error case, concurrency, or security property.</w:t>
      </w:r>
    </w:p>
    <w:p>
      <w:pPr>
        <w:pStyle w:val="Heading2"/>
      </w:pPr>
      <w:r>
        <w:t>4.2 Local container environment</w:t>
      </w:r>
    </w:p>
    <w:p>
      <w:r>
        <w:t>Docker Compose served as an intermediate environment. It provided six containers and named volumes for the two databases. The UI was exposed on port 5500 and the gateway on port 8081, with API services communicating over the Compose network. This made service names usable inside the stack while localhost mappings were used only by the host browser.</w:t>
      </w:r>
    </w:p>
    <w:p>
      <w:r>
        <w:t>Several early failures were configuration mismatches rather than application logic defects. A CORS origin differed between `localhost` and `127.0.0.1`; a frontend call targeted a port with no listener; and the notes API was associated with the wrong port in one configuration. Other setup issues included missing `python-multipart`, difficulty installing `psycopg2`, and a PostgreSQL user/database mismatch. A Windows shell script was run in an incompatible shell and required Git Bash. These are documented as development blockers, not as failures in the final cluster deployment.</w:t>
      </w:r>
    </w:p>
    <w:p>
      <w:r>
        <w:t>A database persistence check used Compose volumes across a stop/start cycle. The takeaway was to distinguish container lifecycle from data lifecycle: deleting or recreating a container should not delete a named database volume unless the operator explicitly removes it. The Kubernetes analogue is a PVC/PV rather than the pod filesystem.</w:t>
      </w:r>
    </w:p>
    <w:p>
      <w:pPr>
        <w:pStyle w:val="Heading2"/>
      </w:pPr>
      <w:r>
        <w:t>4.3 Git repository and GitLab migration</w:t>
      </w:r>
    </w:p>
    <w:p>
      <w:r>
        <w:t>The developer already had a GitHub remote. To start a new GitLab.com repository while retaining GitHub, a second remote was added. The working tree included modifications to the README, Ansible setup, Argo CD manifests, Terraform configuration, and a newly added Argo CD role. A commit was created on `main`. The first push attempt failed because GitLab SSH access had no registered public key; switching the GitLab remote to HTTPS allowed the push to succeed.</w:t>
      </w:r>
    </w:p>
    <w:p>
      <w:r>
        <w:t>The repository contains the project source and declarative deployment files. Actual tokens and application secrets were not included in the report. GitLab CI variables were used for Docker Hub credentials. The Argo CD repository secret and application secret were applied to the cluster from protected files rather than committed in clear text. The `.example` manifest is the place for sanitised structure and placeholders.</w:t>
      </w:r>
    </w:p>
    <w:p>
      <w:pPr>
        <w:pStyle w:val="Heading2"/>
      </w:pPr>
      <w:r>
        <w:t>4.4 CI pipeline structure and debugging</w:t>
      </w:r>
    </w:p>
    <w:p>
      <w:r>
        <w:t>The pipeline was organised into build, test, and manifest-update stages. The CI configuration included GitLab security templates for SAST, dependency scanning, secret detection, and container scanning, plus test and dependency-check jobs. Build jobs created the auth-service, frontend, gateway, and notes-service images. The pipeline tagged images with the commit short SHA and published them to Docker Hub.</w:t>
      </w:r>
    </w:p>
    <w:p>
      <w:r>
        <w:t>One first pipeline was invalid YAML and therefore had zero jobs. The issue was in pipeline configuration, so no runner could fix it. Once a valid graph existed, build jobs encountered Docker-in-Docker requirements. The runner’s Docker executor required privileged mode, and the TLS certificate directory setting needed to match the DIND service configuration. Correcting runner configuration and disabling the DIND TLS certificate behavior used by the job allowed builds to proceed.</w:t>
      </w:r>
    </w:p>
    <w:p>
      <w:r>
        <w:t>The project moved from GitLab’s container registry to Docker Hub. A push then failed with `unauthorized: access token has insufficient scopes`. This pointed to registry credentials rather than a GitLab CI scheduling fault. The Docker Hub token needed permission to push repositories, and the username and token were stored in protected CI variables. Once corrected, image layers were pushed successfully.</w:t>
      </w:r>
    </w:p>
    <w:p>
      <w:r>
        <w:t>The manifest update job later failed to push back to GitLab with HTTP Basic authentication denied. The job was using the GitLab job token in a URL, so the issue was permission and URL scheme rather than the image registry. Updating the URL to HTTPS and allowing the project’s job token to write repository contents produced a successful push from the CI identity. The log showed a commit such as `ci: update image tags ... [skip ci]` and `HEAD -&gt; main`.</w:t>
      </w:r>
    </w:p>
    <w:p>
      <w:r>
        <w:t>Security checks were useful signals but not absolute release gates. The Trivy command was configured with `--exit-code 0`, so it reported vulnerabilities without failing the pipeline for HIGH or CRITICAL findings. The OWASP dependency-check, SAST, secret detection, and container scan jobs increase visibility, but their findings need review and remediation. A green pipeline means configured jobs passed; it does not prove that no vulnerability exists.</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6"/>
              </w:rPr>
              <w:t>Pipeline stage</w:t>
            </w:r>
          </w:p>
        </w:tc>
        <w:tc>
          <w:tcPr>
            <w:tcW w:type="dxa" w:w="2329"/>
            <w:shd w:fill="1F4E79"/>
            <w:vAlign w:val="center"/>
            <w:tcMar>
              <w:top w:w="90" w:type="dxa"/>
              <w:start w:w="100" w:type="dxa"/>
              <w:bottom w:w="90" w:type="dxa"/>
              <w:end w:w="100" w:type="dxa"/>
            </w:tcMar>
          </w:tcPr>
          <w:p>
            <w:r>
              <w:rPr>
                <w:b/>
                <w:color w:val="FFFFFF"/>
                <w:sz w:val="16"/>
              </w:rPr>
              <w:t>Representative jobs</w:t>
            </w:r>
          </w:p>
        </w:tc>
        <w:tc>
          <w:tcPr>
            <w:tcW w:type="dxa" w:w="2329"/>
            <w:shd w:fill="1F4E79"/>
            <w:vAlign w:val="center"/>
            <w:tcMar>
              <w:top w:w="90" w:type="dxa"/>
              <w:start w:w="100" w:type="dxa"/>
              <w:bottom w:w="90" w:type="dxa"/>
              <w:end w:w="100" w:type="dxa"/>
            </w:tcMar>
          </w:tcPr>
          <w:p>
            <w:r>
              <w:rPr>
                <w:b/>
                <w:color w:val="FFFFFF"/>
                <w:sz w:val="16"/>
              </w:rPr>
              <w:t>What success means</w:t>
            </w:r>
          </w:p>
        </w:tc>
        <w:tc>
          <w:tcPr>
            <w:tcW w:type="dxa" w:w="2329"/>
            <w:shd w:fill="1F4E79"/>
            <w:vAlign w:val="center"/>
            <w:tcMar>
              <w:top w:w="90" w:type="dxa"/>
              <w:start w:w="100" w:type="dxa"/>
              <w:bottom w:w="90" w:type="dxa"/>
              <w:end w:w="100" w:type="dxa"/>
            </w:tcMar>
          </w:tcPr>
          <w:p>
            <w:r>
              <w:rPr>
                <w:b/>
                <w:color w:val="FFFFFF"/>
                <w:sz w:val="16"/>
              </w:rPr>
              <w:t>What it does not establish</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Test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Python unit/API tests for auth and notes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Configured test command passed</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Complete behavioural or penetration-test coverage</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Build</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Build and push four images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Images exist in Docker Hub under commit tag</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Cluster can pull them or app is healthy</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Security</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SAST, dependency, secret, container scans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Configured scanners completed and reported</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No findings or complete supply-chain assurance</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Manifest update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Write image SHA to Helm values and push</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Git desired state references the new image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Argo CD successfully rendered/applied it</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Argo reconciliation</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In-cluster pull and sync</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Desired manifests applied</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Pods are ready or browser flow succeeds</w:t>
            </w:r>
          </w:p>
        </w:tc>
      </w:tr>
    </w:tbl>
    <w:p>
      <w:pPr>
        <w:spacing w:after="20"/>
      </w:pPr>
    </w:p>
    <w:p>
      <w:pPr>
        <w:pStyle w:val="Heading2"/>
      </w:pPr>
      <w:r>
        <w:t>4.5 Argo CD private repository access</w:t>
      </w:r>
    </w:p>
    <w:p>
      <w:r>
        <w:t>The Argo CD Application pointed at `https://gitlab.com/anassbougraine644/secure-notes.git`, branch `main`, chart path `helm/secure-notes`, and values file `values.yaml`. The repository was private. The first comparison error stated that the user was not allowed to download code from the project. That error correctly directed attention to repository authorization rather than the chart path.</w:t>
      </w:r>
    </w:p>
    <w:p>
      <w:r>
        <w:t>The user created a GitLab personal access token with `read_repository` among its scopes. A direct `git ls-remote` test initially returned HTTP 403, which showed the issue was still token access or project membership. A later test using the username and token succeeded and returned the `main` ref. The repository secret was updated with the GitLab URL, username `anassbougraine644`, and the token as the password. No token value is repeated here.</w:t>
      </w:r>
    </w:p>
    <w:p>
      <w:r>
        <w:t>After repository access was corrected, the Application still showed a transport connection refusal to the repo-server service IP and port 8081. Pod output showed many old Argo CD replicas in `ContainerStatusUnknown`, `Error`, or `Completed`, while one repo-server was Running and endpoints eventually pointed to it. A hard refresh did not by itself guarantee that every component was healthy. Once repo-server connectivity recovered, Argo CD completed a sync to the Git revision and created the application resources.</w:t>
      </w:r>
    </w:p>
    <w:p>
      <w:r>
        <w:t>The observed operation state reported a successful sync for revision `e1c8cc0be306ef54eff94b95fc743901cf933603`. This reconciled the application namespace, services, deployments, StatefulSets, and ingress resource. Sync status later oscillated briefly between Synced and Unknown when repo-server connectivity failed. The practical lesson is to inspect both application conditions and the repository-server service endpoints/pods.</w:t>
      </w:r>
    </w:p>
    <w:p>
      <w:pPr>
        <w:pStyle w:val="Heading2"/>
      </w:pPr>
      <w:r>
        <w:t>4.6 Storage provisioning and database readiness</w:t>
      </w:r>
    </w:p>
    <w:p>
      <w:r>
        <w:t>The first StatefulSet rollout created database PVCs without a StorageClass. `kubectl get storageclass` returned no resources. The PVC event reported `no persistent volumes available for this claim and no storage class is set`, leaving both database pods Pending. This was a cluster storage configuration gap, not a PostgreSQL image or password error.</w:t>
      </w:r>
    </w:p>
    <w:p>
      <w:r>
        <w:t>The Rancher local-path provisioner was installed and its `local-path` class was marked as the default. Because it uses `WaitForFirstConsumer`, the scheduler selected the worker before the volume was provisioned. The claims then became Bound at 1 Gi each, and the PostgreSQL containers pulled and started. Local-path also placed volume data on the worker node filesystem. The deployment is therefore tied to that node’s local storage and is not suitable for a highly available database.</w:t>
      </w:r>
    </w:p>
    <w:p>
      <w:r>
        <w:t>The application API containers initially restarted while database pods were still starting and while health probes began too early. Kubernetes events showed probe connection refusals. Logs later showed Uvicorn startup completion and successful root health requests for the notes service. The auth pod described an exit code 0 at termination, meaning the process was exiting rather than crashing with an application exception; the probe restarts were consistent with startup timing. A startup probe was used to give the process more initial time before liveness enforcement.</w:t>
      </w:r>
    </w:p>
    <w:p>
      <w:r>
        <w:t>Once the database pods were Ready and the application probes passed, `kubectl get pods -n secure-notes` showed auth-db, notes-db, auth-service, notes-service, frontend, and gateway all Ready. The previous restart counts remained historical information; a restarted container can later become Ready. For a screenshot, the live READY and STATUS columns are stronger than the restart count alone.</w:t>
      </w:r>
    </w:p>
    <w:p>
      <w:pPr>
        <w:pStyle w:val="Heading2"/>
      </w:pPr>
      <w:r>
        <w:t>4.7 GitLab server and runner choices</w:t>
      </w:r>
    </w:p>
    <w:p>
      <w:r>
        <w:t>The first GitLab installation was hosted in an Ubuntu VM on the developer’s workstation. The GitLab services showed Puma and logs reported a rack timeout, Puma worker shutdowns, and Nginx 502s because the Unix socket refused connections. Memory output showed about 3.8 GiB total in that VM with roughly 183 MiB free at the time, while swap was also in use. This did not prove a specific minimum RAM requirement, but it made resource pressure plausible and the self-hosted setup slow to recover.</w:t>
      </w:r>
    </w:p>
    <w:p>
      <w:r>
        <w:t>GitLab.com was selected instead. The developer asked whether it was free and moved the repository to a GitLab.com project. This removed the need to keep the GitLab web service available in the lab VM. GitLab-hosted shared/instance runners were enabled for the project; these runners execute jobs on GitLab-managed infrastructure and are not the Kubernetes VMs. The private VMware cluster remains the runtime target, while SaaS GitLab hosts source and CI execution.</w:t>
      </w:r>
    </w:p>
    <w:p>
      <w:pPr>
        <w:pStyle w:val="Heading2"/>
      </w:pPr>
      <w:r>
        <w:t>4.8 Traefik ingress and endpoint validation</w:t>
      </w:r>
    </w:p>
    <w:p>
      <w:r>
        <w:t>The cluster initially had no ingress controller or IngressClass. Traefik was added from its Helm repository. The first Helm invocation set `service.type=NodePort`, but the service stayed `LoadBalancer` with an external IP of `&lt;pending&gt;`. The chart’s values structure was checked, then the release was upgraded with `service.spec.type=NodePort`. The service became NodePort and exposed 80:30080 and 443:30443.</w:t>
      </w:r>
    </w:p>
    <w:p>
      <w:r>
        <w:t>The application chart set `ingress.enabled: true` and `ingress.className: traefik`. The Ingress resource existed before the controller, but after Traefik installation it could be served. The user tested the app by connecting to both VM addresses through the chosen HTTP NodePort and confirmed that sign-up and login worked. The browser console had earlier shown requests to `localhost:8081`; that was corrected by using the same-origin gateway path in the cluster.</w:t>
      </w:r>
    </w:p>
    <w:p>
      <w:r>
        <w:t>The final network path is private. A device on the same Wi-Fi can access the app only if its network can reach the VM’s private address. A VM using NAT may require host port forwarding; a bridged interface is more likely to expose the VM directly to the LAN. The actual choice depends on the VMware setup. This result is not a public external IP and does not imply availability from outside the home/office network.</w:t>
      </w:r>
    </w:p>
    <w:p>
      <w:pPr>
        <w:pStyle w:val="Heading2"/>
      </w:pPr>
      <w:r>
        <w:t>4.9 Incident register</w:t>
      </w:r>
    </w:p>
    <w:p>
      <w:r>
        <w:t>The incidents below capture the most useful troubleshooting sequence: state the symptom, identify the layer that owns it, gather discriminating evidence, apply the smallest appropriate fix, and re-check the path end to end. They also show why command output needs context. “Running” is not synonymous with “ready,” and a successful sync is not equivalent to a working login.</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5"/>
              </w:rPr>
              <w:t>ID</w:t>
            </w:r>
          </w:p>
        </w:tc>
        <w:tc>
          <w:tcPr>
            <w:tcW w:type="dxa" w:w="2329"/>
            <w:shd w:fill="1F4E79"/>
            <w:vAlign w:val="center"/>
            <w:tcMar>
              <w:top w:w="90" w:type="dxa"/>
              <w:start w:w="100" w:type="dxa"/>
              <w:bottom w:w="90" w:type="dxa"/>
              <w:end w:w="100" w:type="dxa"/>
            </w:tcMar>
          </w:tcPr>
          <w:p>
            <w:r>
              <w:rPr>
                <w:b/>
                <w:color w:val="FFFFFF"/>
                <w:sz w:val="15"/>
              </w:rPr>
              <w:t>Symptom</w:t>
            </w:r>
          </w:p>
        </w:tc>
        <w:tc>
          <w:tcPr>
            <w:tcW w:type="dxa" w:w="2329"/>
            <w:shd w:fill="1F4E79"/>
            <w:vAlign w:val="center"/>
            <w:tcMar>
              <w:top w:w="90" w:type="dxa"/>
              <w:start w:w="100" w:type="dxa"/>
              <w:bottom w:w="90" w:type="dxa"/>
              <w:end w:w="100" w:type="dxa"/>
            </w:tcMar>
          </w:tcPr>
          <w:p>
            <w:r>
              <w:rPr>
                <w:b/>
                <w:color w:val="FFFFFF"/>
                <w:sz w:val="15"/>
              </w:rPr>
              <w:t>Evidence and root area</w:t>
            </w:r>
          </w:p>
        </w:tc>
        <w:tc>
          <w:tcPr>
            <w:tcW w:type="dxa" w:w="2329"/>
            <w:shd w:fill="1F4E79"/>
            <w:vAlign w:val="center"/>
            <w:tcMar>
              <w:top w:w="90" w:type="dxa"/>
              <w:start w:w="100" w:type="dxa"/>
              <w:bottom w:w="90" w:type="dxa"/>
              <w:end w:w="100" w:type="dxa"/>
            </w:tcMar>
          </w:tcPr>
          <w:p>
            <w:r>
              <w:rPr>
                <w:b/>
                <w:color w:val="FFFFFF"/>
                <w:sz w:val="15"/>
              </w:rPr>
              <w:t>Correction / lesson</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I-01</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Browser API calls refused</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Console showed `localhost:8000`/`localhost:8081` unavailable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Use the reachable local port in Compose; use same-origin paths in cluster</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5"/>
              </w:rPr>
              <w:t>I-02</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CORS blocked local UI</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Origin differed between localhost and 127.0.0.1</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Align configured origins with the exact browser origin</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I-03</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API dependency/setup errors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Missing multipart or PostgreSQL driver setup</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Install declared runtime dependencies and use the intended DB URL</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5"/>
              </w:rPr>
              <w:t>I-04</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GitLab push denied over SSH</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`Permission denied (publickey)`</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Use HTTPS or register the correct SSH public key</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I-05</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Pipeline invalid with zero jobs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GitLab marked YAML invalid</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Validate CI YAML before diagnosing runners</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5"/>
              </w:rPr>
              <w:t>I-06</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DIND build failure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Docker daemon/privileged setup mismatch</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Configure runner privilege and align DIND TLS mode</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I-07</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Docker Hub push unauthorized</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Insufficient token scopes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Use a push-enabled token; store it as masked CI variable</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5"/>
              </w:rPr>
              <w:t>I-08</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Manifest push HTTP Basic denied</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Job-token repository write access / protocol</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Use HTTPS job-token URL and grant job-token write permission</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I-09</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Argo source returned 403</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Private repository token unable to read code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Use the right username/token type and `read_repository` scope</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5"/>
              </w:rPr>
              <w:t>I-10</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Argo compare connection refused</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Repo-server service had stale/unhealthy pods/endpoints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Inspect pods and endpoints; recover repo-server before refreshing</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I-11</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PVCs Pending</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No StorageClass/default provisioner</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Install local-path provisioner; mark as default; inspect events</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5"/>
              </w:rPr>
              <w:t>I-12</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App pods repeatedly restarted</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Readiness/liveness ran before slow startup/DB availability</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Inspect previous logs and probes; allow startup window; validate dependencies</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I-13</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No ingress endpoint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No controller/class; service remained LoadBalancer</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Install Traefik, set chart’s `service.spec.type=NodePort`</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5"/>
              </w:rPr>
              <w:t>I-14</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Browser basic-auth prompt at localhost:8080</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Port-forwarded UI likely targeted Argo CD service, not app endpoint</w:t>
            </w:r>
          </w:p>
        </w:tc>
        <w:tc>
          <w:tcPr>
            <w:tcW w:type="dxa" w:w="2329"/>
            <w:vAlign w:val="center"/>
            <w:tcMar>
              <w:top w:w="90" w:type="dxa"/>
              <w:start w:w="100" w:type="dxa"/>
              <w:bottom w:w="90" w:type="dxa"/>
              <w:end w:w="100" w:type="dxa"/>
            </w:tcMar>
          </w:tcPr>
          <w:p>
            <w:pPr>
              <w:spacing w:after="20"/>
              <w:jc w:val="left"/>
            </w:pPr>
            <w:r>
              <w:rPr>
                <w:rFonts w:ascii="Times New Roman" w:hAnsi="Times New Roman"/>
                <w:sz w:val="15"/>
              </w:rPr>
              <w:t>Use the app ingress/NodePort; Argo credentials are unrelated</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I-15</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GitLab VM boot/502 delay</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Puma rack timeout and socket refusal</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5"/>
              </w:rPr>
              <w:t>Move source/CI to GitLab.com; avoid hosting GitLab on constrained VM</w:t>
            </w:r>
          </w:p>
        </w:tc>
      </w:tr>
    </w:tbl>
    <w:p>
      <w:pPr>
        <w:spacing w:after="20"/>
      </w:pPr>
    </w:p>
    <w:p>
      <w:pPr>
        <w:pStyle w:val="CaptionSmall"/>
      </w:pPr>
      <w:r>
        <w:t>Table 6. Project incident register. Exact secret values, full private tokens, and user passwords have been excluded.</w:t>
      </w:r>
    </w:p>
    <w:p>
      <w:pPr>
        <w:pStyle w:val="Heading2"/>
      </w:pPr>
      <w:r>
        <w:t>4.10 Validation results</w:t>
      </w:r>
    </w:p>
    <w:p>
      <w:r>
        <w:t>The supplied terminal evidence showed both nodes in Ready state. The application namespace contained six expected pods: two PostgreSQL StatefulSet pods and four application Deployments. The final snapshot showed all six `1/1 Running`. Two 1 Gi persistent volume claims were Bound with storage class `local-path`. The services were cluster-internal and the Ingress resource selected the Traefik class.</w:t>
      </w:r>
    </w:p>
    <w:p>
      <w:r>
        <w:t>Argo CD reported `Synced` for `secure-notes`; an earlier condition showed a comparison error during repo-server outage, while the operation history documented successful sync. A successful CI log showed a manifest commit and push to `main`, and later the pipeline job ended `Job succeeded`. The user independently confirmed the browser allowed account registration and login at both node addresses.</w:t>
      </w:r>
    </w:p>
    <w:p>
      <w:r>
        <w:t>The state should be understood as a successful lab validation at the time captured, not a guarantee of long-term availability. The VMs can be shut down, images can be removed, tokens can expire, the Wi-Fi subnet can change, and local-path storage can be lost with the worker disk. Re-run the checks before any demonstration.</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7"/>
              </w:rPr>
              <w:t>Layer</w:t>
            </w:r>
          </w:p>
        </w:tc>
        <w:tc>
          <w:tcPr>
            <w:tcW w:type="dxa" w:w="2329"/>
            <w:shd w:fill="1F4E79"/>
            <w:vAlign w:val="center"/>
            <w:tcMar>
              <w:top w:w="90" w:type="dxa"/>
              <w:start w:w="100" w:type="dxa"/>
              <w:bottom w:w="90" w:type="dxa"/>
              <w:end w:w="100" w:type="dxa"/>
            </w:tcMar>
          </w:tcPr>
          <w:p>
            <w:r>
              <w:rPr>
                <w:b/>
                <w:color w:val="FFFFFF"/>
                <w:sz w:val="17"/>
              </w:rPr>
              <w:t>Check</w:t>
            </w:r>
          </w:p>
        </w:tc>
        <w:tc>
          <w:tcPr>
            <w:tcW w:type="dxa" w:w="2329"/>
            <w:shd w:fill="1F4E79"/>
            <w:vAlign w:val="center"/>
            <w:tcMar>
              <w:top w:w="90" w:type="dxa"/>
              <w:start w:w="100" w:type="dxa"/>
              <w:bottom w:w="90" w:type="dxa"/>
              <w:end w:w="100" w:type="dxa"/>
            </w:tcMar>
          </w:tcPr>
          <w:p>
            <w:r>
              <w:rPr>
                <w:b/>
                <w:color w:val="FFFFFF"/>
                <w:sz w:val="17"/>
              </w:rPr>
              <w:t>Observed result</w:t>
            </w:r>
          </w:p>
        </w:tc>
        <w:tc>
          <w:tcPr>
            <w:tcW w:type="dxa" w:w="2329"/>
            <w:shd w:fill="1F4E79"/>
            <w:vAlign w:val="center"/>
            <w:tcMar>
              <w:top w:w="90" w:type="dxa"/>
              <w:start w:w="100" w:type="dxa"/>
              <w:bottom w:w="90" w:type="dxa"/>
              <w:end w:w="100" w:type="dxa"/>
            </w:tcMar>
          </w:tcPr>
          <w:p>
            <w:r>
              <w:rPr>
                <w:b/>
                <w:color w:val="FFFFFF"/>
                <w:sz w:val="17"/>
              </w:rPr>
              <w:t>Interpretation</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Kubernetes nodes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`kubectl get nodes -o wide`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2 nodes Ready</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Cluster control plane and worker available</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Application pods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`kubectl get pods -n secure-notes`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6 pods 1/1 Running</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Processes passed readiness at snapshot</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Database storage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`kubectl get pvc -n secure-notes`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Two claims Bound, 1 Gi</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Provisioner supplied local volumes</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Argo CD</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`kubectl get applications -n argocd`</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secure-notes Synced</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Git desired state applied</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Pipeline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GitLab job log</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Job succeeded; image and manifest push shown</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CI-to-Git promotion completed</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Browser</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User-reported sign-up/login</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Successful through both private node addresses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End-to-end path verified by user</w:t>
            </w:r>
          </w:p>
        </w:tc>
      </w:tr>
    </w:tbl>
    <w:p>
      <w:pPr>
        <w:spacing w:after="20"/>
      </w:pPr>
    </w:p>
    <w:p>
      <w:pPr>
        <w:pStyle w:val="Heading2"/>
      </w:pPr>
      <w:r>
        <w:t>4.11 Risks, limitations, and ethical handling</w:t>
      </w:r>
    </w:p>
    <w:p>
      <w:r>
        <w:t>The largest availability limitation is topology. There is one control plane and one worker. If the worker is unavailable, all application pods and local database volumes may become inaccessible. A control-plane VM failure can prevent effective administration. The local-path provisioner does not replicate data, and no backup restore drill was recorded.</w:t>
      </w:r>
    </w:p>
    <w:p>
      <w:r>
        <w:t>Network security is intentionally basic. The NodePort uses private HTTP. The source repository is private and Argo’s token is read-only, but rotating the personal token is still a manual requirement. Production should prefer a narrowly scoped project or deploy token where supported, store it as a Kubernetes Secret through a secret-management workflow, and rotate it before expiry. The shown historical personal access token had a four-week expiry and should not be reused indefinitely.</w:t>
      </w:r>
    </w:p>
    <w:p>
      <w:r>
        <w:t>The project involves secret material (JWT signing key, database credentials, Docker Hub token, GitLab token). This report does not reproduce those values, even if they appeared in an image or shell history. The redacted repository secret example is only a template. If any real credential is ever committed or exposed in screenshots, it should be revoked and replaced; deleting the text alone does not remove it from Git history.</w:t>
      </w:r>
    </w:p>
    <w:p>
      <w:pPr>
        <w:pStyle w:val="Heading2"/>
      </w:pPr>
      <w:r>
        <w:t>4.12 Detailed analysis of the most consequential incidents</w:t>
      </w:r>
    </w:p>
    <w:p>
      <w:r>
        <w:t>The incident register is a compact index. This section expands the failures that affected delivery or runtime, because their order and diagnostic evidence explain how the final architecture was reached.</w:t>
      </w:r>
    </w:p>
    <w:p>
      <w:pPr>
        <w:pStyle w:val="Heading3"/>
      </w:pPr>
      <w:r>
        <w:t>4.12.1 Browser loopback and CORS mismatch</w:t>
      </w:r>
    </w:p>
    <w:p>
      <w:r>
        <w:t>The browser’s `localhost` address is interpreted on the client device. When the page was opened on a workstation but the API address pointed to `localhost:8081`, the browser attempted to contact a listener on the workstation itself. The Kubernetes pod address and the Ubuntu VM address were not substituted automatically. The console showed repeated connection refusals to the localhost API route, even though gateway and service pods could be healthy. This is a classic boundary mismatch: server-side network names are not browser-side network names.</w:t>
      </w:r>
    </w:p>
    <w:p>
      <w:r>
        <w:t>The diagnostic sequence was to inspect the request URL in the browser developer tools, confirm whether the port was bound on the client, and compare the browser origin with the gateway mapping. For local Compose, a host-mapped port can be valid when the gateway is exposed on that workstation. For cluster access, a relative path is preferable: the browser asks for `/auth/...` or `/notes/...` from the same host and port that served the UI, and the ingress plus gateway perform internal routing. The source retains a local-development branch for the `5500` frontend port while leaving the deployed API base empty. This avoids requiring every user to edit the browser’s API URL after deployment.</w:t>
      </w:r>
    </w:p>
    <w:p>
      <w:r>
        <w:t>CORS created a related but separate issue. `http://localhost:5500` and `http://127.0.0.1:5500` are different origins, even when they resolve to the same machine. Allowing one does not allow the other. The durable lesson is to configure allowed origins deliberately and to keep the cluster path same-origin where possible. CORS is a browser policy; it does not fix an unreachable host or a service that is not listening.</w:t>
      </w:r>
    </w:p>
    <w:p>
      <w:pPr>
        <w:pStyle w:val="Heading3"/>
      </w:pPr>
      <w:r>
        <w:t>4.12.2 Database configuration and Python package setup</w:t>
      </w:r>
    </w:p>
    <w:p>
      <w:r>
        <w:t>The initial service was sensitive to three independent configuration facts: a valid PostgreSQL driver had to be installed in the Python environment, the database server had to be reachable, and the connection string had to name a user and database that existed with appropriate privileges. A connection string containing an example `notes_pass` can look plausible while silently pointing at the wrong password or database. The decision to read the value from an environment variable separates code from runtime configuration, but it also means the runtime must actually provide the variable.</w:t>
      </w:r>
    </w:p>
    <w:p>
      <w:r>
        <w:t>The project encountered package installation friction around the PostgreSQL adapter and a missing multipart package used by form-handling routes. On Windows, a compiled database driver can depend on Python version and wheel availability; moving the service into a container makes the build environment repeatable, but the image still needs the correct dependency declaration. Installation instructions belong in the requirements file and Docker build, not as a one-off manual fix inside a running pod.</w:t>
      </w:r>
    </w:p>
    <w:p>
      <w:r>
        <w:t>Database permissions should be checked with the same identity the application uses. A successful connection to PostgreSQL does not prove the application user can create or query the target schema. In the final cluster, the database pods depended on Kubernetes Secret keys for username, password, and database name. This moved the configuration boundary from a local `.env` file to namespace-scoped Secret references; it did not remove the need to control access to the secret object.</w:t>
      </w:r>
    </w:p>
    <w:p>
      <w:pPr>
        <w:pStyle w:val="Heading3"/>
      </w:pPr>
      <w:r>
        <w:t>4.12.3 GitLab hosting and resource pressure</w:t>
      </w:r>
    </w:p>
    <w:p>
      <w:r>
        <w:t>The initial self-hosted GitLab experience demonstrated that the source-control service itself has a non-trivial resource footprint. The interface remained in a booting state while the logs showed Nginx 502 responses and Workhorse failing to connect to the Puma Unix socket. Puma was technically reported as running, yet it repeatedly exceeded its startup rack timeout. The VM reported only about 183 MiB free memory in one snapshot and active swap use. That snapshot supports the conclusion that resources were tight; it does not establish a universal GitLab RAM minimum or prove that memory alone caused each timeout.</w:t>
      </w:r>
    </w:p>
    <w:p>
      <w:r>
        <w:t>The operational choice was to stop making the lab responsible for Git hosting. The project moved to GitLab.com, which also provided a shared runner option. This changed the failure domain: Git hosting and CI execution became dependent on the internet and account/project settings, while the VM cluster remained local. The application cluster no longer needed a self-hosted GitLab runner. In this arrangement, the cloud runner can build and push images without reaching a private node; the node pulls the resulting image and Argo CD pulls desired state outbound from GitLab.com.</w:t>
      </w:r>
    </w:p>
    <w:p>
      <w:pPr>
        <w:pStyle w:val="Heading3"/>
      </w:pPr>
      <w:r>
        <w:t>4.12.4 Distinguishing registry credentials from Git credentials</w:t>
      </w:r>
    </w:p>
    <w:p>
      <w:r>
        <w:t>The pipeline used two unrelated authentication flows. The Docker Hub username and access token authorized image publication. GitLab CI masked variables made them available to the build jobs without writing their values into the repository. A token with insufficient Docker Hub scopes produced an explicit “access token has insufficient scopes” response after `docker push`; the image layers could be prepared locally, but the registry refused the operation. The fix was to create a token with write permission and ensure the variable value and variable name matched the job configuration.</w:t>
      </w:r>
    </w:p>
    <w:p>
      <w:r>
        <w:t>The manifest job did not push to Docker Hub. It pushed a Git commit to the GitLab repository using `CI_JOB_TOKEN`. The error message was HTTP Basic authentication denied by GitLab. Changing the URL to HTTPS by itself is not sufficient unless the project also permits the job token to write repository contents. After both the URL and job-token permissions were correct, the CI identity updated `main`. This is why credentials should be diagnosed from the destination named in the failing line rather than changed generically.</w:t>
      </w:r>
    </w:p>
    <w:p>
      <w:pPr>
        <w:pStyle w:val="Heading3"/>
      </w:pPr>
      <w:r>
        <w:t>4.12.5 Argo CD access and repo-server availability</w:t>
      </w:r>
    </w:p>
    <w:p>
      <w:r>
        <w:t>Argo CD needs two things to produce manifests: authorized access to the configured repository and a healthy repo-server that can clone the repository and render Helm. At first the Application condition said the user could not download code. A command-line `git ls-remote` reproduced an HTTP 403, proving that the problem was not the Argo CD UI, Helm values, or cluster permissions. After correcting the GitLab token, the same read operation returned the `main` ref. This is a useful narrow test because it verifies repository authorization with Git without involving Argo CD.</w:t>
      </w:r>
    </w:p>
    <w:p>
      <w:r>
        <w:t>The next failure was different: Argo CD returned a connection refusal to the repo-server ClusterIP on port 8081. Kubernetes Service IPs are virtual addresses; successful service discovery does not guarantee that a ready backend is listening. The pod inventory showed one current repo-server and several stale or unknown pods with no Pod IP. The service endpoint list eventually pointed at a running pod. These observations explain why a hard refresh could continue to display Unknown until the backend path recovered.</w:t>
      </w:r>
    </w:p>
    <w:p>
      <w:r>
        <w:t>The recovery checklist is therefore ordered: check the Application condition, check the repo-server service selector and endpoints, compare endpoints with ready repo-server pods, inspect server logs, and only then force a refresh. A hard refresh asks Argo CD to retry source comparison; it cannot repair a broken pod or network path.</w:t>
      </w:r>
    </w:p>
    <w:p>
      <w:pPr>
        <w:pStyle w:val="Heading3"/>
      </w:pPr>
      <w:r>
        <w:t>4.12.6 PVC scheduling and delayed consumers</w:t>
      </w:r>
    </w:p>
    <w:p>
      <w:r>
        <w:t>The initial PVCs had an empty StorageClass and no pre-created PersistentVolumes. The event message identified the missing provisioning mechanism directly. Installing the local-path chart created a provisioner deployment and a StorageClass, but the claims remained Pending briefly because the new class used `WaitForFirstConsumer`. In this mode the scheduler first finds a suitable node for the workload; the provisioner then creates storage local to that node. Seeing Pending for a short interval immediately after installing the provisioner was not evidence that installation had failed.</w:t>
      </w:r>
    </w:p>
    <w:p>
      <w:r>
        <w:t>Once the class was marked default and the StatefulSet consumers scheduled to the worker, both claims became Bound. Each volume was 1 Gi. The stateful pods mounted the claim at the PostgreSQL data directory. This solution is correct for a single-node persistence demonstration, but it couples database data to the worker. If the worker VM disk is lost, rescheduling the pod elsewhere does not recreate the missing data. PVC Bound status should therefore be described as successful provisioning, not as a backup or durability guarantee.</w:t>
      </w:r>
    </w:p>
    <w:p>
      <w:pPr>
        <w:pStyle w:val="Heading3"/>
      </w:pPr>
      <w:r>
        <w:t>4.12.7 Probe behaviour and slow startup</w:t>
      </w:r>
    </w:p>
    <w:p>
      <w:r>
        <w:t>Kubernetes distinguishes process liveness from service readiness. A container can be Running while its web server is not yet accepting connections. The auth service initially showed connection-refused readiness and liveness events at port 8001. Its last termination had exit code zero, and application logs showed startup completion at some points. The notes service logs showed repeated successful root checks after it began running. Those details argued for checking the probe timing and the database dependency instead of assuming an exception from the application code.</w:t>
      </w:r>
    </w:p>
    <w:p>
      <w:r>
        <w:t>A startup probe can protect a slow process from liveness restarts while it initializes. Readiness should still remain false until the process can handle requests. Liveness should represent a deadlocked or irrecoverable process, not temporary database delay. After the startup allowance and dependency timing were adjusted, the final snapshot showed both API pods Ready. A healthy probe path is still only a basic health check; production readiness often includes more deliberate dependency checks, timeouts, and recovery policies.</w:t>
      </w:r>
    </w:p>
    <w:p>
      <w:pPr>
        <w:pStyle w:val="Heading3"/>
      </w:pPr>
      <w:r>
        <w:t>4.12.8 Helm value schema and NodePort correction</w:t>
      </w:r>
    </w:p>
    <w:p>
      <w:r>
        <w:t>The first Traefik install reported a deployed Helm release, but `kubectl get svc` showed type LoadBalancer and an external IP pending. The service had `80:30080` and `443:30443` ports, but type `LoadBalancer` still depended on an external load balancer provider. The VM cluster had no such provider. The mismatch was in the Helm chart’s values schema: the intended setting was nested under `service.spec.type`, not `service.type` for the chart version used.</w:t>
      </w:r>
    </w:p>
    <w:p>
      <w:r>
        <w:t>Inspecting the resulting Kubernetes Service was the decisive validation. Helm reporting “deployed” only confirmed that the release rendered/applied; it did not guarantee the intended service type. After the corrected upgrade, the Service reported `NodePort` and the same assigned ports. This is a general chart lesson: a syntactically accepted `--set` path can be ignored or affect a different field. Verify the rendered resource, not just the release summary.</w:t>
      </w:r>
    </w:p>
    <w:p>
      <w:pPr>
        <w:pStyle w:val="Heading3"/>
      </w:pPr>
      <w:r>
        <w:t>4.12.9 The role of truthful state reporting</w:t>
      </w:r>
    </w:p>
    <w:p>
      <w:r>
        <w:t>Throughout the work, several status pairs looked contradictory: Argo CD could show Synced while Health was Progressing; the pods could be Running while READY remained zero; a GitLab pipeline could succeed while the Application still showed Unknown; and a Helm release could be deployed while the service was not NodePort. These states describe different dimensions. Sync reports whether manifests match Git. Health reports how resources are progressing. Pod phase describes scheduling/container state. Readiness determines whether the pod should receive service traffic. A pipeline status reports jobs, not runtime success.</w:t>
      </w:r>
    </w:p>
    <w:p>
      <w:r>
        <w:t>A reliable status statement includes the object and the time of observation. For example, “the Argo Application sync operation for commit X succeeded, and at a later snapshot all six application pods were 1/1 Running” is more precise than “everything is healthy.” This report uses that distinction, and treats user-reported browser success as end-to-end evidence rather than inferred from Kubernetes state alone.</w:t>
      </w:r>
    </w:p>
    <w:p>
      <w:pPr>
        <w:pStyle w:val="Heading2"/>
      </w:pPr>
      <w:r>
        <w:t>4.13 Configuration management and release traceability</w:t>
      </w:r>
    </w:p>
    <w:p>
      <w:r>
        <w:t>The repository is the record of desired application deployment state. Helm chart templates describe the Kubernetes resource pattern; `values.yaml` supplies environment-specific choices such as image tags, ingress class, ports, resource constraints, and database persistence. The CI job modifies only the image tag fields required to promote the tested build. This keeps release promotion reviewable as a Git diff.</w:t>
      </w:r>
    </w:p>
    <w:p>
      <w:r>
        <w:t>A commit-derived image tag provides a direct link from a workload back to source. Mutable tags such as `latest` can point at different image bytes over time; a shortened commit SHA is more traceable, though a registry digest would be stronger evidence of immutable content. The Kubernetes summary observed SHA-like tags on the running images. The report avoids presenting those historical sample tags as the current desired release because subsequent pipeline runs can change `main`.</w:t>
      </w:r>
    </w:p>
    <w:p>
      <w:r>
        <w:t>Argo CD’s automated policy included pruning and self-healing. Pruning removes resources that no longer appear in the desired manifests. Self-healing attempts to restore the Git-declared configuration if someone changes a managed resource manually. These features support declarative operations but increase the importance of reviewing repository changes: deleting a manifest can delete a live resource. The database PVC lifecycle and reclaim policy deserve special care before enabling destructive changes in a system with valuable data.</w:t>
      </w:r>
    </w:p>
    <w:p>
      <w:r>
        <w:t>Ansible served as bootstrap automation rather than the ongoing application deployment engine. The playbook installed or configured cluster components and registered the Argo CD application. Application changes thereafter flowed through GitLab CI, Helm values, and Argo CD. The secret-handling tasks used temporary staged files copied to the control plane with restricted permissions and removed them after application. The private input files remained local and were excluded from source control. This separates bootstrap from day-two application reconciliation.</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7"/>
              </w:rPr>
              <w:t>Configuration layer</w:t>
            </w:r>
          </w:p>
        </w:tc>
        <w:tc>
          <w:tcPr>
            <w:tcW w:type="dxa" w:w="2329"/>
            <w:shd w:fill="1F4E79"/>
            <w:vAlign w:val="center"/>
            <w:tcMar>
              <w:top w:w="90" w:type="dxa"/>
              <w:start w:w="100" w:type="dxa"/>
              <w:bottom w:w="90" w:type="dxa"/>
              <w:end w:w="100" w:type="dxa"/>
            </w:tcMar>
          </w:tcPr>
          <w:p>
            <w:r>
              <w:rPr>
                <w:b/>
                <w:color w:val="FFFFFF"/>
                <w:sz w:val="17"/>
              </w:rPr>
              <w:t>Stored in</w:t>
            </w:r>
          </w:p>
        </w:tc>
        <w:tc>
          <w:tcPr>
            <w:tcW w:type="dxa" w:w="2329"/>
            <w:shd w:fill="1F4E79"/>
            <w:vAlign w:val="center"/>
            <w:tcMar>
              <w:top w:w="90" w:type="dxa"/>
              <w:start w:w="100" w:type="dxa"/>
              <w:bottom w:w="90" w:type="dxa"/>
              <w:end w:w="100" w:type="dxa"/>
            </w:tcMar>
          </w:tcPr>
          <w:p>
            <w:r>
              <w:rPr>
                <w:b/>
                <w:color w:val="FFFFFF"/>
                <w:sz w:val="17"/>
              </w:rPr>
              <w:t>Changed by</w:t>
            </w:r>
          </w:p>
        </w:tc>
        <w:tc>
          <w:tcPr>
            <w:tcW w:type="dxa" w:w="2329"/>
            <w:shd w:fill="1F4E79"/>
            <w:vAlign w:val="center"/>
            <w:tcMar>
              <w:top w:w="90" w:type="dxa"/>
              <w:start w:w="100" w:type="dxa"/>
              <w:bottom w:w="90" w:type="dxa"/>
              <w:end w:w="100" w:type="dxa"/>
            </w:tcMar>
          </w:tcPr>
          <w:p>
            <w:r>
              <w:rPr>
                <w:b/>
                <w:color w:val="FFFFFF"/>
                <w:sz w:val="17"/>
              </w:rPr>
              <w:t>Runtime consumer</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Application source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GitLab repository</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Developer commit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CI build and container runtime</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CI variables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GitLab project settings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Project owner</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GitLab runner jobs</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Container images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Docker Hub</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Build/push jobs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Kubernetes kubelet/containerd</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Deployment desired state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Helm chart in GitLab</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Developer or manifest job</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Argo CD repo-server/controller</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Bootstrap inventory/playbooks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Ansible source and local inventory</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Developer</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Ansible on operator workstation/VM</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Cluster secrets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Kubernetes Secret objects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Ansible/manual protected workflow</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Pods and Argo CD</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Persistent database files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Worker node local path</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PostgreSQL process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StatefulSet pod</w:t>
            </w:r>
          </w:p>
        </w:tc>
      </w:tr>
    </w:tbl>
    <w:p>
      <w:pPr>
        <w:spacing w:after="20"/>
      </w:pPr>
    </w:p>
    <w:p>
      <w:pPr>
        <w:pStyle w:val="Heading2"/>
      </w:pPr>
      <w:r>
        <w:t>4.14 Security review by trust boundary</w:t>
      </w:r>
    </w:p>
    <w:p>
      <w:r>
        <w:t>The architecture has multiple trust boundaries: an unauthenticated browser request enters the public-facing edge of the application; an authenticated token crosses the gateway to the APIs; application services connect to databases; CI runners access source and registry credentials; Argo CD accesses private Git; and Kubernetes administrators can read or alter cluster Secrets. Each boundary requires a different control.</w:t>
      </w:r>
    </w:p>
    <w:p>
      <w:r>
        <w:t>For the user-facing API, authentication and ownership checks protect notes. Password hashing protects stored credentials if a database dump is exposed, but does not protect active sessions or the signing key. Token expiry reduces the useful lifetime of a stolen token, while the project had no documented revocation or refresh-token scheme. The 60-minute token lifetime recorded in source should be treated as an application choice to review, not a universal security setting.</w:t>
      </w:r>
    </w:p>
    <w:p>
      <w:r>
        <w:t>For CI, masked variables reduce accidental display in logs but are not a secret-management system by themselves. Forks, untrusted pipeline code, debug traces, or overly broad permissions can expose variables. Use protected variables for protected branches, narrowly scoped tokens, and avoid echoing secret values. Image scanning should have an explicit policy: the existing Trivy command reported findings but used an exit code that did not fail the job.</w:t>
      </w:r>
    </w:p>
    <w:p>
      <w:r>
        <w:t>For GitOps, Argo CD needs read access to the repository but not write access. Its repository secret should use the narrowest valid token scope and have an expiry/rotation plan. For cluster secrets, RBAC and encryption at rest determine who can read the values. The report never copies the live secret YAML. The Helm setting `secrets.create: false` was used where an already provisioned secret was expected; this avoids chart defaults overwriting that secret but requires the secret to exist before pods start.</w:t>
      </w:r>
    </w:p>
    <w:p>
      <w:r>
        <w:t>At the network edge, a private NodePort is not equivalent to public exposure, but HTTP still means traffic is not encrypted on the LAN. Any user on an untrusted or compromised local network may be able to observe or interfere with traffic depending on the network. TLS, secure cookie policy, network segmentation, firewall rules, and a trusted certificate are therefore future work before use beyond a controlled demonstration.</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3106"/>
            <w:shd w:fill="1F4E79"/>
            <w:vAlign w:val="center"/>
            <w:tcMar>
              <w:top w:w="90" w:type="dxa"/>
              <w:start w:w="100" w:type="dxa"/>
              <w:bottom w:w="90" w:type="dxa"/>
              <w:end w:w="100" w:type="dxa"/>
            </w:tcMar>
          </w:tcPr>
          <w:p>
            <w:r>
              <w:rPr>
                <w:b/>
                <w:color w:val="FFFFFF"/>
                <w:sz w:val="16"/>
              </w:rPr>
              <w:t>Threat scenario</w:t>
            </w:r>
          </w:p>
        </w:tc>
        <w:tc>
          <w:tcPr>
            <w:tcW w:type="dxa" w:w="3106"/>
            <w:shd w:fill="1F4E79"/>
            <w:vAlign w:val="center"/>
            <w:tcMar>
              <w:top w:w="90" w:type="dxa"/>
              <w:start w:w="100" w:type="dxa"/>
              <w:bottom w:w="90" w:type="dxa"/>
              <w:end w:w="100" w:type="dxa"/>
            </w:tcMar>
          </w:tcPr>
          <w:p>
            <w:r>
              <w:rPr>
                <w:b/>
                <w:color w:val="FFFFFF"/>
                <w:sz w:val="16"/>
              </w:rPr>
              <w:t>Primary control in lab</w:t>
            </w:r>
          </w:p>
        </w:tc>
        <w:tc>
          <w:tcPr>
            <w:tcW w:type="dxa" w:w="3106"/>
            <w:shd w:fill="1F4E79"/>
            <w:vAlign w:val="center"/>
            <w:tcMar>
              <w:top w:w="90" w:type="dxa"/>
              <w:start w:w="100" w:type="dxa"/>
              <w:bottom w:w="90" w:type="dxa"/>
              <w:end w:w="100" w:type="dxa"/>
            </w:tcMar>
          </w:tcPr>
          <w:p>
            <w:r>
              <w:rPr>
                <w:b/>
                <w:color w:val="FFFFFF"/>
                <w:sz w:val="16"/>
              </w:rPr>
              <w:t>Residual risk</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6"/>
              </w:rPr>
              <w:t>Another account reads a user’s notes</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6"/>
              </w:rPr>
              <w:t>JWT subject checked by notes API query</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6"/>
              </w:rPr>
              <w:t>Needs automated cross-user authorization tests</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6"/>
              </w:rPr>
              <w:t>Database password leaked from Git</w:t>
            </w:r>
          </w:p>
        </w:tc>
        <w:tc>
          <w:tcPr>
            <w:tcW w:type="dxa" w:w="3106"/>
            <w:vAlign w:val="center"/>
            <w:tcMar>
              <w:top w:w="90" w:type="dxa"/>
              <w:start w:w="100" w:type="dxa"/>
              <w:bottom w:w="90" w:type="dxa"/>
              <w:end w:w="100" w:type="dxa"/>
            </w:tcMar>
          </w:tcPr>
          <w:p>
            <w:pPr>
              <w:spacing w:after="20"/>
              <w:jc w:val="left"/>
            </w:pPr>
            <w:r>
              <w:rPr>
                <w:rFonts w:ascii="Times New Roman" w:hAnsi="Times New Roman"/>
                <w:sz w:val="16"/>
              </w:rPr>
              <w:t>Runtime Kubernetes Secret references; secret files excluded</w:t>
            </w:r>
          </w:p>
        </w:tc>
        <w:tc>
          <w:tcPr>
            <w:tcW w:type="dxa" w:w="3106"/>
            <w:vAlign w:val="center"/>
            <w:tcMar>
              <w:top w:w="90" w:type="dxa"/>
              <w:start w:w="100" w:type="dxa"/>
              <w:bottom w:w="90" w:type="dxa"/>
              <w:end w:w="100" w:type="dxa"/>
            </w:tcMar>
          </w:tcPr>
          <w:p>
            <w:pPr>
              <w:spacing w:after="20"/>
              <w:jc w:val="left"/>
            </w:pPr>
            <w:r>
              <w:rPr>
                <w:rFonts w:ascii="Times New Roman" w:hAnsi="Times New Roman"/>
                <w:sz w:val="16"/>
              </w:rPr>
              <w:t>Secret object access and disk encryption still matter</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6"/>
              </w:rPr>
              <w:t>CI token exposed in job log</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6"/>
              </w:rPr>
              <w:t>Masked GitLab variable</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6"/>
              </w:rPr>
              <w:t>Masking does not prevent malicious pipeline code</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6"/>
              </w:rPr>
              <w:t>Argo token expires</w:t>
            </w:r>
          </w:p>
        </w:tc>
        <w:tc>
          <w:tcPr>
            <w:tcW w:type="dxa" w:w="3106"/>
            <w:vAlign w:val="center"/>
            <w:tcMar>
              <w:top w:w="90" w:type="dxa"/>
              <w:start w:w="100" w:type="dxa"/>
              <w:bottom w:w="90" w:type="dxa"/>
              <w:end w:w="100" w:type="dxa"/>
            </w:tcMar>
          </w:tcPr>
          <w:p>
            <w:pPr>
              <w:spacing w:after="20"/>
              <w:jc w:val="left"/>
            </w:pPr>
            <w:r>
              <w:rPr>
                <w:rFonts w:ascii="Times New Roman" w:hAnsi="Times New Roman"/>
                <w:sz w:val="16"/>
              </w:rPr>
              <w:t>Repository credential is scoped for read access</w:t>
            </w:r>
          </w:p>
        </w:tc>
        <w:tc>
          <w:tcPr>
            <w:tcW w:type="dxa" w:w="3106"/>
            <w:vAlign w:val="center"/>
            <w:tcMar>
              <w:top w:w="90" w:type="dxa"/>
              <w:start w:w="100" w:type="dxa"/>
              <w:bottom w:w="90" w:type="dxa"/>
              <w:end w:w="100" w:type="dxa"/>
            </w:tcMar>
          </w:tcPr>
          <w:p>
            <w:pPr>
              <w:spacing w:after="20"/>
              <w:jc w:val="left"/>
            </w:pPr>
            <w:r>
              <w:rPr>
                <w:rFonts w:ascii="Times New Roman" w:hAnsi="Times New Roman"/>
                <w:sz w:val="16"/>
              </w:rPr>
              <w:t>Manual expiry monitoring/rotation required</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6"/>
              </w:rPr>
              <w:t>Image contains known vulnerable package</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6"/>
              </w:rPr>
              <w:t>Dependency/container scan jobs</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6"/>
              </w:rPr>
              <w:t>Current Trivy exit policy is informational</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6"/>
              </w:rPr>
              <w:t>LAN traffic observed</w:t>
            </w:r>
          </w:p>
        </w:tc>
        <w:tc>
          <w:tcPr>
            <w:tcW w:type="dxa" w:w="3106"/>
            <w:vAlign w:val="center"/>
            <w:tcMar>
              <w:top w:w="90" w:type="dxa"/>
              <w:start w:w="100" w:type="dxa"/>
              <w:bottom w:w="90" w:type="dxa"/>
              <w:end w:w="100" w:type="dxa"/>
            </w:tcMar>
          </w:tcPr>
          <w:p>
            <w:pPr>
              <w:spacing w:after="20"/>
              <w:jc w:val="left"/>
            </w:pPr>
            <w:r>
              <w:rPr>
                <w:rFonts w:ascii="Times New Roman" w:hAnsi="Times New Roman"/>
                <w:sz w:val="16"/>
              </w:rPr>
              <w:t>Private subnet only</w:t>
            </w:r>
          </w:p>
        </w:tc>
        <w:tc>
          <w:tcPr>
            <w:tcW w:type="dxa" w:w="3106"/>
            <w:vAlign w:val="center"/>
            <w:tcMar>
              <w:top w:w="90" w:type="dxa"/>
              <w:start w:w="100" w:type="dxa"/>
              <w:bottom w:w="90" w:type="dxa"/>
              <w:end w:w="100" w:type="dxa"/>
            </w:tcMar>
          </w:tcPr>
          <w:p>
            <w:pPr>
              <w:spacing w:after="20"/>
              <w:jc w:val="left"/>
            </w:pPr>
            <w:r>
              <w:rPr>
                <w:rFonts w:ascii="Times New Roman" w:hAnsi="Times New Roman"/>
                <w:sz w:val="16"/>
              </w:rPr>
              <w:t>HTTP traffic remains unencrypted</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6"/>
              </w:rPr>
              <w:t>Worker disk lost</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6"/>
              </w:rPr>
              <w:t>PVC-backed PostgreSQL files</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6"/>
              </w:rPr>
              <w:t>Local path is single-node; no backup evidence</w:t>
            </w:r>
          </w:p>
        </w:tc>
      </w:tr>
    </w:tbl>
    <w:p>
      <w:pPr>
        <w:spacing w:after="20"/>
      </w:pPr>
    </w:p>
    <w:p>
      <w:pPr>
        <w:pStyle w:val="Heading2"/>
      </w:pPr>
      <w:r>
        <w:t>4.15 Test strategy and evidence strength</w:t>
      </w:r>
    </w:p>
    <w:p>
      <w:r>
        <w:t>Testing was performed at more than one level, but the evidence strength varies. The pipeline included service test jobs and security scans. The user supplied logs showing successful image publication and manifest push. On the cluster, Kubernetes object state provided deployment and storage evidence. The final manual browser test provided end-to-end proof for registration and login. These are complementary checks, not interchangeable claims.</w:t>
      </w:r>
    </w:p>
    <w:p>
      <w:r>
        <w:t>Unit or service-level tests can isolate validation and database logic. Integration tests can verify a service with a real PostgreSQL instance and its migrations. A gateway test can verify path rewriting and header forwarding. A cluster smoke test can wait for readiness and request a health endpoint through the NodePort. A full user journey can register a test account, authenticate, create a note, verify it is visible to that account, and verify it is not visible to a second account.</w:t>
      </w:r>
    </w:p>
    <w:p>
      <w:r>
        <w:t>The report does not invent a complete CRUD test run. While the endpoints were implemented and the pipeline had test jobs, the available final transcript explicitly confirms sign-up and login rather than every note operation or adversarial case. Future evidence should record a reproducible test report and pipeline job artifact, and should include negative authorization tests. If a screenshot is used, it should avoid real user email, passwords, JWTs, or note contents.</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6"/>
              </w:rPr>
              <w:t>Test level</w:t>
            </w:r>
          </w:p>
        </w:tc>
        <w:tc>
          <w:tcPr>
            <w:tcW w:type="dxa" w:w="2329"/>
            <w:shd w:fill="1F4E79"/>
            <w:vAlign w:val="center"/>
            <w:tcMar>
              <w:top w:w="90" w:type="dxa"/>
              <w:start w:w="100" w:type="dxa"/>
              <w:bottom w:w="90" w:type="dxa"/>
              <w:end w:w="100" w:type="dxa"/>
            </w:tcMar>
          </w:tcPr>
          <w:p>
            <w:r>
              <w:rPr>
                <w:b/>
                <w:color w:val="FFFFFF"/>
                <w:sz w:val="16"/>
              </w:rPr>
              <w:t>Example check</w:t>
            </w:r>
          </w:p>
        </w:tc>
        <w:tc>
          <w:tcPr>
            <w:tcW w:type="dxa" w:w="2329"/>
            <w:shd w:fill="1F4E79"/>
            <w:vAlign w:val="center"/>
            <w:tcMar>
              <w:top w:w="90" w:type="dxa"/>
              <w:start w:w="100" w:type="dxa"/>
              <w:bottom w:w="90" w:type="dxa"/>
              <w:end w:w="100" w:type="dxa"/>
            </w:tcMar>
          </w:tcPr>
          <w:p>
            <w:r>
              <w:rPr>
                <w:b/>
                <w:color w:val="FFFFFF"/>
                <w:sz w:val="16"/>
              </w:rPr>
              <w:t>What it isolates</w:t>
            </w:r>
          </w:p>
        </w:tc>
        <w:tc>
          <w:tcPr>
            <w:tcW w:type="dxa" w:w="2329"/>
            <w:shd w:fill="1F4E79"/>
            <w:vAlign w:val="center"/>
            <w:tcMar>
              <w:top w:w="90" w:type="dxa"/>
              <w:start w:w="100" w:type="dxa"/>
              <w:bottom w:w="90" w:type="dxa"/>
              <w:end w:w="100" w:type="dxa"/>
            </w:tcMar>
          </w:tcPr>
          <w:p>
            <w:r>
              <w:rPr>
                <w:b/>
                <w:color w:val="FFFFFF"/>
                <w:sz w:val="16"/>
              </w:rPr>
              <w:t>Current evidence</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Unit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Token parsing, validation, note ownership helper</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Small logic units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CI has test stage; exact full report not preserved here</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Service integration</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FastAPI + its PostgreSQL database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Configuration and persistence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Services ran; DB pods Ready</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Pipeline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Build, scans, registry push</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Build and artifact publication</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Successful jobs reported</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GitOps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Application source compare and sync</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Private Git access and manifest rendering</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Sync operation succeeded</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Cluster smoke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GET service health through Kubernetes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Service DNS, pod readiness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Probe and logs available</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End-to-end</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Register then log in from browser</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Ingress through auth database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User confirmed successful flow</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Authorization negative test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Account A cannot read Account B note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Security boundary</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Recommended; no result asserted</w:t>
            </w:r>
          </w:p>
        </w:tc>
      </w:tr>
    </w:tbl>
    <w:p>
      <w:pPr>
        <w:spacing w:after="20"/>
      </w:pPr>
    </w:p>
    <w:p>
      <w:pPr>
        <w:pStyle w:val="Heading2"/>
      </w:pPr>
      <w:r>
        <w:t>4.16 Reproducibility and demonstration procedure</w:t>
      </w:r>
    </w:p>
    <w:p>
      <w:r>
        <w:t>A short demonstration should follow the dependency direction of the architecture. Begin by confirming both VMs are powered on and the cluster nodes are Ready. Confirm Traefik is running and the NodePort Service retains the expected ports. Check the application’s Deployments and StatefulSets, then verify each pod is Ready and the database claims remain Bound. Inspect Argo CD last so the screenshot shows GitOps state alongside runtime state.</w:t>
      </w:r>
    </w:p>
    <w:p>
      <w:r>
        <w:t>The browser demonstration should use the control-plane or worker VM private address that the workstation can reach, with port 30080. If the address changed after a reboot, obtain the current address from `kubectl get nodes -o wide` or the VM network settings. When clients on the same Wi-Fi cannot connect, check whether the guest uses NAT or bridged networking, then check host and guest firewalls. Do not repeatedly change the Kubernetes ingress before confirming the LAN route.</w:t>
      </w:r>
    </w:p>
    <w:p>
      <w:r>
        <w:t>For a code change demonstration, make a small visible update, push to the GitLab branch, inspect the pipeline, and verify that the manifest-update commit contains the new SHA tag. Argo CD should then report a new revision and apply it. Wait until all pods are ready before declaring success. A rollback can be performed by reverting the image-tag commit in Git, allowing Argo CD to reconcile the previous desired state. Manual edits to Deployments may be reverted by self-healing and should not be used as a durable release mechanism.</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3106"/>
            <w:shd w:fill="1F4E79"/>
            <w:vAlign w:val="center"/>
            <w:tcMar>
              <w:top w:w="90" w:type="dxa"/>
              <w:start w:w="100" w:type="dxa"/>
              <w:bottom w:w="90" w:type="dxa"/>
              <w:end w:w="100" w:type="dxa"/>
            </w:tcMar>
          </w:tcPr>
          <w:p>
            <w:r>
              <w:rPr>
                <w:b/>
                <w:color w:val="FFFFFF"/>
                <w:sz w:val="17"/>
              </w:rPr>
              <w:t>Order</w:t>
            </w:r>
          </w:p>
        </w:tc>
        <w:tc>
          <w:tcPr>
            <w:tcW w:type="dxa" w:w="3106"/>
            <w:shd w:fill="1F4E79"/>
            <w:vAlign w:val="center"/>
            <w:tcMar>
              <w:top w:w="90" w:type="dxa"/>
              <w:start w:w="100" w:type="dxa"/>
              <w:bottom w:w="90" w:type="dxa"/>
              <w:end w:w="100" w:type="dxa"/>
            </w:tcMar>
          </w:tcPr>
          <w:p>
            <w:r>
              <w:rPr>
                <w:b/>
                <w:color w:val="FFFFFF"/>
                <w:sz w:val="17"/>
              </w:rPr>
              <w:t>Command or action</w:t>
            </w:r>
          </w:p>
        </w:tc>
        <w:tc>
          <w:tcPr>
            <w:tcW w:type="dxa" w:w="3106"/>
            <w:shd w:fill="1F4E79"/>
            <w:vAlign w:val="center"/>
            <w:tcMar>
              <w:top w:w="90" w:type="dxa"/>
              <w:start w:w="100" w:type="dxa"/>
              <w:bottom w:w="90" w:type="dxa"/>
              <w:end w:w="100" w:type="dxa"/>
            </w:tcMar>
          </w:tcPr>
          <w:p>
            <w:r>
              <w:rPr>
                <w:b/>
                <w:color w:val="FFFFFF"/>
                <w:sz w:val="17"/>
              </w:rPr>
              <w:t>Expected observation</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7"/>
              </w:rPr>
              <w:t>1</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7"/>
              </w:rPr>
              <w:t>`kubectl get nodes -o wide`</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7"/>
              </w:rPr>
              <w:t>Two nodes Ready and private addresses visible</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7"/>
              </w:rPr>
              <w:t>2</w:t>
            </w:r>
          </w:p>
        </w:tc>
        <w:tc>
          <w:tcPr>
            <w:tcW w:type="dxa" w:w="3106"/>
            <w:vAlign w:val="center"/>
            <w:tcMar>
              <w:top w:w="90" w:type="dxa"/>
              <w:start w:w="100" w:type="dxa"/>
              <w:bottom w:w="90" w:type="dxa"/>
              <w:end w:w="100" w:type="dxa"/>
            </w:tcMar>
          </w:tcPr>
          <w:p>
            <w:pPr>
              <w:spacing w:after="20"/>
              <w:jc w:val="left"/>
            </w:pPr>
            <w:r>
              <w:rPr>
                <w:rFonts w:ascii="Times New Roman" w:hAnsi="Times New Roman"/>
                <w:sz w:val="17"/>
              </w:rPr>
              <w:t>`kubectl get pods -n traefik`</w:t>
            </w:r>
          </w:p>
        </w:tc>
        <w:tc>
          <w:tcPr>
            <w:tcW w:type="dxa" w:w="3106"/>
            <w:vAlign w:val="center"/>
            <w:tcMar>
              <w:top w:w="90" w:type="dxa"/>
              <w:start w:w="100" w:type="dxa"/>
              <w:bottom w:w="90" w:type="dxa"/>
              <w:end w:w="100" w:type="dxa"/>
            </w:tcMar>
          </w:tcPr>
          <w:p>
            <w:pPr>
              <w:spacing w:after="20"/>
              <w:jc w:val="left"/>
            </w:pPr>
            <w:r>
              <w:rPr>
                <w:rFonts w:ascii="Times New Roman" w:hAnsi="Times New Roman"/>
                <w:sz w:val="17"/>
              </w:rPr>
              <w:t>Traefik pod Ready</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7"/>
              </w:rPr>
              <w:t>3</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7"/>
              </w:rPr>
              <w:t>`kubectl get svc traefik -n traefik`</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7"/>
              </w:rPr>
              <w:t>NodePort 30080 and configured secure port</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7"/>
              </w:rPr>
              <w:t>4</w:t>
            </w:r>
          </w:p>
        </w:tc>
        <w:tc>
          <w:tcPr>
            <w:tcW w:type="dxa" w:w="3106"/>
            <w:vAlign w:val="center"/>
            <w:tcMar>
              <w:top w:w="90" w:type="dxa"/>
              <w:start w:w="100" w:type="dxa"/>
              <w:bottom w:w="90" w:type="dxa"/>
              <w:end w:w="100" w:type="dxa"/>
            </w:tcMar>
          </w:tcPr>
          <w:p>
            <w:pPr>
              <w:spacing w:after="20"/>
              <w:jc w:val="left"/>
            </w:pPr>
            <w:r>
              <w:rPr>
                <w:rFonts w:ascii="Times New Roman" w:hAnsi="Times New Roman"/>
                <w:sz w:val="17"/>
              </w:rPr>
              <w:t>`kubectl get pods,pvc -n secure-notes`</w:t>
            </w:r>
          </w:p>
        </w:tc>
        <w:tc>
          <w:tcPr>
            <w:tcW w:type="dxa" w:w="3106"/>
            <w:vAlign w:val="center"/>
            <w:tcMar>
              <w:top w:w="90" w:type="dxa"/>
              <w:start w:w="100" w:type="dxa"/>
              <w:bottom w:w="90" w:type="dxa"/>
              <w:end w:w="100" w:type="dxa"/>
            </w:tcMar>
          </w:tcPr>
          <w:p>
            <w:pPr>
              <w:spacing w:after="20"/>
              <w:jc w:val="left"/>
            </w:pPr>
            <w:r>
              <w:rPr>
                <w:rFonts w:ascii="Times New Roman" w:hAnsi="Times New Roman"/>
                <w:sz w:val="17"/>
              </w:rPr>
              <w:t>App pods Ready; claims Bound</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7"/>
              </w:rPr>
              <w:t>5</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7"/>
              </w:rPr>
              <w:t>`kubectl get applications -n argocd`</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7"/>
              </w:rPr>
              <w:t>secure-notes Synced; health may take longer</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7"/>
              </w:rPr>
              <w:t>6</w:t>
            </w:r>
          </w:p>
        </w:tc>
        <w:tc>
          <w:tcPr>
            <w:tcW w:type="dxa" w:w="3106"/>
            <w:vAlign w:val="center"/>
            <w:tcMar>
              <w:top w:w="90" w:type="dxa"/>
              <w:start w:w="100" w:type="dxa"/>
              <w:bottom w:w="90" w:type="dxa"/>
              <w:end w:w="100" w:type="dxa"/>
            </w:tcMar>
          </w:tcPr>
          <w:p>
            <w:pPr>
              <w:spacing w:after="20"/>
              <w:jc w:val="left"/>
            </w:pPr>
            <w:r>
              <w:rPr>
                <w:rFonts w:ascii="Times New Roman" w:hAnsi="Times New Roman"/>
                <w:sz w:val="17"/>
              </w:rPr>
              <w:t>Open `http://&lt;reachable-VM-IP&gt;:30080`</w:t>
            </w:r>
          </w:p>
        </w:tc>
        <w:tc>
          <w:tcPr>
            <w:tcW w:type="dxa" w:w="3106"/>
            <w:vAlign w:val="center"/>
            <w:tcMar>
              <w:top w:w="90" w:type="dxa"/>
              <w:start w:w="100" w:type="dxa"/>
              <w:bottom w:w="90" w:type="dxa"/>
              <w:end w:w="100" w:type="dxa"/>
            </w:tcMar>
          </w:tcPr>
          <w:p>
            <w:pPr>
              <w:spacing w:after="20"/>
              <w:jc w:val="left"/>
            </w:pPr>
            <w:r>
              <w:rPr>
                <w:rFonts w:ascii="Times New Roman" w:hAnsi="Times New Roman"/>
                <w:sz w:val="17"/>
              </w:rPr>
              <w:t>Application page loads</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7"/>
              </w:rPr>
              <w:t>7</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7"/>
              </w:rPr>
              <w:t>Use a dedicated test account</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7"/>
              </w:rPr>
              <w:t>Registration/login flow completes</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7"/>
              </w:rPr>
              <w:t>8</w:t>
            </w:r>
          </w:p>
        </w:tc>
        <w:tc>
          <w:tcPr>
            <w:tcW w:type="dxa" w:w="3106"/>
            <w:vAlign w:val="center"/>
            <w:tcMar>
              <w:top w:w="90" w:type="dxa"/>
              <w:start w:w="100" w:type="dxa"/>
              <w:bottom w:w="90" w:type="dxa"/>
              <w:end w:w="100" w:type="dxa"/>
            </w:tcMar>
          </w:tcPr>
          <w:p>
            <w:pPr>
              <w:spacing w:after="20"/>
              <w:jc w:val="left"/>
            </w:pPr>
            <w:r>
              <w:rPr>
                <w:rFonts w:ascii="Times New Roman" w:hAnsi="Times New Roman"/>
                <w:sz w:val="17"/>
              </w:rPr>
              <w:t>Review pipeline and image SHA commit</w:t>
            </w:r>
          </w:p>
        </w:tc>
        <w:tc>
          <w:tcPr>
            <w:tcW w:type="dxa" w:w="3106"/>
            <w:vAlign w:val="center"/>
            <w:tcMar>
              <w:top w:w="90" w:type="dxa"/>
              <w:start w:w="100" w:type="dxa"/>
              <w:bottom w:w="90" w:type="dxa"/>
              <w:end w:w="100" w:type="dxa"/>
            </w:tcMar>
          </w:tcPr>
          <w:p>
            <w:pPr>
              <w:spacing w:after="20"/>
              <w:jc w:val="left"/>
            </w:pPr>
            <w:r>
              <w:rPr>
                <w:rFonts w:ascii="Times New Roman" w:hAnsi="Times New Roman"/>
                <w:sz w:val="17"/>
              </w:rPr>
              <w:t>Delivery chain visible from source to desired state</w:t>
            </w:r>
          </w:p>
        </w:tc>
      </w:tr>
    </w:tbl>
    <w:p>
      <w:pPr>
        <w:spacing w:after="20"/>
      </w:pPr>
    </w:p>
    <w:p>
      <w:pPr>
        <w:pStyle w:val="Heading2"/>
      </w:pPr>
      <w:r>
        <w:t>4.17 Architecture decisions and alternatives considered</w:t>
      </w:r>
    </w:p>
    <w:p>
      <w:r>
        <w:t>The project chose a split auth and notes service rather than keeping one monolithic API. The split made service networking, per-service databases, and token verification visible, but introduced duplicated configuration and more failure points. A small personal application could reasonably remain a single service in production. The educational value here was to practise the operational costs of service boundaries as well as their benefits.</w:t>
      </w:r>
    </w:p>
    <w:p>
      <w:r>
        <w:t>Docker Hub was chosen for images after GitLab registry authentication and token scopes became friction. GitLab remained the source and CI platform. This separation is common but introduces two credential domains and requires naming consistency for image repositories. A future design could use one registry with carefully scoped credentials if its access and pipeline integration are reliable.</w:t>
      </w:r>
    </w:p>
    <w:p>
      <w:r>
        <w:t>GitLab.com replaced the self-hosted GitLab VM because it reduced local resource load and removed the need to administer a large GitLab service. The trade-off is a reliance on an external hosted service, network access, account policy, and shared-runner availability. For the learning objective, the runner did not need direct access to the private cluster; this avoided exposing the control plane to CI.</w:t>
      </w:r>
    </w:p>
    <w:p>
      <w:r>
        <w:t>A LoadBalancer service type was initially attempted for Traefik. The lab had no load-balancer implementation, so the external IP stayed pending. NodePort was selected because it exposes a stable port on each node without requiring a cloud controller. The trade-off is a high-numbered port and dependence on node-level routing/firewall configuration. MetalLB could provide an address from a local pool in a future LAN-specific setup, but that was not installed.</w:t>
      </w:r>
    </w:p>
    <w:p>
      <w:r>
        <w:t>local-path storage was chosen as a minimal provisioner that can satisfy PVCs in a local cluster. It is simpler than configuring network storage but has node affinity and data-loss limits. A real multi-node service would require a storage solution designed for replication and backup. This choice was an explicit lab compromise, not an endorsement for production databases.</w:t>
      </w:r>
    </w:p>
    <w:p>
      <w:pPr>
        <w:pStyle w:val="Heading2"/>
      </w:pPr>
      <w:r>
        <w:t>4.18 Operational responsibilities after the build</w:t>
      </w:r>
    </w:p>
    <w:p>
      <w:r>
        <w:t>A pipeline does not remove the need for routine operations. The operator still needs to confirm runner availability, watch token expiry, review scan findings, verify registry retention, and make sure the desired state references a tag that exists. On the cluster side, the operator checks node health, available disk space, local-path volume directories, container runtime status, and Argo CD repository connectivity.</w:t>
      </w:r>
    </w:p>
    <w:p>
      <w:r>
        <w:t>The host itself is part of the service path. If the laptop sleeps, the VMs may pause. If the host changes Wi-Fi networks, private IP addresses may change. If VMware NAT rules differ, NodePort reachability can disappear even while pods remain Ready. This means a screenshot of a green cluster is time-sensitive and should include a date or commit/revision for context.</w:t>
      </w:r>
    </w:p>
    <w:p>
      <w:r>
        <w:t>A practical maintenance note should record how to start both VMs, how to verify kubeadm node readiness, how to check the current Traefik NodePort, and where the latest application revision is visible. It should also state who can rotate the GitLab repository token and Docker Hub token. These operational notes reduce the chance that a future failure is misdiagnosed as a code regression.</w:t>
      </w:r>
    </w:p>
    <w:p>
      <w:pPr>
        <w:pStyle w:val="Heading2"/>
      </w:pPr>
      <w:r>
        <w:t>4.19 Architecture figures</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3106"/>
            <w:shd w:fill="1F4E79"/>
            <w:vAlign w:val="center"/>
            <w:tcMar>
              <w:top w:w="90" w:type="dxa"/>
              <w:start w:w="100" w:type="dxa"/>
              <w:bottom w:w="90" w:type="dxa"/>
              <w:end w:w="100" w:type="dxa"/>
            </w:tcMar>
          </w:tcPr>
          <w:p>
            <w:r>
              <w:rPr>
                <w:b/>
                <w:color w:val="FFFFFF"/>
                <w:sz w:val="18"/>
              </w:rPr>
              <w:t>User plane</w:t>
            </w:r>
          </w:p>
        </w:tc>
        <w:tc>
          <w:tcPr>
            <w:tcW w:type="dxa" w:w="3106"/>
            <w:shd w:fill="1F4E79"/>
            <w:vAlign w:val="center"/>
            <w:tcMar>
              <w:top w:w="90" w:type="dxa"/>
              <w:start w:w="100" w:type="dxa"/>
              <w:bottom w:w="90" w:type="dxa"/>
              <w:end w:w="100" w:type="dxa"/>
            </w:tcMar>
          </w:tcPr>
          <w:p>
            <w:r>
              <w:rPr>
                <w:b/>
                <w:color w:val="FFFFFF"/>
                <w:sz w:val="18"/>
              </w:rPr>
              <w:t>Control plane</w:t>
            </w:r>
          </w:p>
        </w:tc>
        <w:tc>
          <w:tcPr>
            <w:tcW w:type="dxa" w:w="3106"/>
            <w:shd w:fill="1F4E79"/>
            <w:vAlign w:val="center"/>
            <w:tcMar>
              <w:top w:w="90" w:type="dxa"/>
              <w:start w:w="100" w:type="dxa"/>
              <w:bottom w:w="90" w:type="dxa"/>
              <w:end w:w="100" w:type="dxa"/>
            </w:tcMar>
          </w:tcPr>
          <w:p>
            <w:r>
              <w:rPr>
                <w:b/>
                <w:color w:val="FFFFFF"/>
                <w:sz w:val="18"/>
              </w:rPr>
              <w:t>Data plane</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Browser</w:t>
              <w:br/>
              <w:t>HTML / JavaScript</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GitLab CI</w:t>
              <w:br/>
              <w:t>Build + test + scan</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Kubernetes VM cluster</w:t>
              <w:br/>
              <w:t>Deployments + Services</w:t>
            </w:r>
          </w:p>
        </w:tc>
      </w:tr>
      <w:tr>
        <w:tc>
          <w:tcPr>
            <w:tcW w:type="dxa" w:w="3106"/>
            <w:vAlign w:val="center"/>
            <w:tcMar>
              <w:top w:w="90" w:type="dxa"/>
              <w:start w:w="100" w:type="dxa"/>
              <w:bottom w:w="90" w:type="dxa"/>
              <w:end w:w="100" w:type="dxa"/>
            </w:tcMar>
          </w:tcPr>
          <w:p>
            <w:pPr>
              <w:spacing w:after="20"/>
              <w:jc w:val="left"/>
            </w:pPr>
            <w:r>
              <w:rPr>
                <w:rFonts w:ascii="Times New Roman" w:hAnsi="Times New Roman"/>
                <w:sz w:val="18"/>
              </w:rPr>
              <w:t>Traefik NodePort</w:t>
              <w:br/>
              <w:t>30080 / 30443</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Docker Hub</w:t>
              <w:br/>
              <w:t>Versioned images</w:t>
            </w:r>
          </w:p>
        </w:tc>
        <w:tc>
          <w:tcPr>
            <w:tcW w:type="dxa" w:w="3106"/>
            <w:vAlign w:val="center"/>
            <w:tcMar>
              <w:top w:w="90" w:type="dxa"/>
              <w:start w:w="100" w:type="dxa"/>
              <w:bottom w:w="90" w:type="dxa"/>
              <w:end w:w="100" w:type="dxa"/>
            </w:tcMar>
          </w:tcPr>
          <w:p>
            <w:pPr>
              <w:spacing w:after="20"/>
              <w:jc w:val="left"/>
            </w:pPr>
            <w:r>
              <w:rPr>
                <w:rFonts w:ascii="Times New Roman" w:hAnsi="Times New Roman"/>
                <w:sz w:val="18"/>
              </w:rPr>
              <w:t>PostgreSQL StatefulSets</w:t>
              <w:br/>
              <w:t>PVC-backed local-path</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Gateway</w:t>
              <w:br/>
              <w:t>Nginx routing</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GitLab repository</w:t>
              <w:br/>
              <w:t>Helm desired state</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Argo CD</w:t>
              <w:br/>
              <w:t>Pull and reconcile</w:t>
            </w:r>
          </w:p>
        </w:tc>
      </w:tr>
    </w:tbl>
    <w:p>
      <w:pPr>
        <w:spacing w:after="20"/>
      </w:pPr>
    </w:p>
    <w:p>
      <w:pPr>
        <w:pStyle w:val="CaptionSmall"/>
      </w:pPr>
      <w:r>
        <w:t>Figure 2. Three cooperating planes: user traffic, delivery control, and workload/data execution.</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8"/>
              </w:rPr>
              <w:t>Source commit</w:t>
            </w:r>
          </w:p>
        </w:tc>
        <w:tc>
          <w:tcPr>
            <w:tcW w:type="dxa" w:w="2329"/>
            <w:shd w:fill="1F4E79"/>
            <w:vAlign w:val="center"/>
            <w:tcMar>
              <w:top w:w="90" w:type="dxa"/>
              <w:start w:w="100" w:type="dxa"/>
              <w:bottom w:w="90" w:type="dxa"/>
              <w:end w:w="100" w:type="dxa"/>
            </w:tcMar>
          </w:tcPr>
          <w:p>
            <w:r>
              <w:rPr>
                <w:b/>
                <w:color w:val="FFFFFF"/>
                <w:sz w:val="18"/>
              </w:rPr>
              <w:t>GitLab runner</w:t>
            </w:r>
          </w:p>
        </w:tc>
        <w:tc>
          <w:tcPr>
            <w:tcW w:type="dxa" w:w="2329"/>
            <w:shd w:fill="1F4E79"/>
            <w:vAlign w:val="center"/>
            <w:tcMar>
              <w:top w:w="90" w:type="dxa"/>
              <w:start w:w="100" w:type="dxa"/>
              <w:bottom w:w="90" w:type="dxa"/>
              <w:end w:w="100" w:type="dxa"/>
            </w:tcMar>
          </w:tcPr>
          <w:p>
            <w:r>
              <w:rPr>
                <w:b/>
                <w:color w:val="FFFFFF"/>
                <w:sz w:val="18"/>
              </w:rPr>
              <w:t>Docker Hub</w:t>
            </w:r>
          </w:p>
        </w:tc>
        <w:tc>
          <w:tcPr>
            <w:tcW w:type="dxa" w:w="2329"/>
            <w:shd w:fill="1F4E79"/>
            <w:vAlign w:val="center"/>
            <w:tcMar>
              <w:top w:w="90" w:type="dxa"/>
              <w:start w:w="100" w:type="dxa"/>
              <w:bottom w:w="90" w:type="dxa"/>
              <w:end w:w="100" w:type="dxa"/>
            </w:tcMar>
          </w:tcPr>
          <w:p>
            <w:r>
              <w:rPr>
                <w:b/>
                <w:color w:val="FFFFFF"/>
                <w:sz w:val="18"/>
              </w:rPr>
              <w:t>GitLab manifest commit</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Push to main</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Tests and security checks</w:t>
              <w:br/>
              <w:t>Build four service images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Push commit-SHA tags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Update Helm values</w:t>
              <w:br/>
              <w:t>Push with CI job token</w:t>
            </w:r>
          </w:p>
        </w:tc>
      </w:tr>
    </w:tbl>
    <w:p>
      <w:pPr>
        <w:spacing w:after="20"/>
      </w:pPr>
    </w:p>
    <w:p>
      <w:pPr>
        <w:pStyle w:val="CaptionSmall"/>
      </w:pPr>
      <w:r>
        <w:t>Figure 3. CI path from source change to updated deployment tag.</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8"/>
              </w:rPr>
              <w:t>GitLab desired state</w:t>
            </w:r>
          </w:p>
        </w:tc>
        <w:tc>
          <w:tcPr>
            <w:tcW w:type="dxa" w:w="2329"/>
            <w:shd w:fill="1F4E79"/>
            <w:vAlign w:val="center"/>
            <w:tcMar>
              <w:top w:w="90" w:type="dxa"/>
              <w:start w:w="100" w:type="dxa"/>
              <w:bottom w:w="90" w:type="dxa"/>
              <w:end w:w="100" w:type="dxa"/>
            </w:tcMar>
          </w:tcPr>
          <w:p>
            <w:r>
              <w:rPr>
                <w:b/>
                <w:color w:val="FFFFFF"/>
                <w:sz w:val="18"/>
              </w:rPr>
              <w:t>Argo CD repo-server</w:t>
            </w:r>
          </w:p>
        </w:tc>
        <w:tc>
          <w:tcPr>
            <w:tcW w:type="dxa" w:w="2329"/>
            <w:shd w:fill="1F4E79"/>
            <w:vAlign w:val="center"/>
            <w:tcMar>
              <w:top w:w="90" w:type="dxa"/>
              <w:start w:w="100" w:type="dxa"/>
              <w:bottom w:w="90" w:type="dxa"/>
              <w:end w:w="100" w:type="dxa"/>
            </w:tcMar>
          </w:tcPr>
          <w:p>
            <w:r>
              <w:rPr>
                <w:b/>
                <w:color w:val="FFFFFF"/>
                <w:sz w:val="18"/>
              </w:rPr>
              <w:t>Argo CD controller</w:t>
            </w:r>
          </w:p>
        </w:tc>
        <w:tc>
          <w:tcPr>
            <w:tcW w:type="dxa" w:w="2329"/>
            <w:shd w:fill="1F4E79"/>
            <w:vAlign w:val="center"/>
            <w:tcMar>
              <w:top w:w="90" w:type="dxa"/>
              <w:start w:w="100" w:type="dxa"/>
              <w:bottom w:w="90" w:type="dxa"/>
              <w:end w:w="100" w:type="dxa"/>
            </w:tcMar>
          </w:tcPr>
          <w:p>
            <w:r>
              <w:rPr>
                <w:b/>
                <w:color w:val="FFFFFF"/>
                <w:sz w:val="18"/>
              </w:rPr>
              <w:t>Kubernetes runtime</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Private repo + Helm</w:t>
              <w:br/>
              <w:t>branch main</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Authenticate</w:t>
              <w:br/>
              <w:t>Fetch + render chart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Compare + sync</w:t>
              <w:br/>
              <w:t>Prune/self-heal</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Pull images</w:t>
              <w:br/>
              <w:t>Roll out resources</w:t>
            </w:r>
          </w:p>
        </w:tc>
      </w:tr>
    </w:tbl>
    <w:p>
      <w:pPr>
        <w:spacing w:after="20"/>
      </w:pPr>
    </w:p>
    <w:p>
      <w:pPr>
        <w:pStyle w:val="CaptionSmall"/>
      </w:pPr>
      <w:r>
        <w:t>Figure 4. Pull-based GitOps reconciliation loop.</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3106"/>
            <w:shd w:fill="1F4E79"/>
            <w:vAlign w:val="center"/>
            <w:tcMar>
              <w:top w:w="90" w:type="dxa"/>
              <w:start w:w="100" w:type="dxa"/>
              <w:bottom w:w="90" w:type="dxa"/>
              <w:end w:w="100" w:type="dxa"/>
            </w:tcMar>
          </w:tcPr>
          <w:p>
            <w:r>
              <w:rPr>
                <w:b/>
                <w:color w:val="FFFFFF"/>
                <w:sz w:val="18"/>
              </w:rPr>
              <w:t>Control-plane VM</w:t>
              <w:br/>
              <w:t>192.168.182.140</w:t>
            </w:r>
          </w:p>
        </w:tc>
        <w:tc>
          <w:tcPr>
            <w:tcW w:type="dxa" w:w="3106"/>
            <w:shd w:fill="1F4E79"/>
            <w:vAlign w:val="center"/>
            <w:tcMar>
              <w:top w:w="90" w:type="dxa"/>
              <w:start w:w="100" w:type="dxa"/>
              <w:bottom w:w="90" w:type="dxa"/>
              <w:end w:w="100" w:type="dxa"/>
            </w:tcMar>
          </w:tcPr>
          <w:p>
            <w:r>
              <w:rPr>
                <w:b/>
                <w:color w:val="FFFFFF"/>
                <w:sz w:val="18"/>
              </w:rPr>
              <w:t>Worker VM</w:t>
              <w:br/>
              <w:t>192.168.182.141</w:t>
            </w:r>
          </w:p>
        </w:tc>
        <w:tc>
          <w:tcPr>
            <w:tcW w:type="dxa" w:w="3106"/>
            <w:shd w:fill="1F4E79"/>
            <w:vAlign w:val="center"/>
            <w:tcMar>
              <w:top w:w="90" w:type="dxa"/>
              <w:start w:w="100" w:type="dxa"/>
              <w:bottom w:w="90" w:type="dxa"/>
              <w:end w:w="100" w:type="dxa"/>
            </w:tcMar>
          </w:tcPr>
          <w:p>
            <w:r>
              <w:rPr>
                <w:b/>
                <w:color w:val="FFFFFF"/>
                <w:sz w:val="18"/>
              </w:rPr>
              <w:t>LAN client</w:t>
            </w:r>
          </w:p>
        </w:tc>
      </w:tr>
      <w:tr>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Kube API + scheduler</w:t>
              <w:br/>
              <w:t>Argo CD services</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Application pods</w:t>
              <w:br/>
              <w:t>Traefik + databases</w:t>
              <w:br/>
              <w:t>local-path volumes</w:t>
            </w:r>
          </w:p>
        </w:tc>
        <w:tc>
          <w:tcPr>
            <w:tcW w:type="dxa" w:w="3106"/>
            <w:vAlign w:val="center"/>
            <w:tcMar>
              <w:top w:w="90" w:type="dxa"/>
              <w:start w:w="100" w:type="dxa"/>
              <w:bottom w:w="90" w:type="dxa"/>
              <w:end w:w="100" w:type="dxa"/>
            </w:tcMar>
            <w:shd w:fill="F4F8FB"/>
          </w:tcPr>
          <w:p>
            <w:pPr>
              <w:spacing w:after="20"/>
              <w:jc w:val="left"/>
            </w:pPr>
            <w:r>
              <w:rPr>
                <w:rFonts w:ascii="Times New Roman" w:hAnsi="Times New Roman"/>
                <w:sz w:val="18"/>
              </w:rPr>
              <w:t>Browser request</w:t>
              <w:br/>
              <w:t>VM private IP:30080</w:t>
            </w:r>
          </w:p>
        </w:tc>
      </w:tr>
    </w:tbl>
    <w:p>
      <w:pPr>
        <w:spacing w:after="20"/>
      </w:pPr>
    </w:p>
    <w:p>
      <w:pPr>
        <w:pStyle w:val="CaptionSmall"/>
      </w:pPr>
      <w:r>
        <w:t>Figure 5. VMware lab topology. App workloads were observed on the worker; traffic is private to routable networks.</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8"/>
              </w:rPr>
              <w:t>Browser on Wi-Fi</w:t>
            </w:r>
          </w:p>
        </w:tc>
        <w:tc>
          <w:tcPr>
            <w:tcW w:type="dxa" w:w="2329"/>
            <w:shd w:fill="1F4E79"/>
            <w:vAlign w:val="center"/>
            <w:tcMar>
              <w:top w:w="90" w:type="dxa"/>
              <w:start w:w="100" w:type="dxa"/>
              <w:bottom w:w="90" w:type="dxa"/>
              <w:end w:w="100" w:type="dxa"/>
            </w:tcMar>
          </w:tcPr>
          <w:p>
            <w:r>
              <w:rPr>
                <w:b/>
                <w:color w:val="FFFFFF"/>
                <w:sz w:val="18"/>
              </w:rPr>
              <w:t>VMware guest adapter</w:t>
            </w:r>
          </w:p>
        </w:tc>
        <w:tc>
          <w:tcPr>
            <w:tcW w:type="dxa" w:w="2329"/>
            <w:shd w:fill="1F4E79"/>
            <w:vAlign w:val="center"/>
            <w:tcMar>
              <w:top w:w="90" w:type="dxa"/>
              <w:start w:w="100" w:type="dxa"/>
              <w:bottom w:w="90" w:type="dxa"/>
              <w:end w:w="100" w:type="dxa"/>
            </w:tcMar>
          </w:tcPr>
          <w:p>
            <w:r>
              <w:rPr>
                <w:b/>
                <w:color w:val="FFFFFF"/>
                <w:sz w:val="18"/>
              </w:rPr>
              <w:t>Traefik NodePort</w:t>
            </w:r>
          </w:p>
        </w:tc>
        <w:tc>
          <w:tcPr>
            <w:tcW w:type="dxa" w:w="2329"/>
            <w:shd w:fill="1F4E79"/>
            <w:vAlign w:val="center"/>
            <w:tcMar>
              <w:top w:w="90" w:type="dxa"/>
              <w:start w:w="100" w:type="dxa"/>
              <w:bottom w:w="90" w:type="dxa"/>
              <w:end w:w="100" w:type="dxa"/>
            </w:tcMar>
          </w:tcPr>
          <w:p>
            <w:r>
              <w:rPr>
                <w:b/>
                <w:color w:val="FFFFFF"/>
                <w:sz w:val="18"/>
              </w:rPr>
              <w:t>Ingress / gateway</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HTTP request to reachable private IP</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Bridged: often direct LAN</w:t>
              <w:br/>
              <w:t>NAT: may need forwarding</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TCP 30080</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8"/>
              </w:rPr>
              <w:t>Path routing to frontend and APIs</w:t>
            </w:r>
          </w:p>
        </w:tc>
      </w:tr>
    </w:tbl>
    <w:p>
      <w:pPr>
        <w:spacing w:after="20"/>
      </w:pPr>
    </w:p>
    <w:p>
      <w:pPr>
        <w:pStyle w:val="CaptionSmall"/>
      </w:pPr>
      <w:r>
        <w:t>Figure 6. LAN endpoint path and the role of VMware networking.</w:t>
      </w:r>
    </w:p>
    <w:p>
      <w:r>
        <w:br w:type="page"/>
      </w:r>
    </w:p>
    <w:p>
      <w:pPr>
        <w:pStyle w:val="Heading1"/>
      </w:pPr>
      <w:r>
        <w:t>General conclusion</w:t>
      </w:r>
    </w:p>
    <w:p>
      <w:r>
        <w:t>Secure Notes reached the project’s main learning objective: a user-facing application was connected to an automated image pipeline and a GitOps deployment running on a small VMware Kubernetes cluster.</w:t>
      </w:r>
    </w:p>
    <w:p>
      <w:r>
        <w:t>The finished path starts with a source change, proceeds through GitLab CI tests and security jobs, builds and publishes four service images to Docker Hub, updates Helm image tags in GitLab, and ends with Argo CD reconciling the private repository into Kubernetes. At runtime, Traefik exposes the frontend and API gateway through NodePort on private VM addresses. The user confirmed sign-up and login worked through those addresses.</w:t>
      </w:r>
    </w:p>
    <w:p>
      <w:r>
        <w:t>The result depended on resolving failures at different layers. Local browser requests used the wrong loopback address; Docker-in-Docker and token scopes blocked image publication; GitLab job-token permissions blocked manifest pushes; Argo CD could not read the private source until token access was corrected; stale repo-server pods caused intermittent comparison errors; absent storage provisioning left database claims Pending; early probes restarted services before they finished starting; and a chart-value mismatch left Traefik as a pending LoadBalancer until the service was explicitly changed to NodePort. Each issue became clearer after matching the message to its owning component and rechecking the whole path.</w:t>
      </w:r>
    </w:p>
    <w:p>
      <w:r>
        <w:t>The delivered environment is a learning lab, not a production system. It uses one worker, local node storage, HTTP, manually managed tokens, and a private LAN endpoint. It does not provide tested backup and restore, a public address, TLS automation, high availability, formal threat modelling, or Kafka. The Terraform/MiniStack work was exploratory and separate from the final VMware deployment.</w:t>
      </w:r>
    </w:p>
    <w:p>
      <w:pPr>
        <w:pStyle w:val="Heading2"/>
      </w:pPr>
      <w:r>
        <w:t>Future work</w:t>
      </w:r>
    </w:p>
    <w:p>
      <w:pPr>
        <w:pStyle w:val="ListBullet"/>
        <w:spacing w:after="60"/>
      </w:pPr>
      <w:r>
        <w:t>Add a tested backup and restore procedure for both PostgreSQL databases, including a copy outside the worker VM.</w:t>
      </w:r>
    </w:p>
    <w:p>
      <w:pPr>
        <w:pStyle w:val="ListBullet"/>
        <w:spacing w:after="60"/>
      </w:pPr>
      <w:r>
        <w:t>Replace node-local storage with a storage backend appropriate to a resilient multi-node cluster.</w:t>
      </w:r>
    </w:p>
    <w:p>
      <w:pPr>
        <w:pStyle w:val="ListBullet"/>
        <w:spacing w:after="60"/>
      </w:pPr>
      <w:r>
        <w:t>Configure bridged networking or a deliberate host port-forward rule, then verify reachability from a second Wi-Fi device and document firewall rules.</w:t>
      </w:r>
    </w:p>
    <w:p>
      <w:pPr>
        <w:pStyle w:val="ListBullet"/>
        <w:spacing w:after="60"/>
      </w:pPr>
      <w:r>
        <w:t>Add TLS with a trusted certificate or a documented local development certificate; verify HTTPS and secure cookie/token handling.</w:t>
      </w:r>
    </w:p>
    <w:p>
      <w:pPr>
        <w:pStyle w:val="ListBullet"/>
        <w:spacing w:after="60"/>
      </w:pPr>
      <w:r>
        <w:t>Use a short-lived, minimally scoped project token or deploy token for Argo CD and document rotation and expiry checks.</w:t>
      </w:r>
    </w:p>
    <w:p>
      <w:pPr>
        <w:pStyle w:val="ListBullet"/>
        <w:spacing w:after="60"/>
      </w:pPr>
      <w:r>
        <w:t>Tighten security gates: distinguish informational scans from blocking findings, pin base image digests, generate an SBOM, and consider image signing.</w:t>
      </w:r>
    </w:p>
    <w:p>
      <w:pPr>
        <w:pStyle w:val="ListBullet"/>
        <w:spacing w:after="60"/>
      </w:pPr>
      <w:r>
        <w:t>Add automated integration tests for registration, login, note ownership boundaries, database restart recovery, gateway routing, and ingress reachability.</w:t>
      </w:r>
    </w:p>
    <w:p>
      <w:pPr>
        <w:pStyle w:val="ListBullet"/>
        <w:spacing w:after="60"/>
      </w:pPr>
      <w:r>
        <w:t>Add schema migration management and health checks that verify dependencies without making liveness probes overly sensitive.</w:t>
      </w:r>
    </w:p>
    <w:p>
      <w:pPr>
        <w:pStyle w:val="ListBullet"/>
        <w:spacing w:after="60"/>
      </w:pPr>
      <w:r>
        <w:t>If the project grows, revisit Kubernetes version, control-plane availability, resource requests, network policy, monitoring, and log retention.</w:t>
      </w:r>
    </w:p>
    <w:p>
      <w:r>
        <w:br w:type="page"/>
      </w:r>
    </w:p>
    <w:p>
      <w:pPr>
        <w:pStyle w:val="Heading1"/>
      </w:pPr>
      <w:r>
        <w:t>Bibliography and webography</w:t>
      </w:r>
    </w:p>
    <w:p>
      <w:r>
        <w:t>Official documentation was consulted for general platform behaviour. Project-specific conclusions are based on the repository and the terminal/browser evidence supplied during the work. Web pages can change; links below are entry points to current documentation, consulted for this report in October 2026.</w:t>
      </w:r>
    </w:p>
    <w:p>
      <w:pPr>
        <w:spacing w:after="120"/>
        <w:ind w:left="403" w:hanging="403"/>
      </w:pPr>
      <w:r>
        <w:t xml:space="preserve">[1] Kubernetes documentation. “Workloads.” </w:t>
      </w:r>
      <w:r>
        <w:rPr>
          <w:color w:val="1F4E79"/>
          <w:u w:val="single"/>
        </w:rPr>
        <w:t>https://kubernetes.io/docs/concepts/workloads/</w:t>
      </w:r>
    </w:p>
    <w:p>
      <w:pPr>
        <w:spacing w:after="120"/>
        <w:ind w:left="403" w:hanging="403"/>
      </w:pPr>
      <w:r>
        <w:t xml:space="preserve">[2] Kubernetes documentation. “StatefulSets.” </w:t>
      </w:r>
      <w:r>
        <w:rPr>
          <w:color w:val="1F4E79"/>
          <w:u w:val="single"/>
        </w:rPr>
        <w:t>https://kubernetes.io/docs/concepts/workloads/controllers/statefulset/</w:t>
      </w:r>
    </w:p>
    <w:p>
      <w:pPr>
        <w:spacing w:after="120"/>
        <w:ind w:left="403" w:hanging="403"/>
      </w:pPr>
      <w:r>
        <w:t xml:space="preserve">[3] Kubernetes documentation. “Persistent Volumes.” </w:t>
      </w:r>
      <w:r>
        <w:rPr>
          <w:color w:val="1F4E79"/>
          <w:u w:val="single"/>
        </w:rPr>
        <w:t>https://kubernetes.io/docs/concepts/storage/persistent-volumes/</w:t>
      </w:r>
    </w:p>
    <w:p>
      <w:pPr>
        <w:spacing w:after="120"/>
        <w:ind w:left="403" w:hanging="403"/>
      </w:pPr>
      <w:r>
        <w:t xml:space="preserve">[4] Kubernetes documentation. “Storage Classes.” </w:t>
      </w:r>
      <w:r>
        <w:rPr>
          <w:color w:val="1F4E79"/>
          <w:u w:val="single"/>
        </w:rPr>
        <w:t>https://kubernetes.io/docs/concepts/storage/storage-classes/</w:t>
      </w:r>
    </w:p>
    <w:p>
      <w:pPr>
        <w:spacing w:after="120"/>
        <w:ind w:left="403" w:hanging="403"/>
      </w:pPr>
      <w:r>
        <w:t xml:space="preserve">[5] Kubernetes documentation. “Ingress.” </w:t>
      </w:r>
      <w:r>
        <w:rPr>
          <w:color w:val="1F4E79"/>
          <w:u w:val="single"/>
        </w:rPr>
        <w:t>https://kubernetes.io/docs/concepts/services-networking/ingress/</w:t>
      </w:r>
    </w:p>
    <w:p>
      <w:pPr>
        <w:spacing w:after="120"/>
        <w:ind w:left="403" w:hanging="403"/>
      </w:pPr>
      <w:r>
        <w:t xml:space="preserve">[6] Kubernetes documentation. “Probes.” </w:t>
      </w:r>
      <w:r>
        <w:rPr>
          <w:color w:val="1F4E79"/>
          <w:u w:val="single"/>
        </w:rPr>
        <w:t>https://kubernetes.io/docs/concepts/configuration/liveness-readiness-startup-probes/</w:t>
      </w:r>
    </w:p>
    <w:p>
      <w:pPr>
        <w:spacing w:after="120"/>
        <w:ind w:left="403" w:hanging="403"/>
      </w:pPr>
      <w:r>
        <w:t xml:space="preserve">[7] Argo CD documentation. “Private Repositories.” </w:t>
      </w:r>
      <w:r>
        <w:rPr>
          <w:color w:val="1F4E79"/>
          <w:u w:val="single"/>
        </w:rPr>
        <w:t>https://argo-cd.readthedocs.io/en/stable/user-guide/private-repositories/</w:t>
      </w:r>
    </w:p>
    <w:p>
      <w:pPr>
        <w:spacing w:after="120"/>
        <w:ind w:left="403" w:hanging="403"/>
      </w:pPr>
      <w:r>
        <w:t xml:space="preserve">[8] Argo CD documentation. “Declarative Setup.” </w:t>
      </w:r>
      <w:r>
        <w:rPr>
          <w:color w:val="1F4E79"/>
          <w:u w:val="single"/>
        </w:rPr>
        <w:t>https://argo-cd.readthedocs.io/en/stable/operator-manual/declarative-setup/</w:t>
      </w:r>
    </w:p>
    <w:p>
      <w:pPr>
        <w:spacing w:after="120"/>
        <w:ind w:left="403" w:hanging="403"/>
      </w:pPr>
      <w:r>
        <w:t xml:space="preserve">[9] GitLab documentation. “CI/CD pipelines.” </w:t>
      </w:r>
      <w:r>
        <w:rPr>
          <w:color w:val="1F4E79"/>
          <w:u w:val="single"/>
        </w:rPr>
        <w:t>https://docs.gitlab.com/ci/pipelines/</w:t>
      </w:r>
    </w:p>
    <w:p>
      <w:pPr>
        <w:spacing w:after="120"/>
        <w:ind w:left="403" w:hanging="403"/>
      </w:pPr>
      <w:r>
        <w:t xml:space="preserve">[10] GitLab documentation. “CI/CD variables.” </w:t>
      </w:r>
      <w:r>
        <w:rPr>
          <w:color w:val="1F4E79"/>
          <w:u w:val="single"/>
        </w:rPr>
        <w:t>https://docs.gitlab.com/ci/variables/</w:t>
      </w:r>
    </w:p>
    <w:p>
      <w:pPr>
        <w:spacing w:after="120"/>
        <w:ind w:left="403" w:hanging="403"/>
      </w:pPr>
      <w:r>
        <w:t xml:space="preserve">[11] GitLab documentation. “CI_JOB_TOKEN.” </w:t>
      </w:r>
      <w:r>
        <w:rPr>
          <w:color w:val="1F4E79"/>
          <w:u w:val="single"/>
        </w:rPr>
        <w:t>https://docs.gitlab.com/ci/jobs/ci_job_token/</w:t>
      </w:r>
    </w:p>
    <w:p>
      <w:pPr>
        <w:spacing w:after="120"/>
        <w:ind w:left="403" w:hanging="403"/>
      </w:pPr>
      <w:r>
        <w:t xml:space="preserve">[12] GitLab documentation. “Authenticate with the container registry.” </w:t>
      </w:r>
      <w:r>
        <w:rPr>
          <w:color w:val="1F4E79"/>
          <w:u w:val="single"/>
        </w:rPr>
        <w:t>https://docs.gitlab.com/user/packages/container_registry/authenticate_with_container_registry/</w:t>
      </w:r>
    </w:p>
    <w:p>
      <w:pPr>
        <w:spacing w:after="120"/>
        <w:ind w:left="403" w:hanging="403"/>
      </w:pPr>
      <w:r>
        <w:t xml:space="preserve">[13] Docker documentation. “Compose services.” </w:t>
      </w:r>
      <w:r>
        <w:rPr>
          <w:color w:val="1F4E79"/>
          <w:u w:val="single"/>
        </w:rPr>
        <w:t>https://docs.docker.com/reference/compose-file/services/</w:t>
      </w:r>
    </w:p>
    <w:p>
      <w:pPr>
        <w:spacing w:after="120"/>
        <w:ind w:left="403" w:hanging="403"/>
      </w:pPr>
      <w:r>
        <w:t xml:space="preserve">[14] Docker documentation. “Environment variables in Compose.” </w:t>
      </w:r>
      <w:r>
        <w:rPr>
          <w:color w:val="1F4E79"/>
          <w:u w:val="single"/>
        </w:rPr>
        <w:t>https://docs.docker.com/compose/how-tos/environment-variables/</w:t>
      </w:r>
    </w:p>
    <w:p>
      <w:pPr>
        <w:spacing w:after="120"/>
        <w:ind w:left="403" w:hanging="403"/>
      </w:pPr>
      <w:r>
        <w:t xml:space="preserve">[15] FastAPI documentation. “OAuth2 with Password (and hashing), Bearer with JWT tokens.” </w:t>
      </w:r>
      <w:r>
        <w:rPr>
          <w:color w:val="1F4E79"/>
          <w:u w:val="single"/>
        </w:rPr>
        <w:t>https://fastapi.tiangolo.com/tutorial/security/oauth2-jwt/</w:t>
      </w:r>
    </w:p>
    <w:p>
      <w:pPr>
        <w:spacing w:after="120"/>
        <w:ind w:left="403" w:hanging="403"/>
      </w:pPr>
      <w:r>
        <w:t xml:space="preserve">[16] Helm documentation. “Charts.” </w:t>
      </w:r>
      <w:r>
        <w:rPr>
          <w:color w:val="1F4E79"/>
          <w:u w:val="single"/>
        </w:rPr>
        <w:t>https://helm.sh/docs/topics/charts/</w:t>
      </w:r>
    </w:p>
    <w:p>
      <w:pPr>
        <w:spacing w:after="120"/>
        <w:ind w:left="403" w:hanging="403"/>
      </w:pPr>
      <w:r>
        <w:t xml:space="preserve">[17] Helm documentation. “The Chart Template Guide.” </w:t>
      </w:r>
      <w:r>
        <w:rPr>
          <w:color w:val="1F4E79"/>
          <w:u w:val="single"/>
        </w:rPr>
        <w:t>https://helm.sh/docs/chart_template_guide/</w:t>
      </w:r>
    </w:p>
    <w:p>
      <w:pPr>
        <w:spacing w:after="120"/>
        <w:ind w:left="403" w:hanging="403"/>
      </w:pPr>
      <w:r>
        <w:t xml:space="preserve">[18] Traefik documentation. “Kubernetes Ingress provider.” </w:t>
      </w:r>
      <w:r>
        <w:rPr>
          <w:color w:val="1F4E79"/>
          <w:u w:val="single"/>
        </w:rPr>
        <w:t>https://doc.traefik.io/traefik/v3.4/providers/kubernetes-ingress/</w:t>
      </w:r>
    </w:p>
    <w:p>
      <w:pPr>
        <w:spacing w:after="120"/>
        <w:ind w:left="403" w:hanging="403"/>
      </w:pPr>
      <w:r>
        <w:t xml:space="preserve">[19] Traefik documentation. “Kubernetes setup.” </w:t>
      </w:r>
      <w:r>
        <w:rPr>
          <w:color w:val="1F4E79"/>
          <w:u w:val="single"/>
        </w:rPr>
        <w:t>https://doc.traefik.io/traefik/setup/kubernetes/</w:t>
      </w:r>
    </w:p>
    <w:p>
      <w:pPr>
        <w:spacing w:after="120"/>
        <w:ind w:left="403" w:hanging="403"/>
      </w:pPr>
      <w:r>
        <w:t xml:space="preserve">[20] Rancher. “Local Path Provisioner.” </w:t>
      </w:r>
      <w:r>
        <w:rPr>
          <w:color w:val="1F4E79"/>
          <w:u w:val="single"/>
        </w:rPr>
        <w:t>https://github.com/rancher/local-path-provisioner</w:t>
      </w:r>
    </w:p>
    <w:p>
      <w:pPr>
        <w:spacing w:after="120"/>
        <w:ind w:left="403" w:hanging="403"/>
      </w:pPr>
      <w:r>
        <w:t xml:space="preserve">[21] OWASP Foundation. “Dependency-Check.” </w:t>
      </w:r>
      <w:r>
        <w:rPr>
          <w:color w:val="1F4E79"/>
          <w:u w:val="single"/>
        </w:rPr>
        <w:t>https://owasp.org/www-project-dependency-check/</w:t>
      </w:r>
    </w:p>
    <w:p>
      <w:pPr>
        <w:spacing w:after="120"/>
        <w:ind w:left="403" w:hanging="403"/>
      </w:pPr>
      <w:r>
        <w:t xml:space="preserve">[22] Aqua Security. “Trivy documentation.” </w:t>
      </w:r>
      <w:r>
        <w:rPr>
          <w:color w:val="1F4E79"/>
          <w:u w:val="single"/>
        </w:rPr>
        <w:t>https://aquasecurity.github.io/trivy/</w:t>
      </w:r>
    </w:p>
    <w:p>
      <w:pPr>
        <w:spacing w:after="120"/>
        <w:ind w:left="403" w:hanging="403"/>
      </w:pPr>
      <w:r>
        <w:t xml:space="preserve">[23] Project repository. Secure Notes source and deployment manifests. </w:t>
      </w:r>
      <w:r>
        <w:rPr>
          <w:color w:val="1F4E79"/>
          <w:u w:val="single"/>
        </w:rPr>
        <w:t>https://gitlab.com/anassbougraine644/secure-notes</w:t>
      </w:r>
    </w:p>
    <w:p>
      <w:r>
        <w:t>Accessed 10 October 2026. The source repository is private; readers without project membership may not be able to open it. No secret-bearing screenshots or credential strings are cited.</w:t>
      </w:r>
    </w:p>
    <w:p>
      <w:r>
        <w:br w:type="page"/>
      </w:r>
    </w:p>
    <w:p>
      <w:pPr>
        <w:pStyle w:val="Heading1"/>
      </w:pPr>
      <w:r>
        <w:t>Annex A Sanitised project structure</w:t>
      </w:r>
    </w:p>
    <w:p>
      <w:r>
        <w:t>The following tree summarises the main areas referenced during the work. It omits generated files, local state, private secret files, and environment-specific artifacts.</w:t>
      </w:r>
    </w:p>
    <w:p>
      <w:pPr>
        <w:pStyle w:val="Code"/>
        <w:keepLines/>
      </w:pPr>
      <w:r>
        <w:t>secure-notes/</w:t>
      </w:r>
    </w:p>
    <w:p>
      <w:pPr>
        <w:pStyle w:val="Code"/>
        <w:keepLines/>
      </w:pPr>
      <w:r>
        <w:t>├── .gitlab-ci.yml</w:t>
      </w:r>
    </w:p>
    <w:p>
      <w:pPr>
        <w:pStyle w:val="Code"/>
        <w:keepLines/>
      </w:pPr>
      <w:r>
        <w:t>├── README.md</w:t>
      </w:r>
    </w:p>
    <w:p>
      <w:pPr>
        <w:pStyle w:val="Code"/>
        <w:keepLines/>
      </w:pPr>
      <w:r>
        <w:t>├── ansible/</w:t>
      </w:r>
    </w:p>
    <w:p>
      <w:pPr>
        <w:pStyle w:val="Code"/>
        <w:keepLines/>
      </w:pPr>
      <w:r>
        <w:t>│   ├── inventory/</w:t>
      </w:r>
    </w:p>
    <w:p>
      <w:pPr>
        <w:pStyle w:val="Code"/>
        <w:keepLines/>
      </w:pPr>
      <w:r>
        <w:t>│   ├── roles/</w:t>
      </w:r>
    </w:p>
    <w:p>
      <w:pPr>
        <w:pStyle w:val="Code"/>
        <w:keepLines/>
      </w:pPr>
      <w:r>
        <w:t>│   │   ├── argocd/</w:t>
      </w:r>
    </w:p>
    <w:p>
      <w:pPr>
        <w:pStyle w:val="Code"/>
        <w:keepLines/>
      </w:pPr>
      <w:r>
        <w:t>│   │   └── kubernetes/</w:t>
      </w:r>
    </w:p>
    <w:p>
      <w:pPr>
        <w:pStyle w:val="Code"/>
        <w:keepLines/>
      </w:pPr>
      <w:r>
        <w:t>│   └── site.yml</w:t>
      </w:r>
    </w:p>
    <w:p>
      <w:pPr>
        <w:pStyle w:val="Code"/>
        <w:keepLines/>
      </w:pPr>
      <w:r>
        <w:t>├── argocd/</w:t>
      </w:r>
    </w:p>
    <w:p>
      <w:pPr>
        <w:pStyle w:val="Code"/>
        <w:keepLines/>
      </w:pPr>
      <w:r>
        <w:t>│   ├── application.yaml</w:t>
      </w:r>
    </w:p>
    <w:p>
      <w:pPr>
        <w:pStyle w:val="Code"/>
        <w:keepLines/>
      </w:pPr>
      <w:r>
        <w:t>│   └── repo-secret.yaml.example</w:t>
      </w:r>
    </w:p>
    <w:p>
      <w:pPr>
        <w:pStyle w:val="Code"/>
        <w:keepLines/>
      </w:pPr>
      <w:r>
        <w:t>├── docker/</w:t>
      </w:r>
    </w:p>
    <w:p>
      <w:pPr>
        <w:pStyle w:val="Code"/>
        <w:keepLines/>
      </w:pPr>
      <w:r>
        <w:t>│   └── docker-compose.yml</w:t>
      </w:r>
    </w:p>
    <w:p>
      <w:pPr>
        <w:pStyle w:val="Code"/>
        <w:keepLines/>
      </w:pPr>
      <w:r>
        <w:t>├── helm/</w:t>
      </w:r>
    </w:p>
    <w:p>
      <w:pPr>
        <w:pStyle w:val="Code"/>
        <w:keepLines/>
      </w:pPr>
      <w:r>
        <w:t>│   └── secure-notes/</w:t>
      </w:r>
    </w:p>
    <w:p>
      <w:pPr>
        <w:pStyle w:val="Code"/>
        <w:keepLines/>
      </w:pPr>
      <w:r>
        <w:t>│       ├── Chart.yaml</w:t>
      </w:r>
    </w:p>
    <w:p>
      <w:pPr>
        <w:pStyle w:val="Code"/>
        <w:keepLines/>
      </w:pPr>
      <w:r>
        <w:t>│       ├── values.yaml</w:t>
      </w:r>
    </w:p>
    <w:p>
      <w:pPr>
        <w:pStyle w:val="Code"/>
        <w:keepLines/>
      </w:pPr>
      <w:r>
        <w:t>│       └── templates/</w:t>
      </w:r>
    </w:p>
    <w:p>
      <w:pPr>
        <w:pStyle w:val="Code"/>
        <w:keepLines/>
      </w:pPr>
      <w:r>
        <w:t>├── services/</w:t>
      </w:r>
    </w:p>
    <w:p>
      <w:pPr>
        <w:pStyle w:val="Code"/>
        <w:keepLines/>
      </w:pPr>
      <w:r>
        <w:t>│   ├── auth-service/</w:t>
      </w:r>
    </w:p>
    <w:p>
      <w:pPr>
        <w:pStyle w:val="Code"/>
        <w:keepLines/>
      </w:pPr>
      <w:r>
        <w:t>│   └── notes-service/</w:t>
      </w:r>
    </w:p>
    <w:p>
      <w:pPr>
        <w:pStyle w:val="Code"/>
        <w:keepLines/>
      </w:pPr>
      <w:r>
        <w:t>├── frontend/</w:t>
      </w:r>
    </w:p>
    <w:p>
      <w:pPr>
        <w:pStyle w:val="Code"/>
        <w:keepLines/>
      </w:pPr>
      <w:r>
        <w:t>├── gateway/</w:t>
      </w:r>
    </w:p>
    <w:p>
      <w:pPr>
        <w:pStyle w:val="Code"/>
        <w:keepLines/>
      </w:pPr>
      <w:r>
        <w:t>└── terraform/                 # separate MiniStack experiment</w:t>
      </w:r>
    </w:p>
    <w:p>
      <w:r>
        <w:t>This structure reflects the reviewed repository at report time. Local-only secrets such as repository tokens, application passwords, `.env` files, and Terraform variable files are intentionally not listed as committed source. Names may differ slightly between working copies and the deployed revision.</w:t>
      </w:r>
    </w:p>
    <w:p>
      <w:r>
        <w:br w:type="page"/>
      </w:r>
    </w:p>
    <w:p>
      <w:pPr>
        <w:pStyle w:val="Heading1"/>
      </w:pPr>
      <w:r>
        <w:t>Annex B Representative configuration</w:t>
      </w:r>
    </w:p>
    <w:p>
      <w:r>
        <w:t>These examples are illustrative and sanitised. They show shape and intent, not working credentials. The live GitLab token, Docker Hub token, database passwords, and JWT signing key must remain outside the repository.</w:t>
      </w:r>
    </w:p>
    <w:p>
      <w:pPr>
        <w:pStyle w:val="Heading2"/>
      </w:pPr>
      <w:r>
        <w:t>B.1 Argo CD Application</w:t>
      </w:r>
    </w:p>
    <w:p>
      <w:pPr>
        <w:pStyle w:val="Code"/>
        <w:keepLines/>
      </w:pPr>
      <w:r>
        <w:t>apiVersion: argoproj.io/v1alpha1</w:t>
      </w:r>
    </w:p>
    <w:p>
      <w:pPr>
        <w:pStyle w:val="Code"/>
        <w:keepLines/>
      </w:pPr>
      <w:r>
        <w:t>kind: Application</w:t>
      </w:r>
    </w:p>
    <w:p>
      <w:pPr>
        <w:pStyle w:val="Code"/>
        <w:keepLines/>
      </w:pPr>
      <w:r>
        <w:t>metadata:</w:t>
      </w:r>
    </w:p>
    <w:p>
      <w:pPr>
        <w:pStyle w:val="Code"/>
        <w:keepLines/>
      </w:pPr>
      <w:r>
        <w:t xml:space="preserve">  name: secure-notes</w:t>
      </w:r>
    </w:p>
    <w:p>
      <w:pPr>
        <w:pStyle w:val="Code"/>
        <w:keepLines/>
      </w:pPr>
      <w:r>
        <w:t xml:space="preserve">  namespace: argocd</w:t>
      </w:r>
    </w:p>
    <w:p>
      <w:pPr>
        <w:pStyle w:val="Code"/>
        <w:keepLines/>
      </w:pPr>
      <w:r>
        <w:t>spec:</w:t>
      </w:r>
    </w:p>
    <w:p>
      <w:pPr>
        <w:pStyle w:val="Code"/>
        <w:keepLines/>
      </w:pPr>
      <w:r>
        <w:t xml:space="preserve">  project: default</w:t>
      </w:r>
    </w:p>
    <w:p>
      <w:pPr>
        <w:pStyle w:val="Code"/>
        <w:keepLines/>
      </w:pPr>
      <w:r>
        <w:t xml:space="preserve">  source:</w:t>
      </w:r>
    </w:p>
    <w:p>
      <w:pPr>
        <w:pStyle w:val="Code"/>
        <w:keepLines/>
      </w:pPr>
      <w:r>
        <w:t xml:space="preserve">    repoURL: https://gitlab.com/anassbougraine644/secure-notes.git</w:t>
      </w:r>
    </w:p>
    <w:p>
      <w:pPr>
        <w:pStyle w:val="Code"/>
        <w:keepLines/>
      </w:pPr>
      <w:r>
        <w:t xml:space="preserve">    targetRevision: main</w:t>
      </w:r>
    </w:p>
    <w:p>
      <w:pPr>
        <w:pStyle w:val="Code"/>
        <w:keepLines/>
      </w:pPr>
      <w:r>
        <w:t xml:space="preserve">    path: helm/secure-notes</w:t>
      </w:r>
    </w:p>
    <w:p>
      <w:pPr>
        <w:pStyle w:val="Code"/>
        <w:keepLines/>
      </w:pPr>
      <w:r>
        <w:t xml:space="preserve">    helm:</w:t>
      </w:r>
    </w:p>
    <w:p>
      <w:pPr>
        <w:pStyle w:val="Code"/>
        <w:keepLines/>
      </w:pPr>
      <w:r>
        <w:t xml:space="preserve">      valueFiles:</w:t>
      </w:r>
    </w:p>
    <w:p>
      <w:pPr>
        <w:pStyle w:val="Code"/>
        <w:keepLines/>
      </w:pPr>
      <w:r>
        <w:t xml:space="preserve">        - values.yaml</w:t>
      </w:r>
    </w:p>
    <w:p>
      <w:pPr>
        <w:pStyle w:val="Code"/>
        <w:keepLines/>
      </w:pPr>
      <w:r>
        <w:t xml:space="preserve">  destination:</w:t>
      </w:r>
    </w:p>
    <w:p>
      <w:pPr>
        <w:pStyle w:val="Code"/>
        <w:keepLines/>
      </w:pPr>
      <w:r>
        <w:t xml:space="preserve">    server: https://kubernetes.default.svc</w:t>
      </w:r>
    </w:p>
    <w:p>
      <w:pPr>
        <w:pStyle w:val="Code"/>
        <w:keepLines/>
      </w:pPr>
      <w:r>
        <w:t xml:space="preserve">    namespace: secure-notes</w:t>
      </w:r>
    </w:p>
    <w:p>
      <w:pPr>
        <w:pStyle w:val="Code"/>
        <w:keepLines/>
      </w:pPr>
      <w:r>
        <w:t xml:space="preserve">  syncPolicy:</w:t>
      </w:r>
    </w:p>
    <w:p>
      <w:pPr>
        <w:pStyle w:val="Code"/>
        <w:keepLines/>
      </w:pPr>
      <w:r>
        <w:t xml:space="preserve">    automated:</w:t>
      </w:r>
    </w:p>
    <w:p>
      <w:pPr>
        <w:pStyle w:val="Code"/>
        <w:keepLines/>
      </w:pPr>
      <w:r>
        <w:t xml:space="preserve">      prune: true</w:t>
      </w:r>
    </w:p>
    <w:p>
      <w:pPr>
        <w:pStyle w:val="Code"/>
        <w:keepLines/>
      </w:pPr>
      <w:r>
        <w:t xml:space="preserve">      selfHeal: true</w:t>
      </w:r>
    </w:p>
    <w:p>
      <w:pPr>
        <w:pStyle w:val="Code"/>
        <w:keepLines/>
      </w:pPr>
      <w:r>
        <w:t xml:space="preserve">    syncOptions:</w:t>
      </w:r>
    </w:p>
    <w:p>
      <w:pPr>
        <w:pStyle w:val="Code"/>
        <w:keepLines/>
      </w:pPr>
      <w:r>
        <w:t xml:space="preserve">      - CreateNamespace=true</w:t>
      </w:r>
    </w:p>
    <w:p>
      <w:r>
        <w:t>The repository credential is supplied separately through an Argo CD repository Secret. Its password value is deliberately absent. The example should be adjusted if the project path or branch changes.</w:t>
      </w:r>
    </w:p>
    <w:p>
      <w:pPr>
        <w:pStyle w:val="Heading2"/>
      </w:pPr>
      <w:r>
        <w:t>B.2 Repository Secret shape</w:t>
      </w:r>
    </w:p>
    <w:p>
      <w:pPr>
        <w:pStyle w:val="Code"/>
        <w:keepLines/>
      </w:pPr>
      <w:r>
        <w:t>apiVersion: v1</w:t>
      </w:r>
    </w:p>
    <w:p>
      <w:pPr>
        <w:pStyle w:val="Code"/>
        <w:keepLines/>
      </w:pPr>
      <w:r>
        <w:t>kind: Secret</w:t>
      </w:r>
    </w:p>
    <w:p>
      <w:pPr>
        <w:pStyle w:val="Code"/>
        <w:keepLines/>
      </w:pPr>
      <w:r>
        <w:t>metadata:</w:t>
      </w:r>
    </w:p>
    <w:p>
      <w:pPr>
        <w:pStyle w:val="Code"/>
        <w:keepLines/>
      </w:pPr>
      <w:r>
        <w:t xml:space="preserve">  name: secure-notes-repo</w:t>
      </w:r>
    </w:p>
    <w:p>
      <w:pPr>
        <w:pStyle w:val="Code"/>
        <w:keepLines/>
      </w:pPr>
      <w:r>
        <w:t xml:space="preserve">  namespace: argocd</w:t>
      </w:r>
    </w:p>
    <w:p>
      <w:pPr>
        <w:pStyle w:val="Code"/>
        <w:keepLines/>
      </w:pPr>
      <w:r>
        <w:t xml:space="preserve">  labels:</w:t>
      </w:r>
    </w:p>
    <w:p>
      <w:pPr>
        <w:pStyle w:val="Code"/>
        <w:keepLines/>
      </w:pPr>
      <w:r>
        <w:t xml:space="preserve">    argocd.argoproj.io/secret-type: repository</w:t>
      </w:r>
    </w:p>
    <w:p>
      <w:pPr>
        <w:pStyle w:val="Code"/>
        <w:keepLines/>
      </w:pPr>
      <w:r>
        <w:t>stringData:</w:t>
      </w:r>
    </w:p>
    <w:p>
      <w:pPr>
        <w:pStyle w:val="Code"/>
        <w:keepLines/>
      </w:pPr>
      <w:r>
        <w:t xml:space="preserve">  type: git</w:t>
      </w:r>
    </w:p>
    <w:p>
      <w:pPr>
        <w:pStyle w:val="Code"/>
        <w:keepLines/>
      </w:pPr>
      <w:r>
        <w:t xml:space="preserve">  url: https://gitlab.com/anassbougraine644/secure-notes.git</w:t>
      </w:r>
    </w:p>
    <w:p>
      <w:pPr>
        <w:pStyle w:val="Code"/>
        <w:keepLines/>
      </w:pPr>
      <w:r>
        <w:t xml:space="preserve">  username: &lt;GitLab username or token bot username&gt;</w:t>
      </w:r>
    </w:p>
    <w:p>
      <w:pPr>
        <w:pStyle w:val="Code"/>
        <w:keepLines/>
      </w:pPr>
      <w:r>
        <w:t xml:space="preserve">  password: &lt;read-only repository token&gt;</w:t>
      </w:r>
    </w:p>
    <w:p>
      <w:r>
        <w:t>For a personal access token, the username used in the successful test was the GitLab account name. A project access token may instead require its generated bot username. The token must be valid, unexpired, and allowed to read the project. Do not store a real token in a public document or commit it to Git.</w:t>
      </w:r>
    </w:p>
    <w:p>
      <w:pPr>
        <w:pStyle w:val="Heading2"/>
      </w:pPr>
      <w:r>
        <w:t>B.3 Ingress values</w:t>
      </w:r>
    </w:p>
    <w:p>
      <w:pPr>
        <w:pStyle w:val="Code"/>
        <w:keepLines/>
      </w:pPr>
      <w:r>
        <w:t>ingress:</w:t>
      </w:r>
    </w:p>
    <w:p>
      <w:pPr>
        <w:pStyle w:val="Code"/>
        <w:keepLines/>
      </w:pPr>
      <w:r>
        <w:t xml:space="preserve">  enabled: true</w:t>
      </w:r>
    </w:p>
    <w:p>
      <w:pPr>
        <w:pStyle w:val="Code"/>
        <w:keepLines/>
      </w:pPr>
      <w:r>
        <w:t xml:space="preserve">  className: traefik</w:t>
      </w:r>
    </w:p>
    <w:p>
      <w:pPr>
        <w:pStyle w:val="Code"/>
        <w:keepLines/>
      </w:pPr>
      <w:r>
        <w:t xml:space="preserve">  annotations: {}</w:t>
      </w:r>
    </w:p>
    <w:p>
      <w:pPr>
        <w:pStyle w:val="Code"/>
        <w:keepLines/>
      </w:pPr>
      <w:r>
        <w:t xml:space="preserve">  hosts:</w:t>
      </w:r>
    </w:p>
    <w:p>
      <w:pPr>
        <w:pStyle w:val="Code"/>
        <w:keepLines/>
      </w:pPr>
      <w:r>
        <w:t xml:space="preserve">    - host: secure-notes.local</w:t>
      </w:r>
    </w:p>
    <w:p>
      <w:pPr>
        <w:pStyle w:val="Code"/>
        <w:keepLines/>
      </w:pPr>
      <w:r>
        <w:t xml:space="preserve">      paths:</w:t>
      </w:r>
    </w:p>
    <w:p>
      <w:pPr>
        <w:pStyle w:val="Code"/>
        <w:keepLines/>
      </w:pPr>
      <w:r>
        <w:t xml:space="preserve">        - path: /</w:t>
      </w:r>
    </w:p>
    <w:p>
      <w:pPr>
        <w:pStyle w:val="Code"/>
        <w:keepLines/>
      </w:pPr>
      <w:r>
        <w:t xml:space="preserve">          pathType: Prefix</w:t>
      </w:r>
    </w:p>
    <w:p>
      <w:pPr>
        <w:pStyle w:val="Code"/>
        <w:keepLines/>
      </w:pPr>
      <w:r>
        <w:t xml:space="preserve">        - path: /auth</w:t>
      </w:r>
    </w:p>
    <w:p>
      <w:pPr>
        <w:pStyle w:val="Code"/>
        <w:keepLines/>
      </w:pPr>
      <w:r>
        <w:t xml:space="preserve">          pathType: Prefix</w:t>
      </w:r>
    </w:p>
    <w:p>
      <w:pPr>
        <w:pStyle w:val="Code"/>
        <w:keepLines/>
      </w:pPr>
      <w:r>
        <w:t xml:space="preserve">        - path: /notes</w:t>
      </w:r>
    </w:p>
    <w:p>
      <w:pPr>
        <w:pStyle w:val="Code"/>
        <w:keepLines/>
      </w:pPr>
      <w:r>
        <w:t xml:space="preserve">          pathType: Prefix</w:t>
      </w:r>
    </w:p>
    <w:p>
      <w:r>
        <w:t>The actual lab used wildcard host matching, so a DNS name was not required for the IP-and-port test. `secure-notes.local` above is an example host only. The NodePort was 30080 for HTTP and 30443 for HTTPS at the Traefik Service. A manifest host does not create DNS.</w:t>
      </w:r>
    </w:p>
    <w:p>
      <w:pPr>
        <w:pStyle w:val="Heading2"/>
      </w:pPr>
      <w:r>
        <w:t>B.4 Secret references in a Deployment</w:t>
      </w:r>
    </w:p>
    <w:p>
      <w:pPr>
        <w:pStyle w:val="Code"/>
        <w:keepLines/>
      </w:pPr>
      <w:r>
        <w:t>env:</w:t>
      </w:r>
    </w:p>
    <w:p>
      <w:pPr>
        <w:pStyle w:val="Code"/>
        <w:keepLines/>
      </w:pPr>
      <w:r>
        <w:t xml:space="preserve">  - name: DATABASE_URL</w:t>
      </w:r>
    </w:p>
    <w:p>
      <w:pPr>
        <w:pStyle w:val="Code"/>
        <w:keepLines/>
      </w:pPr>
      <w:r>
        <w:t xml:space="preserve">    valueFrom:</w:t>
      </w:r>
    </w:p>
    <w:p>
      <w:pPr>
        <w:pStyle w:val="Code"/>
        <w:keepLines/>
      </w:pPr>
      <w:r>
        <w:t xml:space="preserve">      secretKeyRef:</w:t>
      </w:r>
    </w:p>
    <w:p>
      <w:pPr>
        <w:pStyle w:val="Code"/>
        <w:keepLines/>
      </w:pPr>
      <w:r>
        <w:t xml:space="preserve">        name: notes-secrets</w:t>
      </w:r>
    </w:p>
    <w:p>
      <w:pPr>
        <w:pStyle w:val="Code"/>
        <w:keepLines/>
      </w:pPr>
      <w:r>
        <w:t xml:space="preserve">        key: AUTH_DATABASE_URL</w:t>
      </w:r>
    </w:p>
    <w:p>
      <w:pPr>
        <w:pStyle w:val="Code"/>
        <w:keepLines/>
      </w:pPr>
      <w:r>
        <w:t xml:space="preserve">  - name: JWT_SECRET</w:t>
      </w:r>
    </w:p>
    <w:p>
      <w:pPr>
        <w:pStyle w:val="Code"/>
        <w:keepLines/>
      </w:pPr>
      <w:r>
        <w:t xml:space="preserve">    valueFrom:</w:t>
      </w:r>
    </w:p>
    <w:p>
      <w:pPr>
        <w:pStyle w:val="Code"/>
        <w:keepLines/>
      </w:pPr>
      <w:r>
        <w:t xml:space="preserve">      secretKeyRef:</w:t>
      </w:r>
    </w:p>
    <w:p>
      <w:pPr>
        <w:pStyle w:val="Code"/>
        <w:keepLines/>
      </w:pPr>
      <w:r>
        <w:t xml:space="preserve">        name: notes-secrets</w:t>
      </w:r>
    </w:p>
    <w:p>
      <w:pPr>
        <w:pStyle w:val="Code"/>
        <w:keepLines/>
      </w:pPr>
      <w:r>
        <w:t xml:space="preserve">        key: JWT_SECRET</w:t>
      </w:r>
    </w:p>
    <w:p>
      <w:r>
        <w:t>The value names are shown to document wiring. Secret data is not included. A production design should also state rotation, backup, encryption-at-rest, and access-control requirements for these secrets.</w:t>
      </w:r>
    </w:p>
    <w:p>
      <w:r>
        <w:br w:type="page"/>
      </w:r>
    </w:p>
    <w:p>
      <w:pPr>
        <w:pStyle w:val="Heading1"/>
      </w:pPr>
      <w:r>
        <w:t>Annex C Useful verification commands</w:t>
      </w:r>
    </w:p>
    <w:p>
      <w:r>
        <w:t>Commands below omit explicit KUBECONFIG environment prefixes as requested during the project. On the control-plane VM, the default user configuration must already be set or the user may need to use the administrative kubeconfig. The commands are examples for reading state; commands that change resources are marked.</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658"/>
            <w:shd w:fill="1F4E79"/>
            <w:vAlign w:val="center"/>
            <w:tcMar>
              <w:top w:w="90" w:type="dxa"/>
              <w:start w:w="100" w:type="dxa"/>
              <w:bottom w:w="90" w:type="dxa"/>
              <w:end w:w="100" w:type="dxa"/>
            </w:tcMar>
          </w:tcPr>
          <w:p>
            <w:r>
              <w:rPr>
                <w:b/>
                <w:color w:val="FFFFFF"/>
                <w:sz w:val="17"/>
              </w:rPr>
              <w:t>Purpose</w:t>
            </w:r>
          </w:p>
        </w:tc>
        <w:tc>
          <w:tcPr>
            <w:tcW w:type="dxa" w:w="4658"/>
            <w:shd w:fill="1F4E79"/>
            <w:vAlign w:val="center"/>
            <w:tcMar>
              <w:top w:w="90" w:type="dxa"/>
              <w:start w:w="100" w:type="dxa"/>
              <w:bottom w:w="90" w:type="dxa"/>
              <w:end w:w="100" w:type="dxa"/>
            </w:tcMar>
          </w:tcPr>
          <w:p>
            <w:r>
              <w:rPr>
                <w:b/>
                <w:color w:val="FFFFFF"/>
                <w:sz w:val="17"/>
              </w:rPr>
              <w:t>Command</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Cluster nodes</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`kubectl get nodes -o wide`</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7"/>
              </w:rPr>
              <w:t>All namespace workloads</w:t>
            </w:r>
          </w:p>
        </w:tc>
        <w:tc>
          <w:tcPr>
            <w:tcW w:type="dxa" w:w="4658"/>
            <w:vAlign w:val="center"/>
            <w:tcMar>
              <w:top w:w="90" w:type="dxa"/>
              <w:start w:w="100" w:type="dxa"/>
              <w:bottom w:w="90" w:type="dxa"/>
              <w:end w:w="100" w:type="dxa"/>
            </w:tcMar>
          </w:tcPr>
          <w:p>
            <w:pPr>
              <w:spacing w:after="20"/>
              <w:jc w:val="left"/>
            </w:pPr>
            <w:r>
              <w:rPr>
                <w:rFonts w:ascii="Times New Roman" w:hAnsi="Times New Roman"/>
                <w:sz w:val="17"/>
              </w:rPr>
              <w:t>`kubectl get pods -A -o wide`</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Application pods</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`kubectl get pods -n secure-notes -o wide`</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7"/>
              </w:rPr>
              <w:t>Application resources</w:t>
            </w:r>
          </w:p>
        </w:tc>
        <w:tc>
          <w:tcPr>
            <w:tcW w:type="dxa" w:w="4658"/>
            <w:vAlign w:val="center"/>
            <w:tcMar>
              <w:top w:w="90" w:type="dxa"/>
              <w:start w:w="100" w:type="dxa"/>
              <w:bottom w:w="90" w:type="dxa"/>
              <w:end w:w="100" w:type="dxa"/>
            </w:tcMar>
          </w:tcPr>
          <w:p>
            <w:pPr>
              <w:spacing w:after="20"/>
              <w:jc w:val="left"/>
            </w:pPr>
            <w:r>
              <w:rPr>
                <w:rFonts w:ascii="Times New Roman" w:hAnsi="Times New Roman"/>
                <w:sz w:val="17"/>
              </w:rPr>
              <w:t>`kubectl get deployments,statefulsets,services,pvc,ingress -n secure-notes`</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Argo CD applications</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`kubectl get applications -n argocd`</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7"/>
              </w:rPr>
              <w:t>Detailed application state</w:t>
            </w:r>
          </w:p>
        </w:tc>
        <w:tc>
          <w:tcPr>
            <w:tcW w:type="dxa" w:w="4658"/>
            <w:vAlign w:val="center"/>
            <w:tcMar>
              <w:top w:w="90" w:type="dxa"/>
              <w:start w:w="100" w:type="dxa"/>
              <w:bottom w:w="90" w:type="dxa"/>
              <w:end w:w="100" w:type="dxa"/>
            </w:tcMar>
          </w:tcPr>
          <w:p>
            <w:pPr>
              <w:spacing w:after="20"/>
              <w:jc w:val="left"/>
            </w:pPr>
            <w:r>
              <w:rPr>
                <w:rFonts w:ascii="Times New Roman" w:hAnsi="Times New Roman"/>
                <w:sz w:val="17"/>
              </w:rPr>
              <w:t>`kubectl describe application secure-notes -n argocd`</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Storage classes</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`kubectl get storageclass`</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7"/>
              </w:rPr>
              <w:t>PVC details</w:t>
            </w:r>
          </w:p>
        </w:tc>
        <w:tc>
          <w:tcPr>
            <w:tcW w:type="dxa" w:w="4658"/>
            <w:vAlign w:val="center"/>
            <w:tcMar>
              <w:top w:w="90" w:type="dxa"/>
              <w:start w:w="100" w:type="dxa"/>
              <w:bottom w:w="90" w:type="dxa"/>
              <w:end w:w="100" w:type="dxa"/>
            </w:tcMar>
          </w:tcPr>
          <w:p>
            <w:pPr>
              <w:spacing w:after="20"/>
              <w:jc w:val="left"/>
            </w:pPr>
            <w:r>
              <w:rPr>
                <w:rFonts w:ascii="Times New Roman" w:hAnsi="Times New Roman"/>
                <w:sz w:val="17"/>
              </w:rPr>
              <w:t>`kubectl describe pvc pgdata-auth-db-0 -n secure-notes`</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Recent namespace events</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`kubectl get events -n secure-notes --sort-by=.lastTimestamp`</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7"/>
              </w:rPr>
              <w:t>Previous container logs</w:t>
            </w:r>
          </w:p>
        </w:tc>
        <w:tc>
          <w:tcPr>
            <w:tcW w:type="dxa" w:w="4658"/>
            <w:vAlign w:val="center"/>
            <w:tcMar>
              <w:top w:w="90" w:type="dxa"/>
              <w:start w:w="100" w:type="dxa"/>
              <w:bottom w:w="90" w:type="dxa"/>
              <w:end w:w="100" w:type="dxa"/>
            </w:tcMar>
          </w:tcPr>
          <w:p>
            <w:pPr>
              <w:spacing w:after="20"/>
              <w:jc w:val="left"/>
            </w:pPr>
            <w:r>
              <w:rPr>
                <w:rFonts w:ascii="Times New Roman" w:hAnsi="Times New Roman"/>
                <w:sz w:val="17"/>
              </w:rPr>
              <w:t>`kubectl logs deployment/auth-service -n secure-notes --previous --tail=50`</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Traefik service</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`kubectl get svc traefik -n traefik`</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7"/>
              </w:rPr>
              <w:t>Ingress classes</w:t>
            </w:r>
          </w:p>
        </w:tc>
        <w:tc>
          <w:tcPr>
            <w:tcW w:type="dxa" w:w="4658"/>
            <w:vAlign w:val="center"/>
            <w:tcMar>
              <w:top w:w="90" w:type="dxa"/>
              <w:start w:w="100" w:type="dxa"/>
              <w:bottom w:w="90" w:type="dxa"/>
              <w:end w:w="100" w:type="dxa"/>
            </w:tcMar>
          </w:tcPr>
          <w:p>
            <w:pPr>
              <w:spacing w:after="20"/>
              <w:jc w:val="left"/>
            </w:pPr>
            <w:r>
              <w:rPr>
                <w:rFonts w:ascii="Times New Roman" w:hAnsi="Times New Roman"/>
                <w:sz w:val="17"/>
              </w:rPr>
              <w:t>`kubectl get ingressclass`</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Repo-server endpoints</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7"/>
              </w:rPr>
              <w:t>`kubectl get svc,endpoints argocd-repo-server -n argocd`</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7"/>
              </w:rPr>
              <w:t>Refresh Argo CD (mutating)</w:t>
            </w:r>
          </w:p>
        </w:tc>
        <w:tc>
          <w:tcPr>
            <w:tcW w:type="dxa" w:w="4658"/>
            <w:vAlign w:val="center"/>
            <w:tcMar>
              <w:top w:w="90" w:type="dxa"/>
              <w:start w:w="100" w:type="dxa"/>
              <w:bottom w:w="90" w:type="dxa"/>
              <w:end w:w="100" w:type="dxa"/>
            </w:tcMar>
          </w:tcPr>
          <w:p>
            <w:pPr>
              <w:spacing w:after="20"/>
              <w:jc w:val="left"/>
            </w:pPr>
            <w:r>
              <w:rPr>
                <w:rFonts w:ascii="Times New Roman" w:hAnsi="Times New Roman"/>
                <w:sz w:val="17"/>
              </w:rPr>
              <w:t>`kubectl annotate application secure-notes -n argocd argocd.argoproj.io/refresh=hard --overwrite`</w:t>
            </w:r>
          </w:p>
        </w:tc>
      </w:tr>
    </w:tbl>
    <w:p>
      <w:pPr>
        <w:spacing w:after="20"/>
      </w:pPr>
    </w:p>
    <w:p>
      <w:r>
        <w:t>For a portfolio screenshot, use one terminal capture that shows node readiness, a second that shows all application pods ready and claims bound, and a third that shows the Argo CD Application synced. Do not include terminal history containing token values, database passwords, or `kubectl get secret -o yaml`.</w:t>
      </w:r>
    </w:p>
    <w:p>
      <w:r>
        <w:br w:type="page"/>
      </w:r>
    </w:p>
    <w:p>
      <w:pPr>
        <w:pStyle w:val="Heading1"/>
      </w:pPr>
      <w:r>
        <w:t>Annex D Troubleshooting decision guide</w:t>
      </w:r>
    </w:p>
    <w:p>
      <w:r>
        <w:t>This guide turns the incidents into a repeatable diagnostic sequence. Start at the nearest failing observable and move one boundary outward at a time.</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6"/>
              </w:rPr>
              <w:t>Symptom</w:t>
            </w:r>
          </w:p>
        </w:tc>
        <w:tc>
          <w:tcPr>
            <w:tcW w:type="dxa" w:w="2329"/>
            <w:shd w:fill="1F4E79"/>
            <w:vAlign w:val="center"/>
            <w:tcMar>
              <w:top w:w="90" w:type="dxa"/>
              <w:start w:w="100" w:type="dxa"/>
              <w:bottom w:w="90" w:type="dxa"/>
              <w:end w:w="100" w:type="dxa"/>
            </w:tcMar>
          </w:tcPr>
          <w:p>
            <w:r>
              <w:rPr>
                <w:b/>
                <w:color w:val="FFFFFF"/>
                <w:sz w:val="16"/>
              </w:rPr>
              <w:t>First evidence</w:t>
            </w:r>
          </w:p>
        </w:tc>
        <w:tc>
          <w:tcPr>
            <w:tcW w:type="dxa" w:w="2329"/>
            <w:shd w:fill="1F4E79"/>
            <w:vAlign w:val="center"/>
            <w:tcMar>
              <w:top w:w="90" w:type="dxa"/>
              <w:start w:w="100" w:type="dxa"/>
              <w:bottom w:w="90" w:type="dxa"/>
              <w:end w:w="100" w:type="dxa"/>
            </w:tcMar>
          </w:tcPr>
          <w:p>
            <w:r>
              <w:rPr>
                <w:b/>
                <w:color w:val="FFFFFF"/>
                <w:sz w:val="16"/>
              </w:rPr>
              <w:t>Likely owner</w:t>
            </w:r>
          </w:p>
        </w:tc>
        <w:tc>
          <w:tcPr>
            <w:tcW w:type="dxa" w:w="2329"/>
            <w:shd w:fill="1F4E79"/>
            <w:vAlign w:val="center"/>
            <w:tcMar>
              <w:top w:w="90" w:type="dxa"/>
              <w:start w:w="100" w:type="dxa"/>
              <w:bottom w:w="90" w:type="dxa"/>
              <w:end w:w="100" w:type="dxa"/>
            </w:tcMar>
          </w:tcPr>
          <w:p>
            <w:r>
              <w:rPr>
                <w:b/>
                <w:color w:val="FFFFFF"/>
                <w:sz w:val="16"/>
              </w:rPr>
              <w:t>Next check</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Pipeline shows no jobs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CI lint / pipeline editor error</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`.gitlab-ci.yml`</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Fix YAML or workflow/rules before runner troubleshooting</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Image push says insufficient scopes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Registry log after docker push</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Docker Hub token</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Verify account/repository scope and CI variable names</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Manifest push gets HTTP Basic denied</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Git push job log</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GitLab job token policy or URL</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Check HTTPS URL and project job-token write permissions</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Argo shows 403 fetching source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Application condition + ls-remote test</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GitLab repo credential</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Confirm token user, read_repository, membership, expiry</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Argo says repo-server connection refused</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Repo-server pods/service/endpoints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Cluster service health</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Compare ready endpoints with active server pods</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PVC Pending</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PVC events and StorageClass list</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Kubernetes storage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Check provisioner, default class, pod scheduling, node directory permissions</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Pod Running but not Ready</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describe pod, probe events, logs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Container startup/dependencies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Check DB readiness, ports, probe timings and secret refs</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NodePort unreachable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Service/Ingress and browser network</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Traefik, VM networking, firewall</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Check NodePort, class, node IP, VMware adapter and LAN route</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UI says Failed to fetch</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Browser network console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Frontend URL or gateway route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Remove remote-client localhost; use same-origin API path</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Browser asks for basic credentials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Address and port</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Likely wrong service/port</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Confirm app URL; Argo CD port-forward is a different interface</w:t>
            </w:r>
          </w:p>
        </w:tc>
      </w:tr>
    </w:tbl>
    <w:p>
      <w:pPr>
        <w:spacing w:after="20"/>
      </w:pPr>
    </w:p>
    <w:p>
      <w:r>
        <w:br w:type="page"/>
      </w:r>
    </w:p>
    <w:p>
      <w:pPr>
        <w:pStyle w:val="Heading1"/>
      </w:pPr>
      <w:r>
        <w:t>Annex E Verification matrix and evidence checklist</w:t>
      </w:r>
    </w:p>
    <w:p>
      <w:r>
        <w:t>The checklist is intended to make a future demonstration honest and repeatable. It distinguishes configuration presence from observed behaviour.</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7"/>
              </w:rPr>
              <w:t>Area</w:t>
            </w:r>
          </w:p>
        </w:tc>
        <w:tc>
          <w:tcPr>
            <w:tcW w:type="dxa" w:w="2329"/>
            <w:shd w:fill="1F4E79"/>
            <w:vAlign w:val="center"/>
            <w:tcMar>
              <w:top w:w="90" w:type="dxa"/>
              <w:start w:w="100" w:type="dxa"/>
              <w:bottom w:w="90" w:type="dxa"/>
              <w:end w:w="100" w:type="dxa"/>
            </w:tcMar>
          </w:tcPr>
          <w:p>
            <w:r>
              <w:rPr>
                <w:b/>
                <w:color w:val="FFFFFF"/>
                <w:sz w:val="17"/>
              </w:rPr>
              <w:t>Before demo</w:t>
            </w:r>
          </w:p>
        </w:tc>
        <w:tc>
          <w:tcPr>
            <w:tcW w:type="dxa" w:w="2329"/>
            <w:shd w:fill="1F4E79"/>
            <w:vAlign w:val="center"/>
            <w:tcMar>
              <w:top w:w="90" w:type="dxa"/>
              <w:start w:w="100" w:type="dxa"/>
              <w:bottom w:w="90" w:type="dxa"/>
              <w:end w:w="100" w:type="dxa"/>
            </w:tcMar>
          </w:tcPr>
          <w:p>
            <w:r>
              <w:rPr>
                <w:b/>
                <w:color w:val="FFFFFF"/>
                <w:sz w:val="17"/>
              </w:rPr>
              <w:t>Evidence to capture</w:t>
            </w:r>
          </w:p>
        </w:tc>
        <w:tc>
          <w:tcPr>
            <w:tcW w:type="dxa" w:w="2329"/>
            <w:shd w:fill="1F4E79"/>
            <w:vAlign w:val="center"/>
            <w:tcMar>
              <w:top w:w="90" w:type="dxa"/>
              <w:start w:w="100" w:type="dxa"/>
              <w:bottom w:w="90" w:type="dxa"/>
              <w:end w:w="100" w:type="dxa"/>
            </w:tcMar>
          </w:tcPr>
          <w:p>
            <w:r>
              <w:rPr>
                <w:b/>
                <w:color w:val="FFFFFF"/>
                <w:sz w:val="17"/>
              </w:rPr>
              <w:t>Sensitive data to exclude</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VMs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Both guests powered on; network mode checked</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VM console or IP addresses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VM account password</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Kubernetes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Nodes Ready</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`kubectl get nodes -o wide`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No cluster credentials</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Workload</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All app and DB pods Ready</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`kubectl get pods -n secure-notes -o wide`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No environment values</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Persistence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Both claims Bound</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PVC list with class and capacity</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No Secret objects</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GitOps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Application Synced and Healthy when settled</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Argo application status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Repository token</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CI</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Latest relevant pipeline succeeded</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GitLab job view without variable values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Masked variables, tokens</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Network</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Browser can access VM private IP:30080</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Address bar and app page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User email/password; redact personal data</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7"/>
              </w:rPr>
              <w:t>App</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Sign-up/login and notes flow works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Browser walkthrough on test account</w:t>
            </w:r>
          </w:p>
        </w:tc>
        <w:tc>
          <w:tcPr>
            <w:tcW w:type="dxa" w:w="2329"/>
            <w:vAlign w:val="center"/>
            <w:tcMar>
              <w:top w:w="90" w:type="dxa"/>
              <w:start w:w="100" w:type="dxa"/>
              <w:bottom w:w="90" w:type="dxa"/>
              <w:end w:w="100" w:type="dxa"/>
            </w:tcMar>
          </w:tcPr>
          <w:p>
            <w:pPr>
              <w:spacing w:after="20"/>
              <w:jc w:val="left"/>
            </w:pPr>
            <w:r>
              <w:rPr>
                <w:rFonts w:ascii="Times New Roman" w:hAnsi="Times New Roman"/>
                <w:sz w:val="17"/>
              </w:rPr>
              <w:t>Never show real personal account credentials</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Limitations</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State private LAN and local storage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Report conclusion/diagram</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7"/>
              </w:rPr>
              <w:t>Do not call it public or HA</w:t>
            </w:r>
          </w:p>
        </w:tc>
      </w:tr>
    </w:tbl>
    <w:p>
      <w:pPr>
        <w:spacing w:after="20"/>
      </w:pPr>
    </w:p>
    <w:p>
      <w:r>
        <w:t>Health status can take time to converge after a sync, especially when database initialization, image pulls, or probes are still in progress. A report of Synced with Progressing should be followed by pod and service checks. In the project, all six pods later reached 1/1 Running and the browser flow was confirmed.</w:t>
      </w:r>
    </w:p>
    <w:p>
      <w:r>
        <w:br w:type="page"/>
      </w:r>
    </w:p>
    <w:p>
      <w:pPr>
        <w:pStyle w:val="Heading1"/>
      </w:pPr>
      <w:r>
        <w:t>Annex F Risk register and improvement backlog</w:t>
      </w:r>
    </w:p>
    <w:p>
      <w:r>
        <w:t>The following table prioritises changes that would make the lab safer and easier to maintain. It does not imply that the actions have already been completed.</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1F4E79"/>
            <w:vAlign w:val="center"/>
            <w:tcMar>
              <w:top w:w="90" w:type="dxa"/>
              <w:start w:w="100" w:type="dxa"/>
              <w:bottom w:w="90" w:type="dxa"/>
              <w:end w:w="100" w:type="dxa"/>
            </w:tcMar>
          </w:tcPr>
          <w:p>
            <w:r>
              <w:rPr>
                <w:b/>
                <w:color w:val="FFFFFF"/>
                <w:sz w:val="16"/>
              </w:rPr>
              <w:t>Risk / gap</w:t>
            </w:r>
          </w:p>
        </w:tc>
        <w:tc>
          <w:tcPr>
            <w:tcW w:type="dxa" w:w="2329"/>
            <w:shd w:fill="1F4E79"/>
            <w:vAlign w:val="center"/>
            <w:tcMar>
              <w:top w:w="90" w:type="dxa"/>
              <w:start w:w="100" w:type="dxa"/>
              <w:bottom w:w="90" w:type="dxa"/>
              <w:end w:w="100" w:type="dxa"/>
            </w:tcMar>
          </w:tcPr>
          <w:p>
            <w:r>
              <w:rPr>
                <w:b/>
                <w:color w:val="FFFFFF"/>
                <w:sz w:val="16"/>
              </w:rPr>
              <w:t>Effect</w:t>
            </w:r>
          </w:p>
        </w:tc>
        <w:tc>
          <w:tcPr>
            <w:tcW w:type="dxa" w:w="2329"/>
            <w:shd w:fill="1F4E79"/>
            <w:vAlign w:val="center"/>
            <w:tcMar>
              <w:top w:w="90" w:type="dxa"/>
              <w:start w:w="100" w:type="dxa"/>
              <w:bottom w:w="90" w:type="dxa"/>
              <w:end w:w="100" w:type="dxa"/>
            </w:tcMar>
          </w:tcPr>
          <w:p>
            <w:r>
              <w:rPr>
                <w:b/>
                <w:color w:val="FFFFFF"/>
                <w:sz w:val="16"/>
              </w:rPr>
              <w:t>Priority</w:t>
            </w:r>
          </w:p>
        </w:tc>
        <w:tc>
          <w:tcPr>
            <w:tcW w:type="dxa" w:w="2329"/>
            <w:shd w:fill="1F4E79"/>
            <w:vAlign w:val="center"/>
            <w:tcMar>
              <w:top w:w="90" w:type="dxa"/>
              <w:start w:w="100" w:type="dxa"/>
              <w:bottom w:w="90" w:type="dxa"/>
              <w:end w:w="100" w:type="dxa"/>
            </w:tcMar>
          </w:tcPr>
          <w:p>
            <w:r>
              <w:rPr>
                <w:b/>
                <w:color w:val="FFFFFF"/>
                <w:sz w:val="16"/>
              </w:rPr>
              <w:t>Suggested next action</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Single worker and single control plane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Node or VM failure interrupts service/control</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High</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Document recovery; consider a resilient cluster only when resources allow</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Node-local database volumes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Data tied to worker disk; no replica</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High</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Back up both databases off-VM and test restore</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HTTP NodePort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Credentials/session traffic not encrypted on LAN</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High</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Add TLS and validate redirect/secure settings</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Manual token lifecycle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Argo repo access can expire unexpectedly</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Medium</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Use least-privileged deploy credential; record expiry and rotation owner</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Trivy exit code zero</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Findings may not block release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Medium</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Set a vulnerability threshold and exception process</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No formal secret rotation workflow</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Stale leaked credentials remain valid</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High</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Revoke/rotate immediately after exposure; automate secret delivery</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One replica per service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Maintenance or node loss causes downtime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Medium</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Scale only after resource capacity and persistence strategy are addressed</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No monitoring/central logs</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Failures may be discovered late</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Medium</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Add resource and application dashboards/log retention</w:t>
            </w:r>
          </w:p>
        </w:tc>
      </w:tr>
      <w:tr>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No automated cluster e2e test</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Manifest success can precede user-facing failure</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Medium</w:t>
            </w:r>
          </w:p>
        </w:tc>
        <w:tc>
          <w:tcPr>
            <w:tcW w:type="dxa" w:w="2329"/>
            <w:vAlign w:val="center"/>
            <w:tcMar>
              <w:top w:w="90" w:type="dxa"/>
              <w:start w:w="100" w:type="dxa"/>
              <w:bottom w:w="90" w:type="dxa"/>
              <w:end w:w="100" w:type="dxa"/>
            </w:tcMar>
            <w:shd w:fill="F4F8FB"/>
          </w:tcPr>
          <w:p>
            <w:pPr>
              <w:spacing w:after="20"/>
              <w:jc w:val="left"/>
            </w:pPr>
            <w:r>
              <w:rPr>
                <w:rFonts w:ascii="Times New Roman" w:hAnsi="Times New Roman"/>
                <w:sz w:val="16"/>
              </w:rPr>
              <w:t>Add smoke tests after deployment</w:t>
            </w:r>
          </w:p>
        </w:tc>
      </w:tr>
      <w:tr>
        <w:tc>
          <w:tcPr>
            <w:tcW w:type="dxa" w:w="2329"/>
            <w:vAlign w:val="center"/>
            <w:tcMar>
              <w:top w:w="90" w:type="dxa"/>
              <w:start w:w="100" w:type="dxa"/>
              <w:bottom w:w="90" w:type="dxa"/>
              <w:end w:w="100" w:type="dxa"/>
            </w:tcMar>
          </w:tcPr>
          <w:p>
            <w:pPr>
              <w:spacing w:after="20"/>
              <w:jc w:val="left"/>
            </w:pPr>
            <w:r>
              <w:rPr>
                <w:rFonts w:ascii="Times New Roman" w:hAnsi="Times New Roman"/>
                <w:sz w:val="16"/>
              </w:rPr>
              <w:t>Open-ended wildcard ingress host</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Host intent less explicit</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Low</w:t>
            </w:r>
          </w:p>
        </w:tc>
        <w:tc>
          <w:tcPr>
            <w:tcW w:type="dxa" w:w="2329"/>
            <w:vAlign w:val="center"/>
            <w:tcMar>
              <w:top w:w="90" w:type="dxa"/>
              <w:start w:w="100" w:type="dxa"/>
              <w:bottom w:w="90" w:type="dxa"/>
              <w:end w:w="100" w:type="dxa"/>
            </w:tcMar>
          </w:tcPr>
          <w:p>
            <w:pPr>
              <w:spacing w:after="20"/>
              <w:jc w:val="left"/>
            </w:pPr>
            <w:r>
              <w:rPr>
                <w:rFonts w:ascii="Times New Roman" w:hAnsi="Times New Roman"/>
                <w:sz w:val="16"/>
              </w:rPr>
              <w:t>Choose a local DNS name and document resolution</w:t>
            </w:r>
          </w:p>
        </w:tc>
      </w:tr>
    </w:tbl>
    <w:p>
      <w:pPr>
        <w:spacing w:after="20"/>
      </w:pPr>
    </w:p>
    <w:p>
      <w:r>
        <w:br w:type="page"/>
      </w:r>
    </w:p>
    <w:p>
      <w:pPr>
        <w:pStyle w:val="Heading1"/>
      </w:pPr>
      <w:r>
        <w:t>Annex G Subject index</w:t>
      </w:r>
    </w:p>
    <w:p>
      <w:r>
        <w:t>The index is a topic locator by section and annex, not a page-number index. Page numbers vary when the report is edited or rendered in a different Word version.</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658"/>
            <w:shd w:fill="1F4E79"/>
            <w:vAlign w:val="center"/>
            <w:tcMar>
              <w:top w:w="90" w:type="dxa"/>
              <w:start w:w="100" w:type="dxa"/>
              <w:bottom w:w="90" w:type="dxa"/>
              <w:end w:w="100" w:type="dxa"/>
            </w:tcMar>
          </w:tcPr>
          <w:p>
            <w:r>
              <w:rPr>
                <w:b/>
                <w:color w:val="FFFFFF"/>
                <w:sz w:val="18"/>
              </w:rPr>
              <w:t>Topic</w:t>
            </w:r>
          </w:p>
        </w:tc>
        <w:tc>
          <w:tcPr>
            <w:tcW w:type="dxa" w:w="4658"/>
            <w:shd w:fill="1F4E79"/>
            <w:vAlign w:val="center"/>
            <w:tcMar>
              <w:top w:w="90" w:type="dxa"/>
              <w:start w:w="100" w:type="dxa"/>
              <w:bottom w:w="90" w:type="dxa"/>
              <w:end w:w="100" w:type="dxa"/>
            </w:tcMar>
          </w:tcPr>
          <w:p>
            <w:r>
              <w:rPr>
                <w:b/>
                <w:color w:val="FFFFFF"/>
                <w:sz w:val="18"/>
              </w:rPr>
              <w:t>Where to find it</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Argo CD</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§3.3, §4.5, Annex B.1–B.2, Annex C</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8"/>
              </w:rPr>
              <w:t>Ansible</w:t>
            </w:r>
          </w:p>
        </w:tc>
        <w:tc>
          <w:tcPr>
            <w:tcW w:type="dxa" w:w="4658"/>
            <w:vAlign w:val="center"/>
            <w:tcMar>
              <w:top w:w="90" w:type="dxa"/>
              <w:start w:w="100" w:type="dxa"/>
              <w:bottom w:w="90" w:type="dxa"/>
              <w:end w:w="100" w:type="dxa"/>
            </w:tcMar>
          </w:tcPr>
          <w:p>
            <w:pPr>
              <w:spacing w:after="20"/>
              <w:jc w:val="left"/>
            </w:pPr>
            <w:r>
              <w:rPr>
                <w:rFonts w:ascii="Times New Roman" w:hAnsi="Times New Roman"/>
                <w:sz w:val="18"/>
              </w:rPr>
              <w:t>§1.2, §4.5; project structure in Annex A</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bcrypt</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§2.3, §4.1</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8"/>
              </w:rPr>
              <w:t>CI_JOB_TOKEN</w:t>
            </w:r>
          </w:p>
        </w:tc>
        <w:tc>
          <w:tcPr>
            <w:tcW w:type="dxa" w:w="4658"/>
            <w:vAlign w:val="center"/>
            <w:tcMar>
              <w:top w:w="90" w:type="dxa"/>
              <w:start w:w="100" w:type="dxa"/>
              <w:bottom w:w="90" w:type="dxa"/>
              <w:end w:w="100" w:type="dxa"/>
            </w:tcMar>
          </w:tcPr>
          <w:p>
            <w:pPr>
              <w:spacing w:after="20"/>
              <w:jc w:val="left"/>
            </w:pPr>
            <w:r>
              <w:rPr>
                <w:rFonts w:ascii="Times New Roman" w:hAnsi="Times New Roman"/>
                <w:sz w:val="18"/>
              </w:rPr>
              <w:t>§3.3, §4.4, Webography [10]</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CORS</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§4.2, incident I-02</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8"/>
              </w:rPr>
              <w:t>Docker Compose</w:t>
            </w:r>
          </w:p>
        </w:tc>
        <w:tc>
          <w:tcPr>
            <w:tcW w:type="dxa" w:w="4658"/>
            <w:vAlign w:val="center"/>
            <w:tcMar>
              <w:top w:w="90" w:type="dxa"/>
              <w:start w:w="100" w:type="dxa"/>
              <w:bottom w:w="90" w:type="dxa"/>
              <w:end w:w="100" w:type="dxa"/>
            </w:tcMar>
          </w:tcPr>
          <w:p>
            <w:pPr>
              <w:spacing w:after="20"/>
              <w:jc w:val="left"/>
            </w:pPr>
            <w:r>
              <w:rPr>
                <w:rFonts w:ascii="Times New Roman" w:hAnsi="Times New Roman"/>
                <w:sz w:val="18"/>
              </w:rPr>
              <w:t>§1.2, §4.2, Webography [13]–[14]</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Docker Hub</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§2.3, §3.3, §4.4, incident I-07</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8"/>
              </w:rPr>
              <w:t>GitLab.com</w:t>
            </w:r>
          </w:p>
        </w:tc>
        <w:tc>
          <w:tcPr>
            <w:tcW w:type="dxa" w:w="4658"/>
            <w:vAlign w:val="center"/>
            <w:tcMar>
              <w:top w:w="90" w:type="dxa"/>
              <w:start w:w="100" w:type="dxa"/>
              <w:bottom w:w="90" w:type="dxa"/>
              <w:end w:w="100" w:type="dxa"/>
            </w:tcMar>
          </w:tcPr>
          <w:p>
            <w:pPr>
              <w:spacing w:after="20"/>
              <w:jc w:val="left"/>
            </w:pPr>
            <w:r>
              <w:rPr>
                <w:rFonts w:ascii="Times New Roman" w:hAnsi="Times New Roman"/>
                <w:sz w:val="18"/>
              </w:rPr>
              <w:t>§1.3, §4.3, §4.7</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GitOps</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§3.3, §4.5</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8"/>
              </w:rPr>
              <w:t>Ingress</w:t>
            </w:r>
          </w:p>
        </w:tc>
        <w:tc>
          <w:tcPr>
            <w:tcW w:type="dxa" w:w="4658"/>
            <w:vAlign w:val="center"/>
            <w:tcMar>
              <w:top w:w="90" w:type="dxa"/>
              <w:start w:w="100" w:type="dxa"/>
              <w:bottom w:w="90" w:type="dxa"/>
              <w:end w:w="100" w:type="dxa"/>
            </w:tcMar>
          </w:tcPr>
          <w:p>
            <w:pPr>
              <w:spacing w:after="20"/>
              <w:jc w:val="left"/>
            </w:pPr>
            <w:r>
              <w:rPr>
                <w:rFonts w:ascii="Times New Roman" w:hAnsi="Times New Roman"/>
                <w:sz w:val="18"/>
              </w:rPr>
              <w:t>§3.6, §4.8, Annex B.3</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JWT</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§2.3, §3.4, §4.1, Annex B.4</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8"/>
              </w:rPr>
              <w:t>Kubernetes probes</w:t>
            </w:r>
          </w:p>
        </w:tc>
        <w:tc>
          <w:tcPr>
            <w:tcW w:type="dxa" w:w="4658"/>
            <w:vAlign w:val="center"/>
            <w:tcMar>
              <w:top w:w="90" w:type="dxa"/>
              <w:start w:w="100" w:type="dxa"/>
              <w:bottom w:w="90" w:type="dxa"/>
              <w:end w:w="100" w:type="dxa"/>
            </w:tcMar>
          </w:tcPr>
          <w:p>
            <w:pPr>
              <w:spacing w:after="20"/>
              <w:jc w:val="left"/>
            </w:pPr>
            <w:r>
              <w:rPr>
                <w:rFonts w:ascii="Times New Roman" w:hAnsi="Times New Roman"/>
                <w:sz w:val="18"/>
              </w:rPr>
              <w:t>§3.5, §4.6, Webography [6]</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local-path</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§3.5, §4.6, incident I-11</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8"/>
              </w:rPr>
              <w:t>MiniStack</w:t>
            </w:r>
          </w:p>
        </w:tc>
        <w:tc>
          <w:tcPr>
            <w:tcW w:type="dxa" w:w="4658"/>
            <w:vAlign w:val="center"/>
            <w:tcMar>
              <w:top w:w="90" w:type="dxa"/>
              <w:start w:w="100" w:type="dxa"/>
              <w:bottom w:w="90" w:type="dxa"/>
              <w:end w:w="100" w:type="dxa"/>
            </w:tcMar>
          </w:tcPr>
          <w:p>
            <w:pPr>
              <w:spacing w:after="20"/>
              <w:jc w:val="left"/>
            </w:pPr>
            <w:r>
              <w:rPr>
                <w:rFonts w:ascii="Times New Roman" w:hAnsi="Times New Roman"/>
                <w:sz w:val="18"/>
              </w:rPr>
              <w:t>§1.2, scope notes in §4.11</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NodePort</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§3.6, §4.8, Annex C</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8"/>
              </w:rPr>
              <w:t>PostgreSQL</w:t>
            </w:r>
          </w:p>
        </w:tc>
        <w:tc>
          <w:tcPr>
            <w:tcW w:type="dxa" w:w="4658"/>
            <w:vAlign w:val="center"/>
            <w:tcMar>
              <w:top w:w="90" w:type="dxa"/>
              <w:start w:w="100" w:type="dxa"/>
              <w:bottom w:w="90" w:type="dxa"/>
              <w:end w:w="100" w:type="dxa"/>
            </w:tcMar>
          </w:tcPr>
          <w:p>
            <w:pPr>
              <w:spacing w:after="20"/>
              <w:jc w:val="left"/>
            </w:pPr>
            <w:r>
              <w:rPr>
                <w:rFonts w:ascii="Times New Roman" w:hAnsi="Times New Roman"/>
                <w:sz w:val="18"/>
              </w:rPr>
              <w:t>§3.4, §4.2, §4.6</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Private access token</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§2.3, §4.5, Annex B.2</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8"/>
              </w:rPr>
              <w:t>Terraform</w:t>
            </w:r>
          </w:p>
        </w:tc>
        <w:tc>
          <w:tcPr>
            <w:tcW w:type="dxa" w:w="4658"/>
            <w:vAlign w:val="center"/>
            <w:tcMar>
              <w:top w:w="90" w:type="dxa"/>
              <w:start w:w="100" w:type="dxa"/>
              <w:bottom w:w="90" w:type="dxa"/>
              <w:end w:w="100" w:type="dxa"/>
            </w:tcMar>
          </w:tcPr>
          <w:p>
            <w:pPr>
              <w:spacing w:after="20"/>
              <w:jc w:val="left"/>
            </w:pPr>
            <w:r>
              <w:rPr>
                <w:rFonts w:ascii="Times New Roman" w:hAnsi="Times New Roman"/>
                <w:sz w:val="18"/>
              </w:rPr>
              <w:t>§1.2, scope notes in §4.11</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Traefik</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§3.6, §4.8, Annex B.3</w:t>
            </w:r>
          </w:p>
        </w:tc>
      </w:tr>
      <w:tr>
        <w:tc>
          <w:tcPr>
            <w:tcW w:type="dxa" w:w="4658"/>
            <w:vAlign w:val="center"/>
            <w:tcMar>
              <w:top w:w="90" w:type="dxa"/>
              <w:start w:w="100" w:type="dxa"/>
              <w:bottom w:w="90" w:type="dxa"/>
              <w:end w:w="100" w:type="dxa"/>
            </w:tcMar>
          </w:tcPr>
          <w:p>
            <w:pPr>
              <w:spacing w:after="20"/>
              <w:jc w:val="left"/>
            </w:pPr>
            <w:r>
              <w:rPr>
                <w:rFonts w:ascii="Times New Roman" w:hAnsi="Times New Roman"/>
                <w:sz w:val="18"/>
              </w:rPr>
              <w:t>VMware networking</w:t>
            </w:r>
          </w:p>
        </w:tc>
        <w:tc>
          <w:tcPr>
            <w:tcW w:type="dxa" w:w="4658"/>
            <w:vAlign w:val="center"/>
            <w:tcMar>
              <w:top w:w="90" w:type="dxa"/>
              <w:start w:w="100" w:type="dxa"/>
              <w:bottom w:w="90" w:type="dxa"/>
              <w:end w:w="100" w:type="dxa"/>
            </w:tcMar>
          </w:tcPr>
          <w:p>
            <w:pPr>
              <w:spacing w:after="20"/>
              <w:jc w:val="left"/>
            </w:pPr>
            <w:r>
              <w:rPr>
                <w:rFonts w:ascii="Times New Roman" w:hAnsi="Times New Roman"/>
                <w:sz w:val="18"/>
              </w:rPr>
              <w:t>§1.3, §3.6, §4.8</w:t>
            </w:r>
          </w:p>
        </w:tc>
      </w:tr>
      <w:tr>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Wi-Fi access</w:t>
            </w:r>
          </w:p>
        </w:tc>
        <w:tc>
          <w:tcPr>
            <w:tcW w:type="dxa" w:w="4658"/>
            <w:vAlign w:val="center"/>
            <w:tcMar>
              <w:top w:w="90" w:type="dxa"/>
              <w:start w:w="100" w:type="dxa"/>
              <w:bottom w:w="90" w:type="dxa"/>
              <w:end w:w="100" w:type="dxa"/>
            </w:tcMar>
            <w:shd w:fill="F4F8FB"/>
          </w:tcPr>
          <w:p>
            <w:pPr>
              <w:spacing w:after="20"/>
              <w:jc w:val="left"/>
            </w:pPr>
            <w:r>
              <w:rPr>
                <w:rFonts w:ascii="Times New Roman" w:hAnsi="Times New Roman"/>
                <w:sz w:val="18"/>
              </w:rPr>
              <w:t>§3.6, §4.8</w:t>
            </w:r>
          </w:p>
        </w:tc>
      </w:tr>
    </w:tbl>
    <w:p>
      <w:pPr>
        <w:spacing w:after="20"/>
      </w:pPr>
    </w:p>
    <w:sectPr w:rsidR="00FC693F" w:rsidRPr="0006063C" w:rsidSect="00034616">
      <w:footerReference w:type="default" r:id="rId9"/>
      <w:pgSz w:w="11909" w:h="16834"/>
      <w:pgMar w:top="1181" w:right="1224" w:bottom="1080" w:left="1368"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B6573"/>
      </w:rPr>
      <w:t xml:space="preserve">SECURE NOTES  |  DEVSECOPS AND GITOPS LAB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jc w:val="both"/>
    </w:pPr>
    <w:rPr>
      <w:rFonts w:ascii="Times New Roman" w:hAnsi="Times New Roman"/>
      <w:color w:val="202B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Times New Roman" w:hAnsi="Times New Roman"/>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496A5"/>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5482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Times New Roman" w:hAnsi="Times New Roman"/>
      <w:b w:val="0"/>
      <w:i/>
      <w:iCs/>
      <w:color w:val="1496A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Times New Roman" w:hAnsi="Times New Roman"/>
      <w:i/>
      <w:color w:val="5B6573"/>
      <w:sz w:val="18"/>
    </w:rPr>
  </w:style>
  <w:style w:type="paragraph" w:customStyle="1" w:styleId="Code">
    <w:name w:val="Code"/>
    <w:pPr>
      <w:spacing w:after="0" w:line="240" w:lineRule="auto"/>
      <w:ind w:left="259"/>
    </w:pPr>
    <w:rPr>
      <w:rFonts w:ascii="Consolas" w:hAnsi="Consolas"/>
      <w:color w:val="2437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Notes DevSecOps and GitOps Project Report</dc:title>
  <dc:subject>Independent project report on application development, CI/CD, Kubernetes, and GitOps</dc:subject>
  <dc:creator>Anas Bougraine</dc:creator>
  <cp:keywords>Secure Notes, DevSecOps, GitOps, Kubernetes, Argo CD, GitLab, Helm, Traefik</cp:keywords>
  <dc:description>generated by python-docx</dc:description>
  <cp:lastModifiedBy/>
  <cp:revision>1</cp:revision>
  <dcterms:created xsi:type="dcterms:W3CDTF">2013-12-23T23:15:00Z</dcterms:created>
  <dcterms:modified xsi:type="dcterms:W3CDTF">2013-12-23T23:15:00Z</dcterms:modified>
  <cp:category/>
</cp:coreProperties>
</file>