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10.1.2 The connection one-form</w:t>
      </w:r>
    </w:p>
    <w:p>
      <w:pPr>
        <w:pStyle w:val="BodyText"/>
      </w:pPr>
      <w:r>
        <w:t xml:space="preserve">In practical computations, we need to separate</w:t>
      </w:r>
      <w:r>
        <w:t xml:space="preserve"> </w:t>
      </w:r>
      <m:oMath>
        <m:sSub>
          <m:e>
            <m:r>
              <m:t>T</m:t>
            </m:r>
          </m:e>
          <m:sub>
            <m:r>
              <m:t>u</m:t>
            </m:r>
          </m:sub>
        </m:sSub>
        <m:r>
          <m:t>P</m:t>
        </m:r>
      </m:oMath>
      <w:r>
        <w:t xml:space="preserve"> </w:t>
      </w:r>
      <w:r>
        <w:t xml:space="preserve">into</w:t>
      </w:r>
      <w:r>
        <w:t xml:space="preserve"> </w:t>
      </w:r>
      <m:oMath>
        <m:sSub>
          <m:e>
            <m:r>
              <m:t>V</m:t>
            </m:r>
          </m:e>
          <m:sub>
            <m:r>
              <m:t>u</m:t>
            </m:r>
          </m:sub>
        </m:sSub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u</m:t>
            </m:r>
          </m:sub>
        </m:sSub>
        <m:r>
          <m:t>P</m:t>
        </m:r>
      </m:oMath>
      <w:r>
        <w:t xml:space="preserve"> </w:t>
      </w:r>
      <w:r>
        <w:t xml:space="preserve">in a systematic way. This can be achieved by introducing a Lie-algebra-valued one-form</w:t>
      </w:r>
      <w:r>
        <w:t xml:space="preserve"> </w:t>
      </w:r>
      <m:oMath>
        <m:r>
          <m:t>ω</m:t>
        </m:r>
        <m:r>
          <m:t>∈</m:t>
        </m:r>
        <m:r>
          <m:rPr>
            <m:sty m:val="p"/>
            <m:scr m:val="fraktur"/>
          </m:rPr>
          <m:t>g</m:t>
        </m:r>
        <m:r>
          <m:t>⊗</m:t>
        </m:r>
        <m:sSup>
          <m:e>
            <m:r>
              <m:t>T</m:t>
            </m:r>
          </m:e>
          <m:sup>
            <m:r>
              <m:t>*</m:t>
            </m:r>
          </m:sup>
        </m:sSup>
        <m:r>
          <m:t>P</m:t>
        </m:r>
      </m:oMath>
      <w:r>
        <w:t xml:space="preserve"> </w:t>
      </w:r>
      <w:r>
        <w:t xml:space="preserve">called the connection one-form.</w:t>
      </w:r>
    </w:p>
    <w:p>
      <w:pPr>
        <w:pStyle w:val="BodyText"/>
      </w:pPr>
      <w:r>
        <w:t xml:space="preserve">Definition 10.2. A connection one-form</w:t>
      </w:r>
      <w:r>
        <w:t xml:space="preserve"> </w:t>
      </w:r>
      <m:oMath>
        <m:r>
          <m:t>ω</m:t>
        </m:r>
        <m:r>
          <m:t>∈</m:t>
        </m:r>
        <m:r>
          <m:rPr>
            <m:sty m:val="p"/>
            <m:scr m:val="fraktur"/>
          </m:rPr>
          <m:t>g</m:t>
        </m:r>
        <m:r>
          <m:t>⊗</m:t>
        </m:r>
        <m:sSup>
          <m:e>
            <m:r>
              <m:t>T</m:t>
            </m:r>
          </m:e>
          <m:sup>
            <m:r>
              <m:t>*</m:t>
            </m:r>
          </m:sup>
        </m:sSup>
        <m:r>
          <m:t>P</m:t>
        </m:r>
      </m:oMath>
      <w:r>
        <w:t xml:space="preserve"> </w:t>
      </w:r>
      <w:r>
        <w:t xml:space="preserve">is a projection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u</m:t>
            </m:r>
          </m:sub>
        </m:sSub>
        <m:r>
          <m:t>P</m:t>
        </m:r>
      </m:oMath>
      <w:r>
        <w:t xml:space="preserve"> </w:t>
      </w:r>
      <w:r>
        <w:t xml:space="preserve">onto the vertical component</w:t>
      </w:r>
      <w:r>
        <w:t xml:space="preserve"> </w:t>
      </w:r>
      <m:oMath>
        <m:sSub>
          <m:e>
            <m:r>
              <m:t>V</m:t>
            </m:r>
          </m:e>
          <m:sub>
            <m:r>
              <m:t>u</m:t>
            </m:r>
          </m:sub>
        </m:sSub>
        <m:r>
          <m:t>P</m:t>
        </m:r>
        <m:r>
          <m:t>≃</m:t>
        </m:r>
        <m:r>
          <m:rPr>
            <m:sty m:val="p"/>
            <m:scr m:val="fraktur"/>
          </m:rPr>
          <m:t>g</m:t>
        </m:r>
      </m:oMath>
      <w:r>
        <w:t xml:space="preserve">. The projection property is summarized by the following requirements,</w:t>
      </w:r>
    </w:p>
    <w:p>
      <w:pPr>
        <w:pStyle w:val="BodyText"/>
      </w:pPr>
      <w:r>
        <w:t xml:space="preserve">(i)</w:t>
      </w:r>
      <w:r>
        <w:t xml:space="preserve"> </w:t>
      </w:r>
      <m:oMath>
        <m:r>
          <m:t>ω</m:t>
        </m:r>
        <m:r>
          <m:t>(</m:t>
        </m:r>
        <m:sSup>
          <m:e>
            <m:r>
              <m:t>A</m:t>
            </m:r>
          </m:e>
          <m:sup>
            <m:r>
              <m:t>#</m:t>
            </m:r>
          </m:sup>
        </m:sSup>
        <m:r>
          <m:t>)</m:t>
        </m:r>
        <m:r>
          <m:t>=</m:t>
        </m:r>
        <m:r>
          <m:t>A</m:t>
        </m:r>
        <m:r>
          <m:t> </m:t>
        </m:r>
        <m:r>
          <m:t>A</m:t>
        </m:r>
        <m:r>
          <m:t>∈</m:t>
        </m:r>
        <m:r>
          <m:rPr>
            <m:sty m:val="p"/>
            <m:scr m:val="fraktur"/>
          </m:rPr>
          <m:t>g</m:t>
        </m:r>
      </m:oMath>
    </w:p>
    <w:p>
      <w:pPr>
        <w:pStyle w:val="BodyText"/>
      </w:pPr>
      <w:r>
        <w:t xml:space="preserve">(ii)</w:t>
      </w:r>
      <w:r>
        <w:t xml:space="preserve"> </w:t>
      </w:r>
      <m:oMath>
        <m:sSubSup>
          <m:e>
            <m:r>
              <m:t>R</m:t>
            </m:r>
          </m:e>
          <m:sub>
            <m:r>
              <m:t>g</m:t>
            </m:r>
          </m:sub>
          <m:sup>
            <m:r>
              <m:t>*</m:t>
            </m:r>
          </m:sup>
        </m:sSubSup>
        <m:r>
          <m:t>ω</m:t>
        </m:r>
        <m:r>
          <m:t>=</m:t>
        </m:r>
        <m:sSub>
          <m:e>
            <m:r>
              <m:rPr>
                <m:nor/>
                <m:sty m:val="p"/>
              </m:rPr>
              <m:t>Ad</m:t>
            </m:r>
          </m:e>
          <m:sub>
            <m:sSup>
              <m:e>
                <m:r>
                  <m:t>g</m:t>
                </m:r>
              </m:e>
              <m:sup>
                <m:r>
                  <m:t>−</m:t>
                </m:r>
                <m:r>
                  <m:t>1</m:t>
                </m:r>
              </m:sup>
            </m:sSup>
          </m:sub>
        </m:sSub>
        <m:r>
          <m:t>ω</m:t>
        </m:r>
      </m:oMath>
    </w:p>
    <w:p>
      <w:pPr>
        <w:pStyle w:val="BodyText"/>
      </w:pPr>
      <w:r>
        <w:t xml:space="preserve">that is, for</w:t>
      </w:r>
      <w:r>
        <w:t xml:space="preserve"> </w:t>
      </w:r>
      <m:oMath>
        <m:r>
          <m:t>X</m:t>
        </m:r>
        <m:r>
          <m:t>∈</m:t>
        </m:r>
        <m:sSub>
          <m:e>
            <m:r>
              <m:t>T</m:t>
            </m:r>
          </m:e>
          <m:sub>
            <m:r>
              <m:t>u</m:t>
            </m:r>
          </m:sub>
        </m:sSub>
        <m:r>
          <m:t>P</m:t>
        </m:r>
      </m:oMath>
      <w:r>
        <w:t xml:space="preserve">,</w:t>
      </w:r>
    </w:p>
    <w:p>
      <w:pPr>
        <w:pStyle w:val="BodyText"/>
      </w:pPr>
      <m:oMath>
        <m:sSubSup>
          <m:e>
            <m:r>
              <m:t>R</m:t>
            </m:r>
          </m:e>
          <m:sub>
            <m:r>
              <m:t>g</m:t>
            </m:r>
          </m:sub>
          <m:sup>
            <m:r>
              <m:t>*</m:t>
            </m:r>
          </m:sup>
        </m:sSubSup>
        <m:sSub>
          <m:e>
            <m:r>
              <m:t>ω</m:t>
            </m:r>
          </m:e>
          <m:sub>
            <m:r>
              <m:rPr>
                <m:nor/>
                <m:sty m:val="p"/>
              </m:rPr>
              <m:t>ug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sSub>
          <m:e>
            <m:r>
              <m:t>ω</m:t>
            </m:r>
          </m:e>
          <m:sub>
            <m:r>
              <m:rPr>
                <m:nor/>
                <m:sty m:val="p"/>
              </m:rPr>
              <m:t>ug</m:t>
            </m:r>
          </m:sub>
        </m:sSub>
        <m:r>
          <m:t>(</m:t>
        </m:r>
        <m:sSub>
          <m:e>
            <m:r>
              <m:t>R</m:t>
            </m:r>
          </m:e>
          <m:sub>
            <m:r>
              <m:t>g</m:t>
            </m:r>
          </m:sub>
        </m:sSub>
        <m:r>
          <m:t>X</m:t>
        </m:r>
        <m:r>
          <m:t>)</m:t>
        </m:r>
        <m:r>
          <m:t>=</m:t>
        </m:r>
        <m:sSup>
          <m:e>
            <m:r>
              <m:t>g</m:t>
            </m:r>
          </m:e>
          <m:sup>
            <m:r>
              <m:t>−</m:t>
            </m:r>
            <m:r>
              <m:t>1</m:t>
            </m:r>
          </m:sup>
        </m:sSup>
        <m:sSub>
          <m:e>
            <m:r>
              <m:t>ω</m:t>
            </m:r>
          </m:e>
          <m:sub>
            <m:r>
              <m:t>u</m:t>
            </m:r>
          </m:sub>
        </m:sSub>
        <m:r>
          <m:t>(</m:t>
        </m:r>
        <m:r>
          <m:t>X</m:t>
        </m:r>
        <m:r>
          <m:t>)</m:t>
        </m:r>
        <m:r>
          <m:t>g</m:t>
        </m:r>
      </m:oMath>
      <w:r>
        <w:t xml:space="preserve">.</w:t>
      </w:r>
    </w:p>
    <w:p>
      <w:pPr>
        <w:pStyle w:val="BodyText"/>
      </w:pPr>
      <w:r>
        <w:t xml:space="preserve">Define the horizontal subspace</w:t>
      </w:r>
      <w:r>
        <w:t xml:space="preserve"> </w:t>
      </w:r>
      <m:oMath>
        <m:sSub>
          <m:e>
            <m:r>
              <m:t>H</m:t>
            </m:r>
          </m:e>
          <m:sub>
            <m:r>
              <m:t>u</m:t>
            </m:r>
          </m:sub>
        </m:sSub>
        <m:r>
          <m:t>P</m:t>
        </m:r>
      </m:oMath>
      <w:r>
        <w:t xml:space="preserve"> </w:t>
      </w:r>
      <w:r>
        <w:t xml:space="preserve">by the kernel of</w:t>
      </w:r>
      <w:r>
        <w:t xml:space="preserve"> </w:t>
      </w:r>
      <m:oMath>
        <m:r>
          <m:t>ω</m:t>
        </m:r>
      </m:oMath>
      <w:r>
        <w:t xml:space="preserve">,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u</m:t>
            </m:r>
          </m:sub>
        </m:sSub>
        <m:r>
          <m:t>P</m:t>
        </m:r>
        <m:r>
          <m:t>≡</m:t>
        </m:r>
        <m:r>
          <m:t>{</m:t>
        </m:r>
        <m:r>
          <m:t>X</m:t>
        </m:r>
        <m:r>
          <m:t>∈</m:t>
        </m:r>
        <m:sSub>
          <m:e>
            <m:r>
              <m:t>T</m:t>
            </m:r>
          </m:e>
          <m:sub>
            <m:r>
              <m:t>u</m:t>
            </m:r>
          </m:sub>
        </m:sSub>
        <m:r>
          <m:t>P</m:t>
        </m:r>
        <m:r>
          <m:t>∣</m:t>
        </m:r>
        <m:r>
          <m:t>ω</m:t>
        </m:r>
        <m:r>
          <m:t>(</m:t>
        </m:r>
        <m:r>
          <m:t>X</m:t>
        </m:r>
        <m:r>
          <m:t>)</m:t>
        </m:r>
        <m:r>
          <m:t>=</m:t>
        </m:r>
        <m:r>
          <m:t>0</m:t>
        </m:r>
        <m:r>
          <m:t>}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2025-06-30T00:12:19Z</dcterms:created>
  <dcterms:modified xsi:type="dcterms:W3CDTF">2025-06-30T00:12:19Z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