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1B2D" w14:textId="77777777" w:rsidR="00EF75E4" w:rsidRDefault="00000000">
      <w:pPr>
        <w:spacing w:after="40"/>
        <w:jc w:val="center"/>
      </w:pPr>
      <w:r>
        <w:rPr>
          <w:b/>
          <w:bCs/>
          <w:sz w:val="30"/>
          <w:szCs w:val="30"/>
        </w:rPr>
        <w:t>Informe técnico — Pipeline de datos del macroentorno ecuatoriano</w:t>
      </w:r>
    </w:p>
    <w:p w14:paraId="264F66F7" w14:textId="77777777" w:rsidR="00EF75E4" w:rsidRDefault="00000000">
      <w:pPr>
        <w:spacing w:after="240"/>
        <w:jc w:val="center"/>
      </w:pPr>
      <w:r>
        <w:rPr>
          <w:i/>
          <w:iCs/>
          <w:color w:val="555555"/>
        </w:rPr>
        <w:t>Prácticum Interno — Línea de Datos: Ingeniería, Analítica y Visualización · UTPL</w:t>
      </w:r>
    </w:p>
    <w:p w14:paraId="4F2DCE7F" w14:textId="77777777" w:rsidR="00EF75E4" w:rsidRPr="00A433C7" w:rsidRDefault="00000000">
      <w:pPr>
        <w:pStyle w:val="Ttulo1"/>
        <w:spacing w:before="200" w:after="120"/>
        <w:rPr>
          <w:b/>
          <w:color w:val="auto"/>
        </w:rPr>
      </w:pPr>
      <w:r w:rsidRPr="00A433C7">
        <w:rPr>
          <w:b/>
          <w:color w:val="auto"/>
        </w:rPr>
        <w:t>1. Arquitectura de la solución</w:t>
      </w:r>
    </w:p>
    <w:p w14:paraId="2B57C3E4" w14:textId="77777777" w:rsidR="00EF75E4" w:rsidRDefault="00000000">
      <w:pPr>
        <w:spacing w:after="100"/>
      </w:pPr>
      <w:r>
        <w:t>El pipeline sigue el modelo medallón (</w:t>
      </w:r>
      <w:proofErr w:type="spellStart"/>
      <w:r>
        <w:t>Bronze</w:t>
      </w:r>
      <w:proofErr w:type="spellEnd"/>
      <w:r>
        <w:t xml:space="preserve"> → Silver → Gold) sobre una base SQLite, orquestado por dos scripts complementarios:</w:t>
      </w:r>
    </w:p>
    <w:p w14:paraId="6102CEED" w14:textId="77777777" w:rsidR="00EF75E4" w:rsidRDefault="00000000">
      <w:pPr>
        <w:pStyle w:val="Prrafodelista"/>
        <w:numPr>
          <w:ilvl w:val="0"/>
          <w:numId w:val="1"/>
        </w:numPr>
        <w:spacing w:after="60"/>
      </w:pPr>
      <w:r>
        <w:t xml:space="preserve">load.py — carga total inicial: limpia las fuentes descargadas manualmente en Excel (BCE, MINEDUC, </w:t>
      </w:r>
      <w:proofErr w:type="spellStart"/>
      <w:r>
        <w:t>Supercias</w:t>
      </w:r>
      <w:proofErr w:type="spellEnd"/>
      <w:r>
        <w:t>) y reconstruye la base desde cero.</w:t>
      </w:r>
    </w:p>
    <w:p w14:paraId="43C956C7" w14:textId="77777777" w:rsidR="00EF75E4" w:rsidRDefault="00000000">
      <w:pPr>
        <w:pStyle w:val="Prrafodelista"/>
        <w:numPr>
          <w:ilvl w:val="0"/>
          <w:numId w:val="1"/>
        </w:numPr>
        <w:spacing w:after="60"/>
      </w:pPr>
      <w:r>
        <w:t>pipeline.py — carga incremental: detecta archivos .</w:t>
      </w:r>
      <w:proofErr w:type="spellStart"/>
      <w:r>
        <w:t>sql</w:t>
      </w:r>
      <w:proofErr w:type="spellEnd"/>
      <w:r>
        <w:t xml:space="preserve"> nuevos entregados por el equipo de RPA en la carpeta </w:t>
      </w:r>
      <w:proofErr w:type="spellStart"/>
      <w:r>
        <w:t>datos_macroentorno</w:t>
      </w:r>
      <w:proofErr w:type="spellEnd"/>
      <w:r>
        <w:t xml:space="preserve">, los </w:t>
      </w:r>
      <w:proofErr w:type="spellStart"/>
      <w:r>
        <w:t>parsea</w:t>
      </w:r>
      <w:proofErr w:type="spellEnd"/>
      <w:r>
        <w:t xml:space="preserve">, limpia y hace </w:t>
      </w:r>
      <w:proofErr w:type="spellStart"/>
      <w:r>
        <w:t>upsert</w:t>
      </w:r>
      <w:proofErr w:type="spellEnd"/>
      <w:r>
        <w:t xml:space="preserve"> contra la base ya existente, sin borrar lo previamente cargado.</w:t>
      </w:r>
    </w:p>
    <w:p w14:paraId="1E12F3BA" w14:textId="77777777" w:rsidR="00EF75E4" w:rsidRDefault="00000000">
      <w:pPr>
        <w:spacing w:after="100"/>
      </w:pPr>
      <w:r>
        <w:t>La capa Silver está normalizada en dos dimensiones compartidas (</w:t>
      </w:r>
      <w:proofErr w:type="spellStart"/>
      <w:r>
        <w:t>dim_ubicacion</w:t>
      </w:r>
      <w:proofErr w:type="spellEnd"/>
      <w:r>
        <w:t xml:space="preserve">, </w:t>
      </w:r>
      <w:proofErr w:type="spellStart"/>
      <w:r>
        <w:t>dim_periodo</w:t>
      </w:r>
      <w:proofErr w:type="spellEnd"/>
      <w:r>
        <w:t xml:space="preserve">) y seis tablas de hechos: </w:t>
      </w:r>
      <w:proofErr w:type="spellStart"/>
      <w:r>
        <w:t>fact_macroeconomia_anual</w:t>
      </w:r>
      <w:proofErr w:type="spellEnd"/>
      <w:r>
        <w:t xml:space="preserve">, </w:t>
      </w:r>
      <w:proofErr w:type="spellStart"/>
      <w:r>
        <w:t>fact_indicadores_mercado</w:t>
      </w:r>
      <w:proofErr w:type="spellEnd"/>
      <w:r>
        <w:t xml:space="preserve">, </w:t>
      </w:r>
      <w:proofErr w:type="spellStart"/>
      <w:r>
        <w:t>fact_expectativas_empresariales</w:t>
      </w:r>
      <w:proofErr w:type="spellEnd"/>
      <w:r>
        <w:t xml:space="preserve">, </w:t>
      </w:r>
      <w:proofErr w:type="spellStart"/>
      <w:r>
        <w:t>fact_valor_agregado</w:t>
      </w:r>
      <w:proofErr w:type="spellEnd"/>
      <w:r>
        <w:t xml:space="preserve">, </w:t>
      </w:r>
      <w:proofErr w:type="spellStart"/>
      <w:r>
        <w:t>fact_educacion</w:t>
      </w:r>
      <w:proofErr w:type="spellEnd"/>
      <w:r>
        <w:t xml:space="preserve">, </w:t>
      </w:r>
      <w:proofErr w:type="spellStart"/>
      <w:r>
        <w:t>fact_directorio_empresas</w:t>
      </w:r>
      <w:proofErr w:type="spellEnd"/>
      <w:r>
        <w:t xml:space="preserve"> y </w:t>
      </w:r>
      <w:proofErr w:type="spellStart"/>
      <w:r>
        <w:t>fact_ranking_empresas</w:t>
      </w:r>
      <w:proofErr w:type="spellEnd"/>
      <w:r>
        <w:t xml:space="preserve"> (esta última se detalla en la sección 3). La capa Gold expone cuatro vistas que resuelven directamente las tres preguntas analíticas del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gold_tendencia_pib</w:t>
      </w:r>
      <w:proofErr w:type="spellEnd"/>
      <w:r>
        <w:t xml:space="preserve">, </w:t>
      </w:r>
      <w:proofErr w:type="spellStart"/>
      <w:r>
        <w:t>gold_wti_promedio_movil</w:t>
      </w:r>
      <w:proofErr w:type="spellEnd"/>
      <w:r>
        <w:t xml:space="preserve">, </w:t>
      </w:r>
      <w:proofErr w:type="spellStart"/>
      <w:r>
        <w:t>gold_provincia_empresas</w:t>
      </w:r>
      <w:proofErr w:type="spellEnd"/>
      <w:r>
        <w:t xml:space="preserve">, </w:t>
      </w:r>
      <w:proofErr w:type="spellStart"/>
      <w:r>
        <w:t>gold_relacion_bachilleres_empresas</w:t>
      </w:r>
      <w:proofErr w:type="spellEnd"/>
      <w:r>
        <w:t>).</w:t>
      </w:r>
    </w:p>
    <w:p w14:paraId="581CDB78" w14:textId="77777777" w:rsidR="00EF75E4" w:rsidRDefault="00000000">
      <w:pPr>
        <w:spacing w:after="100"/>
      </w:pPr>
      <w:r>
        <w:t xml:space="preserve">El </w:t>
      </w:r>
      <w:proofErr w:type="spellStart"/>
      <w:r>
        <w:t>parser</w:t>
      </w:r>
      <w:proofErr w:type="spellEnd"/>
      <w:r>
        <w:t xml:space="preserve"> del RPA (</w:t>
      </w:r>
      <w:proofErr w:type="spellStart"/>
      <w:r>
        <w:t>transform</w:t>
      </w:r>
      <w:proofErr w:type="spellEnd"/>
      <w:r>
        <w:t xml:space="preserve">/rpa_parser.py) procesa los </w:t>
      </w:r>
      <w:proofErr w:type="spellStart"/>
      <w:r>
        <w:t>dumps</w:t>
      </w:r>
      <w:proofErr w:type="spellEnd"/>
      <w:r>
        <w:t xml:space="preserve"> de Oracle en modo </w:t>
      </w:r>
      <w:proofErr w:type="spellStart"/>
      <w:r>
        <w:t>streaming</w:t>
      </w:r>
      <w:proofErr w:type="spellEnd"/>
      <w:r>
        <w:t xml:space="preserve"> (línea por línea, sin cargar el archivo completo en memoria), lo que permitió procesar sin problema un archivo de 2.37 GB con 1.67 millones de filas.</w:t>
      </w:r>
    </w:p>
    <w:p w14:paraId="661C6D92" w14:textId="77777777" w:rsidR="00EF75E4" w:rsidRPr="00A433C7" w:rsidRDefault="00000000">
      <w:pPr>
        <w:pStyle w:val="Ttulo1"/>
        <w:spacing w:before="200" w:after="120"/>
        <w:rPr>
          <w:b/>
          <w:color w:val="auto"/>
        </w:rPr>
      </w:pPr>
      <w:r w:rsidRPr="00A433C7">
        <w:rPr>
          <w:b/>
          <w:color w:val="auto"/>
        </w:rPr>
        <w:t>2. Decisiones de limpieza por fuente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3580"/>
      </w:tblGrid>
      <w:tr w:rsidR="00EF75E4" w14:paraId="3FF47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F5496"/>
          </w:tcPr>
          <w:p w14:paraId="6BA47837" w14:textId="77777777" w:rsidR="00EF75E4" w:rsidRDefault="00000000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4300" w:type="dxa"/>
            <w:shd w:val="clear" w:color="auto" w:fill="2F5496"/>
          </w:tcPr>
          <w:p w14:paraId="1FA4D1B0" w14:textId="77777777" w:rsidR="00EF75E4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 detectado</w:t>
            </w:r>
          </w:p>
        </w:tc>
        <w:tc>
          <w:tcPr>
            <w:tcW w:w="3580" w:type="dxa"/>
            <w:shd w:val="clear" w:color="auto" w:fill="2F5496"/>
          </w:tcPr>
          <w:p w14:paraId="110D2295" w14:textId="77777777" w:rsidR="00EF75E4" w:rsidRDefault="00000000">
            <w:r>
              <w:rPr>
                <w:b/>
                <w:bCs/>
                <w:color w:val="FFFFFF"/>
                <w:sz w:val="19"/>
                <w:szCs w:val="19"/>
              </w:rPr>
              <w:t>Decisión de limpieza</w:t>
            </w:r>
          </w:p>
        </w:tc>
      </w:tr>
      <w:tr w:rsidR="00EF75E4" w14:paraId="5AE65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DAC03F" w14:textId="77777777" w:rsidR="00EF75E4" w:rsidRDefault="00000000">
            <w:r>
              <w:rPr>
                <w:sz w:val="19"/>
                <w:szCs w:val="19"/>
              </w:rPr>
              <w:t>BCE — PIB</w:t>
            </w:r>
          </w:p>
        </w:tc>
        <w:tc>
          <w:tcPr>
            <w:tcW w:w="4300" w:type="dxa"/>
          </w:tcPr>
          <w:p w14:paraId="030DEA23" w14:textId="77777777" w:rsidR="00EF75E4" w:rsidRDefault="00000000">
            <w:r>
              <w:rPr>
                <w:sz w:val="19"/>
                <w:szCs w:val="19"/>
              </w:rPr>
              <w:t>Fila del primer año de la serie sin variación interanual calculable.</w:t>
            </w:r>
          </w:p>
        </w:tc>
        <w:tc>
          <w:tcPr>
            <w:tcW w:w="3580" w:type="dxa"/>
          </w:tcPr>
          <w:p w14:paraId="47DBEB80" w14:textId="77777777" w:rsidR="00EF75E4" w:rsidRDefault="00000000">
            <w:r>
              <w:rPr>
                <w:sz w:val="19"/>
                <w:szCs w:val="19"/>
              </w:rPr>
              <w:t>Se conserva con nulo explícito; la vista Gold lo etiqueta como "sin dato base".</w:t>
            </w:r>
          </w:p>
        </w:tc>
      </w:tr>
      <w:tr w:rsidR="00EF75E4" w14:paraId="7BCCD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769008" w14:textId="77777777" w:rsidR="00EF75E4" w:rsidRDefault="00000000">
            <w:r>
              <w:rPr>
                <w:sz w:val="19"/>
                <w:szCs w:val="19"/>
              </w:rPr>
              <w:t>BCE — VAB (Excel)</w:t>
            </w:r>
          </w:p>
        </w:tc>
        <w:tc>
          <w:tcPr>
            <w:tcW w:w="4300" w:type="dxa"/>
          </w:tcPr>
          <w:p w14:paraId="29806956" w14:textId="77777777" w:rsidR="00EF75E4" w:rsidRDefault="00000000">
            <w:r>
              <w:rPr>
                <w:sz w:val="19"/>
                <w:szCs w:val="19"/>
              </w:rPr>
              <w:t>Duplicados en la combinación año/cantón/sector.</w:t>
            </w:r>
          </w:p>
        </w:tc>
        <w:tc>
          <w:tcPr>
            <w:tcW w:w="3580" w:type="dxa"/>
          </w:tcPr>
          <w:p w14:paraId="3E55C755" w14:textId="77777777" w:rsidR="00EF75E4" w:rsidRDefault="00000000">
            <w:r>
              <w:rPr>
                <w:sz w:val="19"/>
                <w:szCs w:val="19"/>
              </w:rPr>
              <w:t>Se descarta el duplicado, se conserva la última ocurrencia.</w:t>
            </w:r>
          </w:p>
        </w:tc>
      </w:tr>
      <w:tr w:rsidR="00EF75E4" w14:paraId="2D934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DA5E564" w14:textId="77777777" w:rsidR="00EF75E4" w:rsidRDefault="00000000">
            <w:r>
              <w:rPr>
                <w:sz w:val="19"/>
                <w:szCs w:val="19"/>
              </w:rPr>
              <w:t>RPA — VAB_CANTONAL_CIIU</w:t>
            </w:r>
          </w:p>
        </w:tc>
        <w:tc>
          <w:tcPr>
            <w:tcW w:w="4300" w:type="dxa"/>
          </w:tcPr>
          <w:p w14:paraId="605E359F" w14:textId="77777777" w:rsidR="00EF75E4" w:rsidRDefault="00000000">
            <w:r>
              <w:rPr>
                <w:sz w:val="19"/>
                <w:szCs w:val="19"/>
              </w:rPr>
              <w:t xml:space="preserve">3,315 filas (221 registros × 15 sectores) llegan con año = </w:t>
            </w:r>
            <w:proofErr w:type="spellStart"/>
            <w:r>
              <w:rPr>
                <w:sz w:val="19"/>
                <w:szCs w:val="19"/>
              </w:rPr>
              <w:t>None</w:t>
            </w:r>
            <w:proofErr w:type="spellEnd"/>
            <w:r>
              <w:rPr>
                <w:sz w:val="19"/>
                <w:szCs w:val="19"/>
              </w:rPr>
              <w:t xml:space="preserve"> (DATO_CLAVE = 'SIN_ANIO_...').</w:t>
            </w:r>
          </w:p>
        </w:tc>
        <w:tc>
          <w:tcPr>
            <w:tcW w:w="3580" w:type="dxa"/>
          </w:tcPr>
          <w:p w14:paraId="193BFE30" w14:textId="77777777" w:rsidR="00EF75E4" w:rsidRDefault="00000000">
            <w:r>
              <w:rPr>
                <w:sz w:val="19"/>
                <w:szCs w:val="19"/>
              </w:rPr>
              <w:t xml:space="preserve">Se descartan antes del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fact_valor_</w:t>
            </w:r>
            <w:proofErr w:type="gramStart"/>
            <w:r>
              <w:rPr>
                <w:sz w:val="19"/>
                <w:szCs w:val="19"/>
              </w:rPr>
              <w:t>agregado.anio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es NOT NULL en el esquema. No es error del </w:t>
            </w:r>
            <w:proofErr w:type="spellStart"/>
            <w:r>
              <w:rPr>
                <w:sz w:val="19"/>
                <w:szCs w:val="19"/>
              </w:rPr>
              <w:t>parser</w:t>
            </w:r>
            <w:proofErr w:type="spellEnd"/>
            <w:r>
              <w:rPr>
                <w:sz w:val="19"/>
                <w:szCs w:val="19"/>
              </w:rPr>
              <w:t xml:space="preserve"> — el RPA no tiene ese campo poblado en el corte actual.</w:t>
            </w:r>
          </w:p>
        </w:tc>
      </w:tr>
      <w:tr w:rsidR="00EF75E4" w14:paraId="56D34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269F0D" w14:textId="77777777" w:rsidR="00EF75E4" w:rsidRDefault="00000000">
            <w:proofErr w:type="spellStart"/>
            <w:r>
              <w:rPr>
                <w:sz w:val="19"/>
                <w:szCs w:val="19"/>
              </w:rPr>
              <w:t>Supercias</w:t>
            </w:r>
            <w:proofErr w:type="spellEnd"/>
            <w:r>
              <w:rPr>
                <w:sz w:val="19"/>
                <w:szCs w:val="19"/>
              </w:rPr>
              <w:t xml:space="preserve"> — Directorio</w:t>
            </w:r>
          </w:p>
        </w:tc>
        <w:tc>
          <w:tcPr>
            <w:tcW w:w="4300" w:type="dxa"/>
          </w:tcPr>
          <w:p w14:paraId="35B05EC9" w14:textId="77777777" w:rsidR="00EF75E4" w:rsidRDefault="00000000">
            <w:r>
              <w:rPr>
                <w:sz w:val="19"/>
                <w:szCs w:val="19"/>
              </w:rPr>
              <w:t>RUC de 5 caracteres o menos (basura de pie de página en el Excel).</w:t>
            </w:r>
          </w:p>
        </w:tc>
        <w:tc>
          <w:tcPr>
            <w:tcW w:w="3580" w:type="dxa"/>
          </w:tcPr>
          <w:p w14:paraId="4A310D2D" w14:textId="77777777" w:rsidR="00EF75E4" w:rsidRDefault="00000000">
            <w:r>
              <w:rPr>
                <w:sz w:val="19"/>
                <w:szCs w:val="19"/>
              </w:rPr>
              <w:t>Se filtran antes de cargar, tanto en la versión Excel como en la del RPA.</w:t>
            </w:r>
          </w:p>
        </w:tc>
      </w:tr>
      <w:tr w:rsidR="00EF75E4" w14:paraId="36C16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368956A" w14:textId="77777777" w:rsidR="00EF75E4" w:rsidRDefault="00000000">
            <w:r>
              <w:rPr>
                <w:sz w:val="19"/>
                <w:szCs w:val="19"/>
              </w:rPr>
              <w:t>MINEDUC</w:t>
            </w:r>
          </w:p>
        </w:tc>
        <w:tc>
          <w:tcPr>
            <w:tcW w:w="4300" w:type="dxa"/>
          </w:tcPr>
          <w:p w14:paraId="5E38C60B" w14:textId="77777777" w:rsidR="00EF75E4" w:rsidRDefault="00000000">
            <w:r>
              <w:rPr>
                <w:sz w:val="19"/>
                <w:szCs w:val="19"/>
              </w:rPr>
              <w:t>Granularidad por institución individual, no por provincia.</w:t>
            </w:r>
          </w:p>
        </w:tc>
        <w:tc>
          <w:tcPr>
            <w:tcW w:w="3580" w:type="dxa"/>
          </w:tcPr>
          <w:p w14:paraId="43127939" w14:textId="77777777" w:rsidR="00EF75E4" w:rsidRDefault="00000000">
            <w:r>
              <w:rPr>
                <w:sz w:val="19"/>
                <w:szCs w:val="19"/>
              </w:rPr>
              <w:t>Se agrega (SUM) por período/provincia/cantón/sostenimiento antes de cargar.</w:t>
            </w:r>
          </w:p>
        </w:tc>
      </w:tr>
    </w:tbl>
    <w:p w14:paraId="34DCA747" w14:textId="77777777" w:rsidR="00EF75E4" w:rsidRDefault="00EF75E4">
      <w:pPr>
        <w:spacing w:before="200"/>
      </w:pPr>
    </w:p>
    <w:p w14:paraId="100A2F9B" w14:textId="77777777" w:rsidR="00EF75E4" w:rsidRPr="00A433C7" w:rsidRDefault="00000000">
      <w:pPr>
        <w:pStyle w:val="Ttulo1"/>
        <w:spacing w:before="200" w:after="120"/>
        <w:rPr>
          <w:b/>
          <w:color w:val="auto"/>
        </w:rPr>
      </w:pPr>
      <w:r w:rsidRPr="00A433C7">
        <w:rPr>
          <w:b/>
          <w:color w:val="auto"/>
        </w:rPr>
        <w:t>3. Hallazgos analíticos</w:t>
      </w:r>
    </w:p>
    <w:p w14:paraId="71D0F47E" w14:textId="77777777" w:rsidR="00EF75E4" w:rsidRPr="00A433C7" w:rsidRDefault="00000000">
      <w:pPr>
        <w:pStyle w:val="Ttulo2"/>
        <w:spacing w:before="160" w:after="80"/>
        <w:rPr>
          <w:b/>
          <w:color w:val="auto"/>
        </w:rPr>
      </w:pPr>
      <w:r w:rsidRPr="00A433C7">
        <w:rPr>
          <w:b/>
          <w:color w:val="auto"/>
        </w:rPr>
        <w:t>3.1 — VAB del RPA sin año poblado</w:t>
      </w:r>
    </w:p>
    <w:p w14:paraId="784085E6" w14:textId="77777777" w:rsidR="00EF75E4" w:rsidRDefault="00000000">
      <w:pPr>
        <w:spacing w:after="100"/>
      </w:pPr>
      <w:r>
        <w:t xml:space="preserve">Los 221 registros de VAB_CANTONAL_CIIU que entrega el RPA (221 × 15 sectores = 3,315 filas explotadas) llegan todos con DATO_CLAVE = 'SIN_ANIO_...' y campo año nulo. No es un error de </w:t>
      </w:r>
      <w:proofErr w:type="spellStart"/>
      <w:r>
        <w:t>parseo</w:t>
      </w:r>
      <w:proofErr w:type="spellEnd"/>
      <w:r>
        <w:t xml:space="preserve">: es un hueco real en la fuente que entrega el equipo de RPA en el corte actual. Como </w:t>
      </w:r>
      <w:proofErr w:type="spellStart"/>
      <w:r>
        <w:t>fact_valor_</w:t>
      </w:r>
      <w:proofErr w:type="gramStart"/>
      <w:r>
        <w:t>agregado.anio</w:t>
      </w:r>
      <w:proofErr w:type="spellEnd"/>
      <w:proofErr w:type="gramEnd"/>
      <w:r>
        <w:t xml:space="preserve"> es NOT NULL en el esquema, esas filas se descartan explícitamente y se documenta la pérdida en consola en cada corrida. Los datos de VAB del Excel 2018–2023 permanecen intactos y siguen siendo la única fuente confiable para esa tabla.</w:t>
      </w:r>
    </w:p>
    <w:p w14:paraId="5E5DB9C5" w14:textId="77777777" w:rsidR="00EF75E4" w:rsidRPr="00A433C7" w:rsidRDefault="00000000">
      <w:pPr>
        <w:pStyle w:val="Ttulo2"/>
        <w:spacing w:before="160" w:after="80"/>
        <w:rPr>
          <w:b/>
          <w:color w:val="auto"/>
        </w:rPr>
      </w:pPr>
      <w:r w:rsidRPr="00A433C7">
        <w:rPr>
          <w:b/>
          <w:color w:val="auto"/>
        </w:rPr>
        <w:t xml:space="preserve">3.2 — </w:t>
      </w:r>
      <w:proofErr w:type="spellStart"/>
      <w:r w:rsidRPr="00A433C7">
        <w:rPr>
          <w:b/>
          <w:color w:val="auto"/>
        </w:rPr>
        <w:t>Supercias</w:t>
      </w:r>
      <w:proofErr w:type="spellEnd"/>
      <w:r w:rsidRPr="00A433C7">
        <w:rPr>
          <w:b/>
          <w:color w:val="auto"/>
        </w:rPr>
        <w:t xml:space="preserve"> entrega dos fuentes distintas, no una</w:t>
      </w:r>
    </w:p>
    <w:p w14:paraId="4CACA617" w14:textId="77777777" w:rsidR="00EF75E4" w:rsidRDefault="00000000">
      <w:pPr>
        <w:spacing w:after="100"/>
      </w:pPr>
      <w:r>
        <w:t xml:space="preserve">La ficha del reto especifica dos fuentes de </w:t>
      </w:r>
      <w:proofErr w:type="spellStart"/>
      <w:r>
        <w:t>Supercias</w:t>
      </w:r>
      <w:proofErr w:type="spellEnd"/>
      <w:r>
        <w:t xml:space="preserve"> con propósitos distintos: "Directorio de compañías" (para contar empresas activas por provincia, insumo de P3) y "Ranking de empresas" (datos financieros — ingresos, activos, patrimonio, ROE, ROA — para cruzar con VAB y Censo por CIIU). El primer archivo del RPA (</w:t>
      </w:r>
      <w:proofErr w:type="spellStart"/>
      <w:r>
        <w:t>tab_consolidado_export.sql</w:t>
      </w:r>
      <w:proofErr w:type="spellEnd"/>
      <w:r>
        <w:t>) solo trajo el indicador SUPERCIAS_DIRECTORIO. El Ranking llegó después en un archivo aparte (</w:t>
      </w:r>
      <w:proofErr w:type="spellStart"/>
      <w:r>
        <w:t>tab_consolidado_supercias.sql</w:t>
      </w:r>
      <w:proofErr w:type="spellEnd"/>
      <w:r>
        <w:t xml:space="preserve">, 2.37 GB, indicador SUPERCIAS_RANKING), sin ubicación geográfica (solo expediente, año y CIIU) — por lo que se modeló en una tabla nueva, </w:t>
      </w:r>
      <w:proofErr w:type="spellStart"/>
      <w:r>
        <w:t>fact_ranking_empresas</w:t>
      </w:r>
      <w:proofErr w:type="spellEnd"/>
      <w:r>
        <w:t xml:space="preserve">, sin FK a </w:t>
      </w:r>
      <w:proofErr w:type="spellStart"/>
      <w:r>
        <w:t>dim_ubicacion</w:t>
      </w:r>
      <w:proofErr w:type="spellEnd"/>
      <w:r>
        <w:t xml:space="preserve">, con clave natural (expediente, año) y </w:t>
      </w:r>
      <w:proofErr w:type="spellStart"/>
      <w:r>
        <w:t>cruzable</w:t>
      </w:r>
      <w:proofErr w:type="spellEnd"/>
      <w:r>
        <w:t xml:space="preserve"> con VAB/Censo únicamente por código CIIU. Se cargaron 1,672,589 registros.</w:t>
      </w:r>
    </w:p>
    <w:p w14:paraId="166C8CEF" w14:textId="77777777" w:rsidR="00EF75E4" w:rsidRPr="00A433C7" w:rsidRDefault="00000000">
      <w:pPr>
        <w:pStyle w:val="Ttulo2"/>
        <w:spacing w:before="160" w:after="80"/>
        <w:rPr>
          <w:b/>
          <w:color w:val="auto"/>
        </w:rPr>
      </w:pPr>
      <w:r w:rsidRPr="00A433C7">
        <w:rPr>
          <w:b/>
          <w:color w:val="auto"/>
        </w:rPr>
        <w:lastRenderedPageBreak/>
        <w:t>3.3 — Formato de exportación inconsistente entre archivos del RPA</w:t>
      </w:r>
    </w:p>
    <w:p w14:paraId="5D6778BA" w14:textId="77777777" w:rsidR="00EF75E4" w:rsidRDefault="00000000">
      <w:pPr>
        <w:spacing w:after="100"/>
      </w:pPr>
      <w:r>
        <w:t xml:space="preserve">El archivo de Ranking usa una codificación JSON distinta a la del primer archivo: JSON crudo sin doble envoltura de comillas, y HASH_CONTENIDO en mayúsculas en vez de minúsculas. </w:t>
      </w:r>
      <w:proofErr w:type="gramStart"/>
      <w:r>
        <w:t>El expresión regular original</w:t>
      </w:r>
      <w:proofErr w:type="gramEnd"/>
      <w:r>
        <w:t xml:space="preserve"> de rpa_parser.py solo reconocía hashes en minúsculas y JSON doble-escapado, lo que provocó que 1,672,589 de 1,672,590 filas fallaran el </w:t>
      </w:r>
      <w:proofErr w:type="spellStart"/>
      <w:r>
        <w:t>parseo</w:t>
      </w:r>
      <w:proofErr w:type="spellEnd"/>
      <w:r>
        <w:t xml:space="preserve"> en la primera corrida. Se corrigió el patrón para aceptar ambas variantes de forma </w:t>
      </w:r>
      <w:proofErr w:type="spellStart"/>
      <w:r>
        <w:t>retrocompatible</w:t>
      </w:r>
      <w:proofErr w:type="spellEnd"/>
      <w:r>
        <w:t xml:space="preserve"> (verificado contra ambos formatos), sin afectar el procesamiento de archivos ya cargados anteriormente. Queda como recomendación al equipo de RPA estandarizar el formato de exportación entre corridas.</w:t>
      </w:r>
    </w:p>
    <w:p w14:paraId="658F517B" w14:textId="77777777" w:rsidR="00EF75E4" w:rsidRDefault="00000000">
      <w:r>
        <w:br w:type="page"/>
      </w:r>
    </w:p>
    <w:p w14:paraId="4635DAB0" w14:textId="77777777" w:rsidR="00EF75E4" w:rsidRPr="00A433C7" w:rsidRDefault="00000000">
      <w:pPr>
        <w:pStyle w:val="Ttulo1"/>
        <w:spacing w:before="200" w:after="120"/>
        <w:rPr>
          <w:b/>
          <w:color w:val="auto"/>
        </w:rPr>
      </w:pPr>
      <w:r w:rsidRPr="00A433C7">
        <w:rPr>
          <w:b/>
          <w:color w:val="auto"/>
        </w:rPr>
        <w:lastRenderedPageBreak/>
        <w:t>Anexos — Evidencia de ejecución</w:t>
      </w:r>
    </w:p>
    <w:p w14:paraId="1B136735" w14:textId="77777777" w:rsidR="00EF75E4" w:rsidRDefault="00000000">
      <w:pPr>
        <w:spacing w:after="100"/>
      </w:pPr>
      <w:r>
        <w:t xml:space="preserve">Capturas de pantalla que respaldan los hallazgos descritos, tomadas directamente de DB Browser </w:t>
      </w:r>
      <w:proofErr w:type="spellStart"/>
      <w:r>
        <w:t>for</w:t>
      </w:r>
      <w:proofErr w:type="spellEnd"/>
      <w:r>
        <w:t xml:space="preserve"> SQLite y de la consola de VS </w:t>
      </w:r>
      <w:proofErr w:type="spellStart"/>
      <w:r>
        <w:t>Code</w:t>
      </w:r>
      <w:proofErr w:type="spellEnd"/>
      <w:r>
        <w:t>.</w:t>
      </w:r>
    </w:p>
    <w:p w14:paraId="526B2ADA" w14:textId="77777777" w:rsidR="00EF75E4" w:rsidRDefault="00000000">
      <w:pPr>
        <w:spacing w:before="200" w:after="80"/>
      </w:pPr>
      <w:r>
        <w:rPr>
          <w:b/>
          <w:bCs/>
        </w:rPr>
        <w:t>Anexo A — Esquema de la base de datos</w:t>
      </w:r>
    </w:p>
    <w:p w14:paraId="7457DBC9" w14:textId="77777777" w:rsidR="00EF75E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FAEA751" wp14:editId="6A55C03D">
            <wp:extent cx="5524500" cy="3457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21E" w14:textId="77777777" w:rsidR="00EF75E4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Estructura completa de la capa Silver (9 tablas, incluyendo </w:t>
      </w:r>
      <w:proofErr w:type="spellStart"/>
      <w:r>
        <w:rPr>
          <w:i/>
          <w:iCs/>
          <w:color w:val="555555"/>
          <w:sz w:val="18"/>
          <w:szCs w:val="18"/>
        </w:rPr>
        <w:t>fact_ranking_empresas</w:t>
      </w:r>
      <w:proofErr w:type="spellEnd"/>
      <w:r>
        <w:rPr>
          <w:i/>
          <w:iCs/>
          <w:color w:val="555555"/>
          <w:sz w:val="18"/>
          <w:szCs w:val="18"/>
        </w:rPr>
        <w:t xml:space="preserve">) y las 4 vistas Gold, vista desde DB Browser </w:t>
      </w:r>
      <w:proofErr w:type="spellStart"/>
      <w:r>
        <w:rPr>
          <w:i/>
          <w:iCs/>
          <w:color w:val="555555"/>
          <w:sz w:val="18"/>
          <w:szCs w:val="18"/>
        </w:rPr>
        <w:t>for</w:t>
      </w:r>
      <w:proofErr w:type="spellEnd"/>
      <w:r>
        <w:rPr>
          <w:i/>
          <w:iCs/>
          <w:color w:val="555555"/>
          <w:sz w:val="18"/>
          <w:szCs w:val="18"/>
        </w:rPr>
        <w:t xml:space="preserve"> SQLite.</w:t>
      </w:r>
    </w:p>
    <w:p w14:paraId="7B990BBA" w14:textId="77777777" w:rsidR="00EF75E4" w:rsidRDefault="00000000">
      <w:pPr>
        <w:spacing w:before="200" w:after="80"/>
      </w:pPr>
      <w:r>
        <w:rPr>
          <w:b/>
          <w:bCs/>
        </w:rPr>
        <w:t>Anexo B — Carga exitosa de SUPERCIAS_RANKING</w:t>
      </w:r>
    </w:p>
    <w:p w14:paraId="3963CED0" w14:textId="77777777" w:rsidR="00EF75E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6BCE110" wp14:editId="47131B26">
            <wp:extent cx="5524500" cy="3457575"/>
            <wp:effectExtent l="0" t="0" r="0" b="0"/>
            <wp:docPr id="1816468192" name="Imagen 181646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DF4C" w14:textId="77777777" w:rsidR="00EF75E4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lastRenderedPageBreak/>
        <w:t xml:space="preserve">Salida de consola de la corrida final de pipeline.py: 1,672,590 filas procesadas, 0 errores de </w:t>
      </w:r>
      <w:proofErr w:type="spellStart"/>
      <w:r>
        <w:rPr>
          <w:i/>
          <w:iCs/>
          <w:color w:val="555555"/>
          <w:sz w:val="18"/>
          <w:szCs w:val="18"/>
        </w:rPr>
        <w:t>parseo</w:t>
      </w:r>
      <w:proofErr w:type="spellEnd"/>
      <w:r>
        <w:rPr>
          <w:i/>
          <w:iCs/>
          <w:color w:val="555555"/>
          <w:sz w:val="18"/>
          <w:szCs w:val="18"/>
        </w:rPr>
        <w:t xml:space="preserve">, 1,672,589 filas insertadas en </w:t>
      </w:r>
      <w:proofErr w:type="spellStart"/>
      <w:r>
        <w:rPr>
          <w:i/>
          <w:iCs/>
          <w:color w:val="555555"/>
          <w:sz w:val="18"/>
          <w:szCs w:val="18"/>
        </w:rPr>
        <w:t>fact_ranking_empresas</w:t>
      </w:r>
      <w:proofErr w:type="spellEnd"/>
      <w:r>
        <w:rPr>
          <w:i/>
          <w:iCs/>
          <w:color w:val="555555"/>
          <w:sz w:val="18"/>
          <w:szCs w:val="18"/>
        </w:rPr>
        <w:t xml:space="preserve"> — evidencia del hallazgo 3.3 ya corregido.</w:t>
      </w:r>
    </w:p>
    <w:p w14:paraId="73E0495D" w14:textId="77777777" w:rsidR="00EF75E4" w:rsidRDefault="00000000">
      <w:pPr>
        <w:spacing w:before="200" w:after="80"/>
      </w:pPr>
      <w:r>
        <w:rPr>
          <w:b/>
          <w:bCs/>
        </w:rPr>
        <w:t xml:space="preserve">Anexo C — Vista </w:t>
      </w:r>
      <w:proofErr w:type="spellStart"/>
      <w:r>
        <w:rPr>
          <w:b/>
          <w:bCs/>
        </w:rPr>
        <w:t>gold_tendencia_pib</w:t>
      </w:r>
      <w:proofErr w:type="spellEnd"/>
      <w:r>
        <w:rPr>
          <w:b/>
          <w:bCs/>
        </w:rPr>
        <w:t xml:space="preserve"> en ejecución</w:t>
      </w:r>
    </w:p>
    <w:p w14:paraId="7E6B5E0E" w14:textId="77777777" w:rsidR="00EF75E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3054FDB" wp14:editId="3DD5503D">
            <wp:extent cx="5524500" cy="3457575"/>
            <wp:effectExtent l="0" t="0" r="0" b="0"/>
            <wp:docPr id="1946747834" name="Imagen 1946747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473A" w14:textId="77777777" w:rsidR="00EF75E4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Resultado de SELECT * FROM </w:t>
      </w:r>
      <w:proofErr w:type="spellStart"/>
      <w:r>
        <w:rPr>
          <w:i/>
          <w:iCs/>
          <w:color w:val="555555"/>
          <w:sz w:val="18"/>
          <w:szCs w:val="18"/>
        </w:rPr>
        <w:t>gold_tendencia_pib</w:t>
      </w:r>
      <w:proofErr w:type="spellEnd"/>
      <w:r>
        <w:rPr>
          <w:i/>
          <w:iCs/>
          <w:color w:val="555555"/>
          <w:sz w:val="18"/>
          <w:szCs w:val="18"/>
        </w:rPr>
        <w:t>: evolución del PIB real 2000–2024 con clasificación de ciclo económico, incluyendo el caso 'Sin dato base (primer año de la serie)' del hallazgo 3.1.</w:t>
      </w:r>
    </w:p>
    <w:p w14:paraId="572D7DEC" w14:textId="77777777" w:rsidR="00EF75E4" w:rsidRDefault="00000000">
      <w:pPr>
        <w:spacing w:before="200" w:after="80"/>
      </w:pPr>
      <w:r>
        <w:rPr>
          <w:b/>
          <w:bCs/>
        </w:rPr>
        <w:t xml:space="preserve">Anexo D — Vista </w:t>
      </w:r>
      <w:proofErr w:type="spellStart"/>
      <w:r>
        <w:rPr>
          <w:b/>
          <w:bCs/>
        </w:rPr>
        <w:t>gold_provincia_empresas</w:t>
      </w:r>
      <w:proofErr w:type="spellEnd"/>
      <w:r>
        <w:rPr>
          <w:b/>
          <w:bCs/>
        </w:rPr>
        <w:t xml:space="preserve"> en ejecución</w:t>
      </w:r>
    </w:p>
    <w:p w14:paraId="07449856" w14:textId="77777777" w:rsidR="00EF75E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B73F92B" wp14:editId="6B2ACB9F">
            <wp:extent cx="5524500" cy="3457575"/>
            <wp:effectExtent l="0" t="0" r="0" b="0"/>
            <wp:docPr id="1280222279" name="Imagen 128022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C74C" w14:textId="77777777" w:rsidR="00EF75E4" w:rsidRDefault="00000000">
      <w:pPr>
        <w:spacing w:after="200"/>
      </w:pPr>
      <w:proofErr w:type="gramStart"/>
      <w:r>
        <w:rPr>
          <w:i/>
          <w:iCs/>
          <w:color w:val="555555"/>
          <w:sz w:val="18"/>
          <w:szCs w:val="18"/>
        </w:rPr>
        <w:t>Total</w:t>
      </w:r>
      <w:proofErr w:type="gramEnd"/>
      <w:r>
        <w:rPr>
          <w:i/>
          <w:iCs/>
          <w:color w:val="555555"/>
          <w:sz w:val="18"/>
          <w:szCs w:val="18"/>
        </w:rPr>
        <w:t xml:space="preserve"> de empresas y empresas activas por provincia (24 provincias), insumo directo de la pregunta analítica P3 del </w:t>
      </w:r>
      <w:proofErr w:type="spellStart"/>
      <w:r>
        <w:rPr>
          <w:i/>
          <w:iCs/>
          <w:color w:val="555555"/>
          <w:sz w:val="18"/>
          <w:szCs w:val="18"/>
        </w:rPr>
        <w:t>dashboard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sectPr w:rsidR="00EF75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C7FD2"/>
    <w:multiLevelType w:val="hybridMultilevel"/>
    <w:tmpl w:val="E4DAFBA6"/>
    <w:lvl w:ilvl="0" w:tplc="9D4299E8">
      <w:start w:val="1"/>
      <w:numFmt w:val="bullet"/>
      <w:lvlText w:val="●"/>
      <w:lvlJc w:val="left"/>
      <w:pPr>
        <w:ind w:left="720" w:hanging="360"/>
      </w:pPr>
    </w:lvl>
    <w:lvl w:ilvl="1" w:tplc="E5801EAC">
      <w:start w:val="1"/>
      <w:numFmt w:val="bullet"/>
      <w:lvlText w:val="○"/>
      <w:lvlJc w:val="left"/>
      <w:pPr>
        <w:ind w:left="1440" w:hanging="360"/>
      </w:pPr>
    </w:lvl>
    <w:lvl w:ilvl="2" w:tplc="2FEA8336">
      <w:start w:val="1"/>
      <w:numFmt w:val="bullet"/>
      <w:lvlText w:val="■"/>
      <w:lvlJc w:val="left"/>
      <w:pPr>
        <w:ind w:left="2160" w:hanging="360"/>
      </w:pPr>
    </w:lvl>
    <w:lvl w:ilvl="3" w:tplc="0DE2FB42">
      <w:start w:val="1"/>
      <w:numFmt w:val="bullet"/>
      <w:lvlText w:val="●"/>
      <w:lvlJc w:val="left"/>
      <w:pPr>
        <w:ind w:left="2880" w:hanging="360"/>
      </w:pPr>
    </w:lvl>
    <w:lvl w:ilvl="4" w:tplc="D3BC4CA0">
      <w:start w:val="1"/>
      <w:numFmt w:val="bullet"/>
      <w:lvlText w:val="○"/>
      <w:lvlJc w:val="left"/>
      <w:pPr>
        <w:ind w:left="3600" w:hanging="360"/>
      </w:pPr>
    </w:lvl>
    <w:lvl w:ilvl="5" w:tplc="E9D413BE">
      <w:start w:val="1"/>
      <w:numFmt w:val="bullet"/>
      <w:lvlText w:val="■"/>
      <w:lvlJc w:val="left"/>
      <w:pPr>
        <w:ind w:left="4320" w:hanging="360"/>
      </w:pPr>
    </w:lvl>
    <w:lvl w:ilvl="6" w:tplc="C36CA4EE">
      <w:start w:val="1"/>
      <w:numFmt w:val="bullet"/>
      <w:lvlText w:val="●"/>
      <w:lvlJc w:val="left"/>
      <w:pPr>
        <w:ind w:left="5040" w:hanging="360"/>
      </w:pPr>
    </w:lvl>
    <w:lvl w:ilvl="7" w:tplc="BC9AE224">
      <w:start w:val="1"/>
      <w:numFmt w:val="bullet"/>
      <w:lvlText w:val="●"/>
      <w:lvlJc w:val="left"/>
      <w:pPr>
        <w:ind w:left="5760" w:hanging="360"/>
      </w:pPr>
    </w:lvl>
    <w:lvl w:ilvl="8" w:tplc="14F0A254">
      <w:start w:val="1"/>
      <w:numFmt w:val="bullet"/>
      <w:lvlText w:val="●"/>
      <w:lvlJc w:val="left"/>
      <w:pPr>
        <w:ind w:left="6480" w:hanging="360"/>
      </w:pPr>
    </w:lvl>
  </w:abstractNum>
  <w:num w:numId="1" w16cid:durableId="1596745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5E4"/>
    <w:rsid w:val="00A433C7"/>
    <w:rsid w:val="00E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2694F"/>
  <w15:docId w15:val="{FF153086-3651-4DFA-BC25-CF055B22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iTC</cp:lastModifiedBy>
  <cp:revision>2</cp:revision>
  <dcterms:created xsi:type="dcterms:W3CDTF">2026-07-22T04:42:00Z</dcterms:created>
  <dcterms:modified xsi:type="dcterms:W3CDTF">2026-07-22T04:42:00Z</dcterms:modified>
</cp:coreProperties>
</file>