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5328"/>
            <w:shd w:val="clear" w:fill="C0392B"/>
          </w:tcPr>
          <w:p>
            <w:r>
              <w:rPr>
                <w:b/>
                <w:color w:val="FFFFFF"/>
                <w:sz w:val="32"/>
              </w:rPr>
              <w:t>ANDRAGOPS ACADÉMIE</w:t>
            </w:r>
          </w:p>
          <w:p>
            <w:r>
              <w:rPr>
                <w:color w:val="FFFFFF"/>
                <w:sz w:val="17"/>
              </w:rPr>
              <w:t>Santé, sécurité au travail &amp; secours d’urgence</w:t>
            </w:r>
          </w:p>
        </w:tc>
        <w:tc>
          <w:tcPr>
            <w:tcW w:type="dxa" w:w="4752"/>
            <w:shd w:val="clear" w:fill="C0392B"/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FICHE PROGRAMME</w:t>
            </w:r>
          </w:p>
          <w:p>
            <w:pPr>
              <w:jc w:val="right"/>
            </w:pPr>
            <w:r>
              <w:rPr>
                <w:color w:val="FFFFFF"/>
                <w:sz w:val="17"/>
              </w:rPr>
              <w:t>Réf. INC-EPI-1H30 · v1 · 06/2026</w:t>
            </w:r>
          </w:p>
        </w:tc>
      </w:tr>
    </w:tbl>
    <w:p>
      <w:pPr>
        <w:spacing w:after="80"/>
      </w:pPr>
    </w:p>
    <w:p>
      <w:r>
        <w:rPr>
          <w:b/>
          <w:color w:val="26323B"/>
          <w:sz w:val="34"/>
        </w:rPr>
        <w:t>Formation Incendie — Équipier de Première Intervention</w:t>
      </w:r>
    </w:p>
    <w:p>
      <w:pPr>
        <w:spacing w:after="120"/>
      </w:pPr>
      <w:r>
        <w:rPr>
          <w:i/>
          <w:color w:val="C0392B"/>
          <w:sz w:val="23"/>
        </w:rPr>
        <w:t>Manipulation des extincteurs &amp; RIA — exercices sur feux réels écologiques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Public</w:t>
            </w:r>
          </w:p>
        </w:tc>
        <w:tc>
          <w:tcPr>
            <w:tcW w:type="dxa" w:w="7632"/>
            <w:shd w:val="clear" w:fill="F2F3F4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Tout personnel désigné (équipiers de 1ʳᵉ intervention)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Prérequis</w:t>
            </w:r>
          </w:p>
        </w:tc>
        <w:tc>
          <w:tcPr>
            <w:tcW w:type="dxa" w:w="7632"/>
            <w:shd w:val="clear" w:fill="FFFFFF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Aucun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Durée</w:t>
            </w:r>
          </w:p>
        </w:tc>
        <w:tc>
          <w:tcPr>
            <w:tcW w:type="dxa" w:w="7632"/>
            <w:shd w:val="clear" w:fill="F2F3F4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Session de 1 h 30 (format intra)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Effectif</w:t>
            </w:r>
          </w:p>
        </w:tc>
        <w:tc>
          <w:tcPr>
            <w:tcW w:type="dxa" w:w="7632"/>
            <w:shd w:val="clear" w:fill="FFFFFF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8 participants max. / session — pour que chacun manipule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Lieu</w:t>
            </w:r>
          </w:p>
        </w:tc>
        <w:tc>
          <w:tcPr>
            <w:tcW w:type="dxa" w:w="7632"/>
            <w:shd w:val="clear" w:fill="F2F3F4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Intra, sur votre site (Wervicq-Sud)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Sanction</w:t>
            </w:r>
          </w:p>
        </w:tc>
        <w:tc>
          <w:tcPr>
            <w:tcW w:type="dxa" w:w="7632"/>
            <w:shd w:val="clear" w:fill="FFFFFF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Attestation individuelle + signature du registre de sécurité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Encadrement</w:t>
            </w:r>
          </w:p>
        </w:tc>
        <w:tc>
          <w:tcPr>
            <w:tcW w:type="dxa" w:w="7632"/>
            <w:shd w:val="clear" w:fill="F2F3F4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Formateur spécialisé en sécurité incendie</w:t>
            </w:r>
          </w:p>
        </w:tc>
      </w:tr>
      <w:tr>
        <w:tc>
          <w:tcPr>
            <w:tcW w:type="dxa" w:w="2448"/>
            <w:shd w:val="clear" w:fill="C0392B"/>
            <w:vAlign w:val="center"/>
          </w:tcPr>
          <w:p>
            <w:r>
              <w:rPr>
                <w:b/>
                <w:i w:val="0"/>
                <w:color w:val="FFFFFF"/>
                <w:sz w:val="19"/>
              </w:rPr>
              <w:t>Accessibilité</w:t>
            </w:r>
          </w:p>
        </w:tc>
        <w:tc>
          <w:tcPr>
            <w:tcW w:type="dxa" w:w="7632"/>
            <w:shd w:val="clear" w:fill="FFFFFF"/>
            <w:vAlign w:val="center"/>
          </w:tcPr>
          <w:p>
            <w:r>
              <w:rPr>
                <w:b w:val="0"/>
                <w:i w:val="0"/>
                <w:color w:val="3A3A3A"/>
                <w:sz w:val="19"/>
              </w:rPr>
              <w:t>Référent handicap dédié — adaptations possibles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OBJECTIFS PÉDAGOGIQUES</w:t>
            </w:r>
          </w:p>
        </w:tc>
      </w:tr>
    </w:tbl>
    <w:p>
      <w:pPr>
        <w:spacing w:after="40"/>
      </w:pPr>
    </w:p>
    <w:p>
      <w:r>
        <w:rPr>
          <w:sz w:val="21"/>
        </w:rPr>
        <w:t>À l’issue de la session, chaque participant sera capable de :</w:t>
      </w:r>
    </w:p>
    <w:p>
      <w:pPr>
        <w:spacing w:after="60"/>
        <w:ind w:left="227"/>
      </w:pPr>
      <w:r>
        <w:rPr>
          <w:b/>
          <w:color w:val="C0392B"/>
        </w:rPr>
        <w:t xml:space="preserve">▪ </w:t>
      </w:r>
      <w:r>
        <w:rPr>
          <w:sz w:val="21"/>
        </w:rPr>
      </w:r>
      <w:r>
        <w:rPr>
          <w:b/>
          <w:sz w:val="21"/>
        </w:rPr>
        <w:t>Identifier</w:t>
      </w:r>
      <w:r>
        <w:rPr>
          <w:sz w:val="21"/>
        </w:rPr>
        <w:t xml:space="preserve"> un départ de feu et en comprendre les mécanismes (triangle du feu, classes de feux).</w:t>
      </w:r>
    </w:p>
    <w:p>
      <w:pPr>
        <w:spacing w:after="60"/>
        <w:ind w:left="227"/>
      </w:pPr>
      <w:r>
        <w:rPr>
          <w:b/>
          <w:color w:val="C0392B"/>
        </w:rPr>
        <w:t xml:space="preserve">▪ </w:t>
      </w:r>
      <w:r>
        <w:rPr>
          <w:sz w:val="21"/>
        </w:rPr>
      </w:r>
      <w:r>
        <w:rPr>
          <w:b/>
          <w:sz w:val="21"/>
        </w:rPr>
        <w:t>Donner l’alerte</w:t>
      </w:r>
      <w:r>
        <w:rPr>
          <w:sz w:val="21"/>
        </w:rPr>
        <w:t xml:space="preserve"> et appliquer la conduite à tenir / la consigne d’évacuation de l’établissement.</w:t>
      </w:r>
    </w:p>
    <w:p>
      <w:pPr>
        <w:spacing w:after="60"/>
        <w:ind w:left="227"/>
      </w:pPr>
      <w:r>
        <w:rPr>
          <w:b/>
          <w:color w:val="C0392B"/>
        </w:rPr>
        <w:t xml:space="preserve">▪ </w:t>
      </w:r>
      <w:r>
        <w:rPr>
          <w:sz w:val="21"/>
        </w:rPr>
      </w:r>
      <w:r>
        <w:rPr>
          <w:b/>
          <w:sz w:val="21"/>
        </w:rPr>
        <w:t>Choisir</w:t>
      </w:r>
      <w:r>
        <w:rPr>
          <w:sz w:val="21"/>
        </w:rPr>
        <w:t xml:space="preserve"> l’agent extincteur adapté à la classe de feu rencontrée.</w:t>
      </w:r>
    </w:p>
    <w:p>
      <w:pPr>
        <w:spacing w:after="60"/>
        <w:ind w:left="227"/>
      </w:pPr>
      <w:r>
        <w:rPr>
          <w:b/>
          <w:color w:val="C0392B"/>
        </w:rPr>
        <w:t xml:space="preserve">▪ </w:t>
      </w:r>
      <w:r>
        <w:rPr>
          <w:sz w:val="21"/>
        </w:rPr>
      </w:r>
      <w:r>
        <w:rPr>
          <w:b/>
          <w:sz w:val="21"/>
        </w:rPr>
        <w:t>Utiliser</w:t>
      </w:r>
      <w:r>
        <w:rPr>
          <w:sz w:val="21"/>
        </w:rPr>
        <w:t xml:space="preserve"> un extincteur et un Robinet d’Incendie Armé (RIA) en sécurité, sur flammes réelles.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CADRE RÉGLEMENTAIRE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F2F3F4"/>
          </w:tcPr>
          <w:p>
            <w:pPr>
              <w:spacing w:after="40"/>
              <w:ind w:left="113"/>
            </w:pPr>
            <w:r>
              <w:rPr>
                <w:b/>
                <w:color w:val="26323B"/>
                <w:sz w:val="19"/>
              </w:rPr>
              <w:t xml:space="preserve">Code du travail, art. R.4227-28 &amp; R.4227-39 : </w:t>
            </w:r>
            <w:r>
              <w:rPr>
                <w:sz w:val="19"/>
              </w:rPr>
              <w:t>l’employeur doit doter l’établissement de moyens de lutte contre l’incendie et organiser, au moins tous les 6 mois, des exercices et essais périodiques.</w:t>
            </w:r>
          </w:p>
          <w:p>
            <w:pPr>
              <w:spacing w:after="40"/>
              <w:ind w:left="113"/>
            </w:pPr>
            <w:r>
              <w:rPr>
                <w:b/>
                <w:color w:val="26323B"/>
                <w:sz w:val="19"/>
              </w:rPr>
              <w:t>Le personnel doit être entraîné</w:t>
            </w:r>
            <w:r>
              <w:rPr>
                <w:sz w:val="19"/>
              </w:rPr>
              <w:t xml:space="preserve"> à manipuler les moyens de premiers secours (extincteurs, RIA) et à mettre en œuvre les consignes de sécurité.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DÉROULÉ DE LA SESSION (1 H 30)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296"/>
            <w:shd w:val="clear" w:fill="26323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Durée</w:t>
            </w:r>
          </w:p>
        </w:tc>
        <w:tc>
          <w:tcPr>
            <w:tcW w:type="dxa" w:w="2736"/>
            <w:shd w:val="clear" w:fill="26323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Séquence</w:t>
            </w:r>
          </w:p>
        </w:tc>
        <w:tc>
          <w:tcPr>
            <w:tcW w:type="dxa" w:w="4896"/>
            <w:shd w:val="clear" w:fill="26323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Contenu</w:t>
            </w:r>
          </w:p>
        </w:tc>
        <w:tc>
          <w:tcPr>
            <w:tcW w:type="dxa" w:w="1152"/>
            <w:shd w:val="clear" w:fill="26323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Part. pratique</w:t>
            </w:r>
          </w:p>
        </w:tc>
      </w:tr>
      <w:t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8"/>
              </w:rPr>
              <w:t>10 min</w:t>
            </w:r>
          </w:p>
        </w:tc>
        <w:tc>
          <w:tcPr>
            <w:tcW w:type="dxa" w:w="2736"/>
            <w:shd w:val="clear" w:fill="FFFFFF"/>
            <w:vAlign w:val="center"/>
          </w:tcPr>
          <w:p>
            <w:r>
              <w:rPr>
                <w:b/>
                <w:i w:val="0"/>
                <w:color w:val="3A3A3A"/>
                <w:sz w:val="18"/>
              </w:rPr>
              <w:t>Accueil &amp; cadrage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b w:val="0"/>
                <w:i w:val="0"/>
                <w:color w:val="3A3A3A"/>
                <w:sz w:val="18"/>
              </w:rPr>
              <w:t>Émargement, tour de table, objectifs, rappel des consignes et plans de sécurité du site.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C0392B"/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8"/>
              </w:rPr>
              <w:t>25 min</w:t>
            </w:r>
          </w:p>
        </w:tc>
        <w:tc>
          <w:tcPr>
            <w:tcW w:type="dxa" w:w="2736"/>
            <w:shd w:val="clear" w:fill="F2F3F4"/>
            <w:vAlign w:val="center"/>
          </w:tcPr>
          <w:p>
            <w:r>
              <w:rPr>
                <w:b/>
                <w:i w:val="0"/>
                <w:color w:val="3A3A3A"/>
                <w:sz w:val="18"/>
              </w:rPr>
              <w:t>Théorie du feu</w:t>
            </w:r>
          </w:p>
        </w:tc>
        <w:tc>
          <w:tcPr>
            <w:tcW w:type="dxa" w:w="4896"/>
            <w:shd w:val="clear" w:fill="F2F3F4"/>
            <w:vAlign w:val="center"/>
          </w:tcPr>
          <w:p>
            <w:r>
              <w:rPr>
                <w:b w:val="0"/>
                <w:i w:val="0"/>
                <w:color w:val="3A3A3A"/>
                <w:sz w:val="18"/>
              </w:rPr>
              <w:t>Triangle du feu • classes de feux et pictogrammes • agents et procédés d’extinction • alerte, conduite à tenir et évacuation.</w:t>
            </w:r>
          </w:p>
        </w:tc>
        <w:tc>
          <w:tcPr>
            <w:tcW w:type="dxa" w:w="1152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C0392B"/>
                <w:sz w:val="18"/>
              </w:rPr>
              <w:t>—</w:t>
            </w:r>
          </w:p>
        </w:tc>
      </w:tr>
      <w:t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8"/>
              </w:rPr>
              <w:t>45 min</w:t>
            </w:r>
          </w:p>
        </w:tc>
        <w:tc>
          <w:tcPr>
            <w:tcW w:type="dxa" w:w="2736"/>
            <w:shd w:val="clear" w:fill="FFFFFF"/>
            <w:vAlign w:val="center"/>
          </w:tcPr>
          <w:p>
            <w:r>
              <w:rPr>
                <w:b/>
                <w:i w:val="0"/>
                <w:color w:val="3A3A3A"/>
                <w:sz w:val="18"/>
              </w:rPr>
              <w:t>Pratique sur feux réels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b w:val="0"/>
                <w:i w:val="0"/>
                <w:color w:val="3A3A3A"/>
                <w:sz w:val="18"/>
              </w:rPr>
              <w:t>Extincteurs (eau pulvérisée, poudre, CO₂) et RIA • extinction réelle sur générateur écologique : chaque participant manipule.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C0392B"/>
                <w:sz w:val="18"/>
              </w:rPr>
              <w:t>★★★</w:t>
            </w:r>
          </w:p>
        </w:tc>
      </w:tr>
      <w:tr>
        <w:tc>
          <w:tcPr>
            <w:tcW w:type="dxa" w:w="1296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8"/>
              </w:rPr>
              <w:t>10 min</w:t>
            </w:r>
          </w:p>
        </w:tc>
        <w:tc>
          <w:tcPr>
            <w:tcW w:type="dxa" w:w="2736"/>
            <w:shd w:val="clear" w:fill="F2F3F4"/>
            <w:vAlign w:val="center"/>
          </w:tcPr>
          <w:p>
            <w:r>
              <w:rPr>
                <w:b/>
                <w:i w:val="0"/>
                <w:color w:val="3A3A3A"/>
                <w:sz w:val="18"/>
              </w:rPr>
              <w:t>Débriefing &amp; validation</w:t>
            </w:r>
          </w:p>
        </w:tc>
        <w:tc>
          <w:tcPr>
            <w:tcW w:type="dxa" w:w="4896"/>
            <w:shd w:val="clear" w:fill="F2F3F4"/>
            <w:vAlign w:val="center"/>
          </w:tcPr>
          <w:p>
            <w:r>
              <w:rPr>
                <w:b w:val="0"/>
                <w:i w:val="0"/>
                <w:color w:val="3A3A3A"/>
                <w:sz w:val="18"/>
              </w:rPr>
              <w:t>Reprise individualisée des gestes • évaluation comportementale • signature du registre • remise des attestations.</w:t>
            </w:r>
          </w:p>
        </w:tc>
        <w:tc>
          <w:tcPr>
            <w:tcW w:type="dxa" w:w="1152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C0392B"/>
                <w:sz w:val="18"/>
              </w:rPr>
              <w:t>—</w:t>
            </w:r>
          </w:p>
        </w:tc>
      </w:tr>
    </w:tbl>
    <w:p>
      <w:pPr>
        <w:spacing w:after="60"/>
      </w:pPr>
    </w:p>
    <w:p>
      <w:r>
        <w:rPr>
          <w:i/>
          <w:color w:val="E67E22"/>
          <w:sz w:val="18"/>
        </w:rPr>
        <w:t>Pédagogie active — 80 % de pratique. Méthode C.A.D.R : Cadrage · Animation · Débriefing · Rapport.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CONTENU DÉTAILLÉ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5040"/>
          </w:tcPr>
          <w:p>
            <w:r>
              <w:rPr>
                <w:b/>
                <w:color w:val="C0392B"/>
                <w:sz w:val="21"/>
              </w:rPr>
              <w:t>Apports théoriques</w:t>
            </w:r>
          </w:p>
          <w:p>
            <w:pPr>
              <w:spacing w:after="40"/>
            </w:pPr>
            <w:r>
              <w:rPr>
                <w:color w:val="C0392B"/>
              </w:rPr>
              <w:t xml:space="preserve">• </w:t>
            </w:r>
            <w:r>
              <w:rPr>
                <w:sz w:val="19"/>
              </w:rPr>
              <w:t>Consignes et plans de sécurité en place</w:t>
            </w:r>
          </w:p>
          <w:p>
            <w:pPr>
              <w:spacing w:after="40"/>
            </w:pPr>
            <w:r>
              <w:rPr>
                <w:color w:val="C0392B"/>
              </w:rPr>
              <w:t xml:space="preserve">• </w:t>
            </w:r>
            <w:r>
              <w:rPr>
                <w:sz w:val="19"/>
              </w:rPr>
              <w:t>Triangle du feu : combustible, comburant, énergie</w:t>
            </w:r>
          </w:p>
          <w:p>
            <w:pPr>
              <w:spacing w:after="40"/>
            </w:pPr>
            <w:r>
              <w:rPr>
                <w:color w:val="C0392B"/>
              </w:rPr>
              <w:t xml:space="preserve">• </w:t>
            </w:r>
            <w:r>
              <w:rPr>
                <w:sz w:val="19"/>
              </w:rPr>
              <w:t>Classes de feux et reconnaissance des pictogrammes</w:t>
            </w:r>
          </w:p>
          <w:p>
            <w:pPr>
              <w:spacing w:after="40"/>
            </w:pPr>
            <w:r>
              <w:rPr>
                <w:color w:val="C0392B"/>
              </w:rPr>
              <w:t xml:space="preserve">• </w:t>
            </w:r>
            <w:r>
              <w:rPr>
                <w:sz w:val="19"/>
              </w:rPr>
              <w:t>Agents extincteurs et procédés d’extinction</w:t>
            </w:r>
          </w:p>
          <w:p>
            <w:pPr>
              <w:spacing w:after="40"/>
            </w:pPr>
            <w:r>
              <w:rPr>
                <w:color w:val="C0392B"/>
              </w:rPr>
              <w:t xml:space="preserve">• </w:t>
            </w:r>
            <w:r>
              <w:rPr>
                <w:sz w:val="19"/>
              </w:rPr>
              <w:t>Moyens d’extinction : extincteurs &amp; RIA</w:t>
            </w:r>
          </w:p>
        </w:tc>
        <w:tc>
          <w:tcPr>
            <w:tcW w:type="dxa" w:w="5040"/>
          </w:tcPr>
          <w:p>
            <w:r>
              <w:rPr>
                <w:b/>
                <w:color w:val="C0392B"/>
                <w:sz w:val="21"/>
              </w:rPr>
              <w:t>Mise en pratique</w:t>
            </w:r>
          </w:p>
          <w:p>
            <w:pPr>
              <w:spacing w:after="40"/>
            </w:pPr>
            <w:r>
              <w:rPr>
                <w:color w:val="E67E22"/>
              </w:rPr>
              <w:t xml:space="preserve">• </w:t>
            </w:r>
            <w:r>
              <w:rPr>
                <w:sz w:val="19"/>
              </w:rPr>
              <w:t>Présentation des extincteurs du site (eau, poudre, CO₂)</w:t>
            </w:r>
          </w:p>
          <w:p>
            <w:pPr>
              <w:spacing w:after="40"/>
            </w:pPr>
            <w:r>
              <w:rPr>
                <w:color w:val="E67E22"/>
              </w:rPr>
              <w:t xml:space="preserve">• </w:t>
            </w:r>
            <w:r>
              <w:rPr>
                <w:sz w:val="19"/>
              </w:rPr>
              <w:t>Présentation et utilisation du RIA</w:t>
            </w:r>
          </w:p>
          <w:p>
            <w:pPr>
              <w:spacing w:after="40"/>
            </w:pPr>
            <w:r>
              <w:rPr>
                <w:color w:val="E67E22"/>
              </w:rPr>
              <w:t xml:space="preserve">• </w:t>
            </w:r>
            <w:r>
              <w:rPr>
                <w:sz w:val="19"/>
              </w:rPr>
              <w:t>Exercices d’extinction réelle, encadrés individuellement</w:t>
            </w:r>
          </w:p>
          <w:p>
            <w:pPr>
              <w:spacing w:after="40"/>
            </w:pPr>
            <w:r>
              <w:rPr>
                <w:color w:val="E67E22"/>
              </w:rPr>
              <w:t xml:space="preserve">• </w:t>
            </w:r>
            <w:r>
              <w:rPr>
                <w:sz w:val="19"/>
              </w:rPr>
              <w:t>Générateur de flammes écologique « feux propres »</w:t>
            </w:r>
          </w:p>
          <w:p>
            <w:pPr>
              <w:spacing w:after="40"/>
            </w:pPr>
            <w:r>
              <w:rPr>
                <w:color w:val="E67E22"/>
              </w:rPr>
              <w:t xml:space="preserve">• </w:t>
            </w:r>
            <w:r>
              <w:rPr>
                <w:sz w:val="19"/>
              </w:rPr>
              <w:t>Sans fumée — utilisable en intérieur, protège sols &amp; environnement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MODALITÉS, MOYENS &amp; ÉVALUATION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5040"/>
          </w:tcPr>
          <w:p>
            <w:r>
              <w:rPr>
                <w:b/>
                <w:color w:val="26323B"/>
                <w:sz w:val="21"/>
              </w:rPr>
              <w:t>Moyens pédagogiques &amp; matériels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Formateur spécialisé en sécurité incendie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Supports visuels et démonstration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Extincteurs pédagogiques (eau, poudre, CO₂)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Robinet d’Incendie Armé (selon configuration)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Bac à feu / générateur de flammes écologique</w:t>
            </w:r>
          </w:p>
        </w:tc>
        <w:tc>
          <w:tcPr>
            <w:tcW w:type="dxa" w:w="5040"/>
          </w:tcPr>
          <w:p>
            <w:r>
              <w:rPr>
                <w:b/>
                <w:color w:val="26323B"/>
                <w:sz w:val="21"/>
              </w:rPr>
              <w:t>Évaluation &amp; validation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Contrôle continu du comportement en situation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Validation des gestes par le formateur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Émargement par demi-session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Attestation de fin de formation individuelle</w:t>
            </w:r>
          </w:p>
          <w:p>
            <w:pPr>
              <w:spacing w:after="40"/>
            </w:pPr>
            <w:r>
              <w:rPr>
                <w:color w:val="26323B"/>
              </w:rPr>
              <w:t xml:space="preserve">• </w:t>
            </w:r>
            <w:r>
              <w:rPr>
                <w:sz w:val="19"/>
              </w:rPr>
              <w:t>Mémo remis à chaque participant + rapport employeur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ORGANISATION POUR PLUSIEURS GROUPES — JOURNÉE TYPE</w:t>
            </w:r>
          </w:p>
        </w:tc>
      </w:tr>
    </w:tbl>
    <w:p>
      <w:pPr>
        <w:spacing w:after="40"/>
      </w:pPr>
    </w:p>
    <w:p>
      <w:r>
        <w:rPr>
          <w:sz w:val="20"/>
        </w:rPr>
        <w:t>Format pensé pour mettre rapidement vos équipes en conformité, sans bloquer la production. Sessions enchaînées de 1 h 30, organisables par entité (Cousin Trestec / Cousin Composites).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75"/>
        <w:gridCol w:w="3475"/>
        <w:gridCol w:w="3475"/>
      </w:tblGrid>
      <w:tr>
        <w:tc>
          <w:tcPr>
            <w:tcW w:type="dxa" w:w="3312"/>
            <w:shd w:val="clear" w:fill="C0392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Créneau</w:t>
            </w:r>
          </w:p>
        </w:tc>
        <w:tc>
          <w:tcPr>
            <w:tcW w:type="dxa" w:w="3312"/>
            <w:shd w:val="clear" w:fill="C0392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Session</w:t>
            </w:r>
          </w:p>
        </w:tc>
        <w:tc>
          <w:tcPr>
            <w:tcW w:type="dxa" w:w="3456"/>
            <w:shd w:val="clear" w:fill="C0392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Participants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08 h 30 – 10 h 00</w:t>
            </w:r>
          </w:p>
        </w:tc>
        <w:tc>
          <w:tcPr>
            <w:tcW w:type="dxa" w:w="3312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Session 1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jusqu’à 8</w:t>
            </w:r>
          </w:p>
        </w:tc>
      </w:tr>
      <w:tr>
        <w:tc>
          <w:tcPr>
            <w:tcW w:type="dxa" w:w="3312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10 h 15 – 11 h 45</w:t>
            </w:r>
          </w:p>
        </w:tc>
        <w:tc>
          <w:tcPr>
            <w:tcW w:type="dxa" w:w="3312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Session 2</w:t>
            </w:r>
          </w:p>
        </w:tc>
        <w:tc>
          <w:tcPr>
            <w:tcW w:type="dxa" w:w="3456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jusqu’à 8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13 h 30 – 15 h 00</w:t>
            </w:r>
          </w:p>
        </w:tc>
        <w:tc>
          <w:tcPr>
            <w:tcW w:type="dxa" w:w="3312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Session 3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jusqu’à 8</w:t>
            </w:r>
          </w:p>
        </w:tc>
      </w:tr>
      <w:tr>
        <w:tc>
          <w:tcPr>
            <w:tcW w:type="dxa" w:w="3312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15 h 15 – 16 h 45</w:t>
            </w:r>
          </w:p>
        </w:tc>
        <w:tc>
          <w:tcPr>
            <w:tcW w:type="dxa" w:w="3312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Session 4</w:t>
            </w:r>
          </w:p>
        </w:tc>
        <w:tc>
          <w:tcPr>
            <w:tcW w:type="dxa" w:w="3456"/>
            <w:shd w:val="clear" w:fill="F2F3F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A3A3A"/>
                <w:sz w:val="19"/>
              </w:rPr>
              <w:t>jusqu’à 8</w:t>
            </w:r>
          </w:p>
        </w:tc>
      </w:tr>
    </w:tbl>
    <w:p>
      <w:pPr>
        <w:spacing w:after="40"/>
      </w:pPr>
    </w:p>
    <w:p>
      <w:r>
        <w:rPr>
          <w:b/>
          <w:color w:val="C0392B"/>
          <w:sz w:val="19"/>
        </w:rPr>
        <w:t>→ Jusqu’à 32 personnes formées par jour et par formateur. Nombre de demi-journées à caler selon vos effectifs et entités.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r>
              <w:rPr>
                <w:b/>
                <w:color w:val="FFFFFF"/>
                <w:sz w:val="24"/>
              </w:rPr>
              <w:t xml:space="preserve">  FINANCEMENT &amp; ENGAGEMENT QUALITÉ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>
          <w:b/>
          <w:color w:val="E67E22"/>
        </w:rPr>
        <w:t xml:space="preserve">▪ </w:t>
      </w:r>
      <w:r>
        <w:rPr>
          <w:sz w:val="21"/>
        </w:rPr>
      </w:r>
      <w:r>
        <w:rPr>
          <w:b/>
          <w:sz w:val="21"/>
        </w:rPr>
        <w:t>Organisme certifié Qualiopi</w:t>
      </w:r>
      <w:r>
        <w:rPr>
          <w:sz w:val="21"/>
        </w:rPr>
        <w:t xml:space="preserve"> — prise en charge possible via votre OPCO (plan de développement des compétences).</w:t>
      </w:r>
    </w:p>
    <w:p>
      <w:pPr>
        <w:spacing w:after="60"/>
        <w:ind w:left="227"/>
      </w:pPr>
      <w:r>
        <w:rPr>
          <w:b/>
          <w:color w:val="E67E22"/>
        </w:rPr>
        <w:t xml:space="preserve">▪ </w:t>
      </w:r>
      <w:r>
        <w:rPr>
          <w:sz w:val="21"/>
        </w:rPr>
      </w:r>
      <w:r>
        <w:rPr>
          <w:b/>
          <w:sz w:val="21"/>
        </w:rPr>
        <w:t>Devis personnalisé</w:t>
      </w:r>
      <w:r>
        <w:rPr>
          <w:sz w:val="21"/>
        </w:rPr>
        <w:t xml:space="preserve"> établi selon le nombre de sessions et d’entités, sous 48 h.</w:t>
      </w:r>
    </w:p>
    <w:p>
      <w:pPr>
        <w:spacing w:after="60"/>
        <w:ind w:left="227"/>
      </w:pPr>
      <w:r>
        <w:rPr>
          <w:b/>
          <w:color w:val="E67E22"/>
        </w:rPr>
        <w:t xml:space="preserve">▪ </w:t>
      </w:r>
      <w:r>
        <w:rPr>
          <w:sz w:val="21"/>
        </w:rPr>
      </w:r>
      <w:r>
        <w:rPr>
          <w:b/>
          <w:sz w:val="21"/>
        </w:rPr>
        <w:t>Convention de formation</w:t>
      </w:r>
      <w:r>
        <w:rPr>
          <w:sz w:val="21"/>
        </w:rPr>
        <w:t xml:space="preserve"> conforme et rapport d’intervention remis à l’employeur.</w:t>
      </w:r>
    </w:p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080"/>
            <w:shd w:val="clear" w:fill="26323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ANDRAGOPS Académie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Damien Lemort — Formateur SST INRS / Formateur de formateurs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07 59 73 82 72   ·   info@andragops-academie.com   ·   www.andragops-academie.fr</w:t>
            </w:r>
          </w:p>
          <w:p>
            <w:pPr>
              <w:jc w:val="center"/>
            </w:pPr>
            <w:r>
              <w:rPr>
                <w:i/>
                <w:color w:val="C8CDD0"/>
                <w:sz w:val="15"/>
              </w:rPr>
              <w:t>Organisme de formation certifié Qualiopi · Document non contractuel</w:t>
            </w:r>
          </w:p>
        </w:tc>
      </w:tr>
    </w:tbl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