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ROMA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FT-ROMA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100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142  ±5%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90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3,91  ±5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60" w:after="60"/>
        <w:ind w:left="140" w:right="140"/>
      </w:pPr>
      <w:r>
        <w:rPr>
          <w:rFonts w:ascii="Arial" w:hAnsi="Arial"/>
          <w:i/>
          <w:color w:val="555555"/>
          <w:sz w:val="17"/>
        </w:rPr>
        <w:t>El tejido integra tecnología Soft Dry con propiedades de secado rápido para optimizar la evacuación de humedad y confort.</w:t>
      </w:r>
    </w:p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