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6F97" w14:textId="4A401A50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F5AD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5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(Diffie,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(Rivest, Shamir, Adleman);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Джефферсона,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2E19C7C0" w14:textId="5FE15DFC" w:rsidR="00757B98" w:rsidRPr="006334FD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</w:t>
      </w:r>
      <w:r w:rsidR="00297676">
        <w:rPr>
          <w:rFonts w:cs="Times New Roman"/>
          <w:color w:val="000000" w:themeColor="text1"/>
          <w:szCs w:val="28"/>
        </w:rPr>
        <w:t>ё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="006334FD" w:rsidRPr="00012A0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="006334FD" w:rsidRPr="006334FD">
        <w:rPr>
          <w:rFonts w:cs="Times New Roman"/>
          <w:color w:val="000000" w:themeColor="text1"/>
          <w:szCs w:val="28"/>
        </w:rPr>
        <w:t xml:space="preserve"> </w:t>
      </w:r>
      <w:r w:rsidR="006334FD"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(по номеру варианта</w:t>
      </w:r>
      <w:r w:rsidR="006334FD"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Pr="006334FD">
        <w:rPr>
          <w:rFonts w:cs="Times New Roman"/>
          <w:color w:val="000000" w:themeColor="text1"/>
          <w:szCs w:val="28"/>
        </w:rPr>
        <w:t>.</w:t>
      </w:r>
      <w:r w:rsidR="006334FD"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Фамилию Имя Отчество.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михежцчжшйч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окхчхиге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т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гэ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ишн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зижшпэг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оюжи</w:t>
            </w:r>
            <w:proofErr w:type="spellEnd"/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нозбъвё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жодщйц</w:t>
            </w:r>
            <w:proofErr w:type="spellEnd"/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ёьръ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клъюё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жёйлал</w:t>
            </w:r>
            <w:proofErr w:type="spellEnd"/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_ _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ип-оомитрдр_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ос,яубогп</w:t>
            </w:r>
            <w:proofErr w:type="spellEnd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кчалемре,осеал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_втссоаеотив_к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яетож_нксучнтуотдеыужбьатйдны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яс,_</w:t>
            </w:r>
            <w:proofErr w:type="spellStart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ндк,е_иаиу_ккддндаруто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еди.в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_нта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ахе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:_</w:t>
            </w:r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мио_всп_нгоиеодсичтгзнтеесодев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няднможь_не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еоовипи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ы_о_ввв_тттыыытуоо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атмтерем_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у,сес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,б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тшт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кыпргл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бгнщзг</w:t>
            </w:r>
            <w:proofErr w:type="spellEnd"/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пецен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ыд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зещеъез</w:t>
            </w:r>
            <w:proofErr w:type="spellEnd"/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очхей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й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гйък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щчрейв</w:t>
            </w:r>
            <w:proofErr w:type="spellEnd"/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  <w:proofErr w:type="spellEnd"/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  <w:proofErr w:type="spellEnd"/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  <w:proofErr w:type="spellEnd"/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  <w:proofErr w:type="spellEnd"/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  <w:proofErr w:type="spellEnd"/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  <w:proofErr w:type="spellEnd"/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  <w:proofErr w:type="spellEnd"/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  <w:proofErr w:type="spellEnd"/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  <w:proofErr w:type="spellEnd"/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  <w:proofErr w:type="spellEnd"/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  <w:proofErr w:type="spellEnd"/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  <w:proofErr w:type="spellEnd"/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8E"/>
    <w:rsid w:val="00012A0E"/>
    <w:rsid w:val="00041A3B"/>
    <w:rsid w:val="00072D54"/>
    <w:rsid w:val="000D4C59"/>
    <w:rsid w:val="00167278"/>
    <w:rsid w:val="001D5F2C"/>
    <w:rsid w:val="00263FFA"/>
    <w:rsid w:val="00297676"/>
    <w:rsid w:val="002E02CB"/>
    <w:rsid w:val="003046DE"/>
    <w:rsid w:val="00311635"/>
    <w:rsid w:val="00354E68"/>
    <w:rsid w:val="003B57BA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72B57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Илья Парибок</cp:lastModifiedBy>
  <cp:revision>6</cp:revision>
  <dcterms:created xsi:type="dcterms:W3CDTF">2021-02-24T07:54:00Z</dcterms:created>
  <dcterms:modified xsi:type="dcterms:W3CDTF">2022-04-19T22:37:00Z</dcterms:modified>
</cp:coreProperties>
</file>