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4"/>
        <w:gridCol w:w="1584"/>
        <w:gridCol w:w="1584"/>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(bu/a)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(bu/a)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2E639808" w:rsidR="00D66EBE" w:rsidRPr="0034433E" w:rsidRDefault="00D66EBE">
      <w:pPr>
        <w:rPr>
          <w:color w:val="FF0000"/>
        </w:rPr>
      </w:pPr>
      <w:r>
        <w:t>Varieties without a class DO NOT appear in those with classes.</w:t>
      </w:r>
    </w:p>
    <w:p w14:paraId="3DCC451F" w14:textId="3D54710E" w:rsidR="002D18F2" w:rsidRDefault="002D18F2">
      <w:pPr>
        <w:rPr>
          <w:color w:val="FF0000"/>
        </w:rPr>
      </w:pPr>
      <w:r w:rsidRPr="0034433E">
        <w:rPr>
          <w:color w:val="FF0000"/>
        </w:rPr>
        <w:t>If Class of 2011, there are only Check = TRUE</w:t>
      </w:r>
      <w:r w:rsidR="00737703" w:rsidRPr="0034433E">
        <w:rPr>
          <w:color w:val="FF0000"/>
        </w:rPr>
        <w:t xml:space="preserve"> and no Check = False</w:t>
      </w:r>
      <w:r w:rsidRPr="0034433E">
        <w:rPr>
          <w:color w:val="FF0000"/>
        </w:rPr>
        <w:t xml:space="preserve"> for years 2012, 2013 and 2014 (years AFTER graduation)</w:t>
      </w:r>
      <w:r w:rsidR="00737703" w:rsidRPr="0034433E">
        <w:rPr>
          <w:color w:val="FF0000"/>
        </w:rPr>
        <w:t>. The only check = TRUE appears in the years after graduation.</w:t>
      </w:r>
    </w:p>
    <w:p w14:paraId="6B81FC8D" w14:textId="147E19C3" w:rsidR="003F22E1" w:rsidRDefault="003F22E1">
      <w:pPr>
        <w:rPr>
          <w:color w:val="FF0000"/>
        </w:rPr>
      </w:pPr>
      <w:r>
        <w:rPr>
          <w:color w:val="FF0000"/>
        </w:rPr>
        <w:t>But for class of 2014, CHECK=TRUE for 2014’s experiments.</w:t>
      </w:r>
    </w:p>
    <w:p w14:paraId="44AF0AC2" w14:textId="74436F51" w:rsidR="00A45174" w:rsidRPr="0034433E" w:rsidRDefault="00A45174">
      <w:pPr>
        <w:rPr>
          <w:color w:val="FF0000"/>
        </w:rPr>
      </w:pPr>
      <w:r>
        <w:rPr>
          <w:color w:val="FF0000"/>
        </w:rPr>
        <w:t>Experiments before the first yield test – Grad = NO.</w:t>
      </w:r>
    </w:p>
    <w:p w14:paraId="4730459B" w14:textId="12527D4B" w:rsidR="00737703" w:rsidRDefault="006600EA">
      <w:r>
        <w:t xml:space="preserve">A variety can be in the class of 2014 but not have any experiments in 2014 </w:t>
      </w:r>
      <w:r>
        <w:sym w:font="Wingdings" w:char="F0E0"/>
      </w:r>
      <w:r>
        <w:t xml:space="preserve"> kicked out before that</w:t>
      </w:r>
    </w:p>
    <w:p w14:paraId="1B50CF19" w14:textId="0166289A" w:rsidR="002D18F2" w:rsidRDefault="002D18F2">
      <w:r>
        <w:t>For those who grad, some are elite and some are not (bag sales &gt;</w:t>
      </w:r>
      <w:r w:rsidR="00490FAF">
        <w:t>=</w:t>
      </w:r>
      <w:r w:rsidR="008F73CC">
        <w:t xml:space="preserve"> 1</w:t>
      </w:r>
      <w:r>
        <w:t xml:space="preserve"> million)</w:t>
      </w:r>
    </w:p>
    <w:p w14:paraId="717A8082" w14:textId="0A0F7D9B" w:rsidR="002D18F2" w:rsidRDefault="00CB60FE">
      <w:r>
        <w:t xml:space="preserve">Panel data: Grad, family, RM </w:t>
      </w:r>
      <w:bookmarkStart w:id="0" w:name="_GoBack"/>
      <w:bookmarkEnd w:id="0"/>
      <w:r w:rsidR="00FB7548">
        <w:t>will be the same for each variety.</w:t>
      </w:r>
    </w:p>
    <w:sectPr w:rsidR="002D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4433E"/>
    <w:rsid w:val="003D534D"/>
    <w:rsid w:val="003F22E1"/>
    <w:rsid w:val="00490FAF"/>
    <w:rsid w:val="00557541"/>
    <w:rsid w:val="005F7619"/>
    <w:rsid w:val="006600EA"/>
    <w:rsid w:val="006A5F47"/>
    <w:rsid w:val="00737703"/>
    <w:rsid w:val="008E76A7"/>
    <w:rsid w:val="008F73CC"/>
    <w:rsid w:val="00A45174"/>
    <w:rsid w:val="00B217F8"/>
    <w:rsid w:val="00C46B3E"/>
    <w:rsid w:val="00CB60FE"/>
    <w:rsid w:val="00CF33B2"/>
    <w:rsid w:val="00D66EBE"/>
    <w:rsid w:val="00D858F4"/>
    <w:rsid w:val="00E64440"/>
    <w:rsid w:val="00EB0EFD"/>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22</cp:revision>
  <cp:lastPrinted>2016-10-06T22:59:00Z</cp:lastPrinted>
  <dcterms:created xsi:type="dcterms:W3CDTF">2016-10-06T23:00:00Z</dcterms:created>
  <dcterms:modified xsi:type="dcterms:W3CDTF">2016-10-28T00:32:00Z</dcterms:modified>
</cp:coreProperties>
</file>