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54D" w14:textId="249FFD73" w:rsidR="00A55A21" w:rsidRDefault="006F4B10">
      <w:pPr>
        <w:rPr>
          <w:lang w:val="es-MX"/>
        </w:rPr>
      </w:pPr>
      <w:r>
        <w:rPr>
          <w:lang w:val="es-MX"/>
        </w:rPr>
        <w:t>Borrador preguntas:</w:t>
      </w:r>
    </w:p>
    <w:p w14:paraId="686A8C51" w14:textId="38BD776A" w:rsidR="006F4B10" w:rsidRDefault="000355A5">
      <w:pPr>
        <w:rPr>
          <w:lang w:val="es-MX"/>
        </w:rPr>
      </w:pPr>
      <w:r>
        <w:rPr>
          <w:lang w:val="es-MX"/>
        </w:rPr>
        <w:t>P.2.1.1</w:t>
      </w:r>
    </w:p>
    <w:p w14:paraId="2E399B14" w14:textId="77777777" w:rsidR="000355A5" w:rsidRPr="000355A5" w:rsidRDefault="000355A5" w:rsidP="000355A5">
      <w:pPr>
        <w:numPr>
          <w:ilvl w:val="0"/>
          <w:numId w:val="1"/>
        </w:numPr>
      </w:pPr>
      <w:r>
        <w:rPr>
          <w:lang w:val="es-MX"/>
        </w:rPr>
        <w:t xml:space="preserve">Cambio de las contribuciones promedio en </w:t>
      </w:r>
      <w:proofErr w:type="spellStart"/>
      <w:r>
        <w:rPr>
          <w:lang w:val="es-MX"/>
        </w:rPr>
        <w:t>en</w:t>
      </w:r>
      <w:proofErr w:type="spellEnd"/>
      <w:r>
        <w:rPr>
          <w:lang w:val="es-MX"/>
        </w:rPr>
        <w:t xml:space="preserve"> transcurso del juego:</w:t>
      </w:r>
      <w:r>
        <w:rPr>
          <w:lang w:val="es-MX"/>
        </w:rPr>
        <w:br/>
      </w:r>
      <w:r w:rsidRPr="000355A5">
        <w:rPr>
          <w:b/>
          <w:bCs/>
        </w:rPr>
        <w:t>Alto nivel inicial (Ronda 1):</w:t>
      </w:r>
      <w:r w:rsidRPr="000355A5">
        <w:t xml:space="preserve"> El juego arranca con un promedio de contribución elevado de </w:t>
      </w:r>
      <w:r w:rsidRPr="000355A5">
        <w:rPr>
          <w:b/>
          <w:bCs/>
        </w:rPr>
        <w:t>44.59 tokens</w:t>
      </w:r>
      <w:r w:rsidRPr="000355A5">
        <w:t xml:space="preserve"> (aproximadamente un 44.6% del máximo posible de 100).</w:t>
      </w:r>
    </w:p>
    <w:p w14:paraId="72FF25C7" w14:textId="77777777" w:rsidR="000355A5" w:rsidRPr="000355A5" w:rsidRDefault="000355A5" w:rsidP="000355A5">
      <w:pPr>
        <w:numPr>
          <w:ilvl w:val="0"/>
          <w:numId w:val="1"/>
        </w:numPr>
      </w:pPr>
      <w:r w:rsidRPr="000355A5">
        <w:rPr>
          <w:b/>
          <w:bCs/>
        </w:rPr>
        <w:t>Caída rápida y pronunciada (Rondas 1 a 4):</w:t>
      </w:r>
      <w:r w:rsidRPr="000355A5">
        <w:t xml:space="preserve"> Se presenta una disminución continua en la cooperación. La contribución promedio cae a 39.41 en la ronda 2, 34.18 en la ronda 3 y llega a 17.67 en la ronda 4, reduciéndose a menos de la mitad en solo cuatro períodos.</w:t>
      </w:r>
    </w:p>
    <w:p w14:paraId="4159497D" w14:textId="77777777" w:rsidR="000355A5" w:rsidRPr="000355A5" w:rsidRDefault="000355A5" w:rsidP="000355A5">
      <w:pPr>
        <w:numPr>
          <w:ilvl w:val="0"/>
          <w:numId w:val="1"/>
        </w:numPr>
      </w:pPr>
      <w:r w:rsidRPr="000355A5">
        <w:rPr>
          <w:b/>
          <w:bCs/>
        </w:rPr>
        <w:t>Fluctuación en niveles bajos (Rondas 5 a 9):</w:t>
      </w:r>
      <w:r w:rsidRPr="000355A5">
        <w:t xml:space="preserve"> Entre los períodos 5 y 9, la contribución promedio se mantiene baja y oscilante. Aunque hay leves repuntes en la ronda 5 (20.00) y la ronda 7 (16.90), la tendencia descendente predomina hasta alcanzar el </w:t>
      </w:r>
      <w:r w:rsidRPr="000355A5">
        <w:rPr>
          <w:b/>
          <w:bCs/>
        </w:rPr>
        <w:t>mínimo del juego en la ronda 9 con 4.86 tokens</w:t>
      </w:r>
      <w:r w:rsidRPr="000355A5">
        <w:t>.</w:t>
      </w:r>
    </w:p>
    <w:p w14:paraId="1965268A" w14:textId="77777777" w:rsidR="000355A5" w:rsidRPr="000355A5" w:rsidRDefault="000355A5" w:rsidP="000355A5">
      <w:pPr>
        <w:numPr>
          <w:ilvl w:val="0"/>
          <w:numId w:val="1"/>
        </w:numPr>
      </w:pPr>
      <w:r w:rsidRPr="000355A5">
        <w:rPr>
          <w:b/>
          <w:bCs/>
        </w:rPr>
        <w:t>Repunte final (Ronda 10):</w:t>
      </w:r>
      <w:r w:rsidRPr="000355A5">
        <w:t xml:space="preserve"> En el último período se observa un incremento ligero alcanzando </w:t>
      </w:r>
      <w:r w:rsidRPr="000355A5">
        <w:rPr>
          <w:b/>
          <w:bCs/>
        </w:rPr>
        <w:t>12.86 tokens</w:t>
      </w:r>
      <w:r w:rsidRPr="000355A5">
        <w:t>. Este fenómeno es conocido en la economía experimental como el "efecto de fin de juego" (</w:t>
      </w:r>
      <w:proofErr w:type="spellStart"/>
      <w:r w:rsidRPr="000355A5">
        <w:rPr>
          <w:i/>
          <w:iCs/>
        </w:rPr>
        <w:t>end-game</w:t>
      </w:r>
      <w:proofErr w:type="spellEnd"/>
      <w:r w:rsidRPr="000355A5">
        <w:rPr>
          <w:i/>
          <w:iCs/>
        </w:rPr>
        <w:t xml:space="preserve"> </w:t>
      </w:r>
      <w:proofErr w:type="spellStart"/>
      <w:r w:rsidRPr="000355A5">
        <w:rPr>
          <w:i/>
          <w:iCs/>
        </w:rPr>
        <w:t>effect</w:t>
      </w:r>
      <w:proofErr w:type="spellEnd"/>
      <w:r w:rsidRPr="000355A5">
        <w:t>), donde algunos jugadores cambian su estrategia al saber que es la última oportunidad de aportar.</w:t>
      </w:r>
    </w:p>
    <w:p w14:paraId="6C8BFFF8" w14:textId="0A657456" w:rsidR="000355A5" w:rsidRDefault="001A40AD">
      <w:pPr>
        <w:rPr>
          <w:lang w:val="es-MX"/>
        </w:rPr>
      </w:pPr>
      <w:r>
        <w:rPr>
          <w:lang w:val="es-MX"/>
        </w:rPr>
        <w:t>P.2.1.2</w:t>
      </w:r>
    </w:p>
    <w:p w14:paraId="39FA6B92" w14:textId="77777777" w:rsidR="001A40AD" w:rsidRPr="001A40AD" w:rsidRDefault="001A40AD" w:rsidP="001A40AD">
      <w:r w:rsidRPr="001A40AD">
        <w:rPr>
          <w:b/>
          <w:bCs/>
        </w:rPr>
        <w:t>Similitudes en la tendencia general</w:t>
      </w:r>
    </w:p>
    <w:p w14:paraId="56FD9A2D" w14:textId="77777777" w:rsidR="001A40AD" w:rsidRPr="001A40AD" w:rsidRDefault="001A40AD" w:rsidP="001A40AD">
      <w:pPr>
        <w:numPr>
          <w:ilvl w:val="0"/>
          <w:numId w:val="2"/>
        </w:numPr>
      </w:pPr>
      <w:r w:rsidRPr="001A40AD">
        <w:rPr>
          <w:b/>
          <w:bCs/>
        </w:rPr>
        <w:t>Deterioro de la cooperación:</w:t>
      </w:r>
      <w:r w:rsidRPr="001A40AD">
        <w:t xml:space="preserve"> Ambos gráficos muestran una clara </w:t>
      </w:r>
      <w:r w:rsidRPr="001A40AD">
        <w:rPr>
          <w:b/>
          <w:bCs/>
        </w:rPr>
        <w:t>tendencia decreciente</w:t>
      </w:r>
      <w:r w:rsidRPr="001A40AD">
        <w:t xml:space="preserve"> en las contribuciones promedio a medida que avanzan los períodos. Tanto en nuestro experimento de clase como en las 16 ciudades de la Figura 3 de Herrmann et al. (2008), la ausencia de un mecanismo de sanción o castigo provoca el colapso progresivo de los aportes debido al problema del polizón (</w:t>
      </w:r>
      <w:r w:rsidRPr="001A40AD">
        <w:rPr>
          <w:i/>
          <w:iCs/>
        </w:rPr>
        <w:t>free-</w:t>
      </w:r>
      <w:proofErr w:type="spellStart"/>
      <w:r w:rsidRPr="001A40AD">
        <w:rPr>
          <w:i/>
          <w:iCs/>
        </w:rPr>
        <w:t>riding</w:t>
      </w:r>
      <w:proofErr w:type="spellEnd"/>
      <w:r w:rsidRPr="001A40AD">
        <w:t>).</w:t>
      </w:r>
    </w:p>
    <w:p w14:paraId="5A109DE4" w14:textId="77777777" w:rsidR="001A40AD" w:rsidRPr="001A40AD" w:rsidRDefault="001A40AD" w:rsidP="001A40AD">
      <w:pPr>
        <w:numPr>
          <w:ilvl w:val="0"/>
          <w:numId w:val="2"/>
        </w:numPr>
      </w:pPr>
      <w:r w:rsidRPr="001A40AD">
        <w:rPr>
          <w:b/>
          <w:bCs/>
        </w:rPr>
        <w:t>Nivel proporcional inicial:</w:t>
      </w:r>
      <w:r w:rsidRPr="001A40AD">
        <w:t xml:space="preserve"> En términos relativos, ambos experimentos inician con un nivel medio-alto de cooperación (aproximadamente entre el $40\%$ y el $70\%$ del total de tokens disponibles). En la Figura 3 los participantes inician aportando entre 8 y 14 tokens (de 20 posibles), mientras que en la clase inician en 44.59 tokens (de 100 posibles).</w:t>
      </w:r>
    </w:p>
    <w:p w14:paraId="4A862319" w14:textId="77777777" w:rsidR="001A40AD" w:rsidRPr="001A40AD" w:rsidRDefault="001A40AD" w:rsidP="001A40AD">
      <w:r w:rsidRPr="001A40AD">
        <w:rPr>
          <w:b/>
          <w:bCs/>
        </w:rPr>
        <w:t>Diferencias principales</w:t>
      </w:r>
    </w:p>
    <w:p w14:paraId="16FD45CF" w14:textId="77777777" w:rsidR="001A40AD" w:rsidRPr="001A40AD" w:rsidRDefault="001A40AD" w:rsidP="001A40AD">
      <w:pPr>
        <w:numPr>
          <w:ilvl w:val="0"/>
          <w:numId w:val="3"/>
        </w:numPr>
      </w:pPr>
      <w:r w:rsidRPr="001A40AD">
        <w:rPr>
          <w:b/>
          <w:bCs/>
        </w:rPr>
        <w:lastRenderedPageBreak/>
        <w:t>Velocidad de la caída:</w:t>
      </w:r>
      <w:r w:rsidRPr="001A40AD">
        <w:t xml:space="preserve"> En la Figura 3 la disminución de los aportes ocurre de manera constante y gradual a lo largo de las 10 rondas. En nuestro experimento de clase, la caída es mucho más </w:t>
      </w:r>
      <w:r w:rsidRPr="001A40AD">
        <w:rPr>
          <w:b/>
          <w:bCs/>
        </w:rPr>
        <w:t>abrupta y acelerada</w:t>
      </w:r>
      <w:r w:rsidRPr="001A40AD">
        <w:t xml:space="preserve"> en las primeras cuatro rondas, pasando de 44.59 tokens a 17.67 en el período 4.</w:t>
      </w:r>
    </w:p>
    <w:p w14:paraId="0D6BD3DE" w14:textId="77777777" w:rsidR="001A40AD" w:rsidRPr="001A40AD" w:rsidRDefault="001A40AD" w:rsidP="001A40AD">
      <w:pPr>
        <w:numPr>
          <w:ilvl w:val="0"/>
          <w:numId w:val="3"/>
        </w:numPr>
      </w:pPr>
      <w:r w:rsidRPr="001A40AD">
        <w:rPr>
          <w:b/>
          <w:bCs/>
        </w:rPr>
        <w:t>Comportamiento en la última ronda (</w:t>
      </w:r>
      <w:proofErr w:type="spellStart"/>
      <w:r w:rsidRPr="001A40AD">
        <w:rPr>
          <w:b/>
          <w:bCs/>
          <w:i/>
          <w:iCs/>
        </w:rPr>
        <w:t>end-game</w:t>
      </w:r>
      <w:proofErr w:type="spellEnd"/>
      <w:r w:rsidRPr="001A40AD">
        <w:rPr>
          <w:b/>
          <w:bCs/>
          <w:i/>
          <w:iCs/>
        </w:rPr>
        <w:t xml:space="preserve"> </w:t>
      </w:r>
      <w:proofErr w:type="spellStart"/>
      <w:r w:rsidRPr="001A40AD">
        <w:rPr>
          <w:b/>
          <w:bCs/>
          <w:i/>
          <w:iCs/>
        </w:rPr>
        <w:t>effect</w:t>
      </w:r>
      <w:proofErr w:type="spellEnd"/>
      <w:r w:rsidRPr="001A40AD">
        <w:rPr>
          <w:b/>
          <w:bCs/>
        </w:rPr>
        <w:t>):</w:t>
      </w:r>
      <w:r w:rsidRPr="001A40AD">
        <w:t xml:space="preserve"> Mientras que en la Figura 3 la mayoría de ciudades terminan en sus puntos más bajos en el período 10 (entre 1 y 8 tokens), en nuestro gráfico de clase se observa un </w:t>
      </w:r>
      <w:r w:rsidRPr="001A40AD">
        <w:rPr>
          <w:b/>
          <w:bCs/>
        </w:rPr>
        <w:t>repunte final</w:t>
      </w:r>
      <w:r w:rsidRPr="001A40AD">
        <w:t xml:space="preserve"> en la ronda 10 (subiendo de 4.86 en la ronda 9 a 12.86 en la 10), fenómeno conocido como efecto de fin de juego.</w:t>
      </w:r>
    </w:p>
    <w:p w14:paraId="7CABB1EE" w14:textId="77777777" w:rsidR="001A40AD" w:rsidRPr="001A40AD" w:rsidRDefault="001A40AD" w:rsidP="001A40AD">
      <w:pPr>
        <w:numPr>
          <w:ilvl w:val="0"/>
          <w:numId w:val="3"/>
        </w:numPr>
      </w:pPr>
      <w:r w:rsidRPr="001A40AD">
        <w:rPr>
          <w:b/>
          <w:bCs/>
        </w:rPr>
        <w:t xml:space="preserve">Volatilidad </w:t>
      </w:r>
      <w:proofErr w:type="spellStart"/>
      <w:r w:rsidRPr="001A40AD">
        <w:rPr>
          <w:b/>
          <w:bCs/>
        </w:rPr>
        <w:t>intertemporal</w:t>
      </w:r>
      <w:proofErr w:type="spellEnd"/>
      <w:r w:rsidRPr="001A40AD">
        <w:rPr>
          <w:b/>
          <w:bCs/>
        </w:rPr>
        <w:t>:</w:t>
      </w:r>
      <w:r w:rsidRPr="001A40AD">
        <w:t xml:space="preserve"> Las líneas del estudio internacional muestran trayectorias más suaves y estables entre períodos, mientras que el gráfico de la clase presenta fluctuaciones notorias (picos intermedios en las rondas 5 y 7).</w:t>
      </w:r>
    </w:p>
    <w:p w14:paraId="138C513B" w14:textId="38ADB491" w:rsidR="00644022" w:rsidRPr="00644022" w:rsidRDefault="00644022" w:rsidP="00644022">
      <w:r w:rsidRPr="00644022">
        <w:t>P.2.1.4</w:t>
      </w:r>
    </w:p>
    <w:p w14:paraId="000DD7D7" w14:textId="0795A94B" w:rsidR="00644022" w:rsidRPr="00644022" w:rsidRDefault="00644022" w:rsidP="00644022">
      <w:pPr>
        <w:rPr>
          <w:b/>
          <w:bCs/>
        </w:rPr>
      </w:pPr>
      <w:r w:rsidRPr="00644022">
        <w:rPr>
          <w:b/>
          <w:bCs/>
        </w:rPr>
        <w:t>Factores explicativos de las similitudes y diferencias con la Figura 3</w:t>
      </w:r>
    </w:p>
    <w:p w14:paraId="2E1E0AEE" w14:textId="77777777" w:rsidR="00644022" w:rsidRPr="00644022" w:rsidRDefault="00644022" w:rsidP="00644022">
      <w:r w:rsidRPr="00644022">
        <w:t xml:space="preserve">Al analizar la sección </w:t>
      </w:r>
      <w:r w:rsidRPr="00644022">
        <w:rPr>
          <w:i/>
          <w:iCs/>
        </w:rPr>
        <w:t>"</w:t>
      </w:r>
      <w:proofErr w:type="spellStart"/>
      <w:r w:rsidRPr="00644022">
        <w:rPr>
          <w:i/>
          <w:iCs/>
        </w:rPr>
        <w:t>Experiments</w:t>
      </w:r>
      <w:proofErr w:type="spellEnd"/>
      <w:r w:rsidRPr="00644022">
        <w:rPr>
          <w:i/>
          <w:iCs/>
        </w:rPr>
        <w:t>"</w:t>
      </w:r>
      <w:r w:rsidRPr="00644022">
        <w:t xml:space="preserve"> de Herrmann et al. (2008), es posible identificar las razones metodológicas y teóricas que explican el comportamiento de los datos:</w:t>
      </w:r>
    </w:p>
    <w:p w14:paraId="51960C4D" w14:textId="77777777" w:rsidR="00644022" w:rsidRPr="00644022" w:rsidRDefault="00644022" w:rsidP="00644022">
      <w:pPr>
        <w:numPr>
          <w:ilvl w:val="0"/>
          <w:numId w:val="4"/>
        </w:numPr>
      </w:pPr>
      <w:r w:rsidRPr="00644022">
        <w:rPr>
          <w:b/>
          <w:bCs/>
        </w:rPr>
        <w:t xml:space="preserve">Razones de las Similitudes (Estructura de incentivos y </w:t>
      </w:r>
      <w:r w:rsidRPr="00644022">
        <w:rPr>
          <w:b/>
          <w:bCs/>
          <w:i/>
          <w:iCs/>
        </w:rPr>
        <w:t xml:space="preserve">Free </w:t>
      </w:r>
      <w:proofErr w:type="spellStart"/>
      <w:r w:rsidRPr="00644022">
        <w:rPr>
          <w:b/>
          <w:bCs/>
          <w:i/>
          <w:iCs/>
        </w:rPr>
        <w:t>Riding</w:t>
      </w:r>
      <w:proofErr w:type="spellEnd"/>
      <w:r w:rsidRPr="00644022">
        <w:rPr>
          <w:b/>
          <w:bCs/>
        </w:rPr>
        <w:t>):</w:t>
      </w:r>
    </w:p>
    <w:p w14:paraId="0462C429" w14:textId="77777777" w:rsidR="00644022" w:rsidRPr="00644022" w:rsidRDefault="00644022" w:rsidP="00644022">
      <w:pPr>
        <w:numPr>
          <w:ilvl w:val="1"/>
          <w:numId w:val="4"/>
        </w:numPr>
      </w:pPr>
      <w:r w:rsidRPr="00644022">
        <w:rPr>
          <w:b/>
          <w:bCs/>
        </w:rPr>
        <w:t>Mecanismo de Retorno Marginal (MPCR):</w:t>
      </w:r>
      <w:r w:rsidRPr="00644022">
        <w:t xml:space="preserve"> En ambos experimentos la regla de pagos es idéntica: por cada token aportado individualmente, la persona solo recupera $0.4$ tokens (una pérdida neta de $0.6$ tokens por unidad aportada). Desde la teoría del </w:t>
      </w:r>
      <w:r w:rsidRPr="00644022">
        <w:rPr>
          <w:i/>
          <w:iCs/>
        </w:rPr>
        <w:t xml:space="preserve">Homo </w:t>
      </w:r>
      <w:proofErr w:type="spellStart"/>
      <w:r w:rsidRPr="00644022">
        <w:rPr>
          <w:i/>
          <w:iCs/>
        </w:rPr>
        <w:t>Economicus</w:t>
      </w:r>
      <w:proofErr w:type="spellEnd"/>
      <w:r w:rsidRPr="00644022">
        <w:t xml:space="preserve">, la estrategia dominante individual es aportar $0$. A medida que los participantes observan que otros no contribuyen, la confianza inicial se deteriora y el nivel de cooperación colapsa progresivamente en ambos escenarios. </w:t>
      </w:r>
    </w:p>
    <w:p w14:paraId="5C0C18BB" w14:textId="77777777" w:rsidR="00644022" w:rsidRPr="00644022" w:rsidRDefault="00644022" w:rsidP="00644022">
      <w:pPr>
        <w:numPr>
          <w:ilvl w:val="0"/>
          <w:numId w:val="4"/>
        </w:numPr>
      </w:pPr>
      <w:r w:rsidRPr="00644022">
        <w:rPr>
          <w:b/>
          <w:bCs/>
        </w:rPr>
        <w:t>Razones de las Diferencias (Magnitud, Volatilidad y Efecto Fin de Juego):</w:t>
      </w:r>
    </w:p>
    <w:p w14:paraId="571DB4D8" w14:textId="77777777" w:rsidR="00644022" w:rsidRPr="00644022" w:rsidRDefault="00644022" w:rsidP="00644022">
      <w:pPr>
        <w:numPr>
          <w:ilvl w:val="1"/>
          <w:numId w:val="4"/>
        </w:numPr>
      </w:pPr>
      <w:r w:rsidRPr="00644022">
        <w:rPr>
          <w:b/>
          <w:bCs/>
        </w:rPr>
        <w:t>Grado de Anonimato e Interacción Social:</w:t>
      </w:r>
      <w:r w:rsidRPr="00644022">
        <w:t xml:space="preserve"> Mientras que en Herrmann et al. (2008) las decisiones fueron estrictamente computarizadas y anónimas entre extraños aislados en cubículos, el experimento de clase se realizó con presencia física entre compañeros. Esta reducción del anonimato incrementa la presión social y la búsqueda de aprobación, elevando la contribución inicial en clase a $44.59$ tokens (frente al rango de 8 a 14 en el estudio). </w:t>
      </w:r>
    </w:p>
    <w:p w14:paraId="29AFA66D" w14:textId="77777777" w:rsidR="00644022" w:rsidRPr="00644022" w:rsidRDefault="00644022" w:rsidP="00644022">
      <w:pPr>
        <w:numPr>
          <w:ilvl w:val="1"/>
          <w:numId w:val="4"/>
        </w:numPr>
      </w:pPr>
      <w:r w:rsidRPr="00644022">
        <w:rPr>
          <w:b/>
          <w:bCs/>
        </w:rPr>
        <w:lastRenderedPageBreak/>
        <w:t>Incentivos Financieros Reales:</w:t>
      </w:r>
      <w:r w:rsidRPr="00644022">
        <w:t xml:space="preserve"> Los experimentos de laboratorio internacional involucraron pagos en dinero real con tasas de cambio monetarias, lo que disciplina el comportamiento hacia el interés propio de forma más constante. En el salón de clase, al ser un ejercicio académico, existe mayor espacio para la volatilidad y la experimentación de estrategias. </w:t>
      </w:r>
    </w:p>
    <w:p w14:paraId="529062E9" w14:textId="77777777" w:rsidR="00644022" w:rsidRPr="00644022" w:rsidRDefault="00644022" w:rsidP="00644022">
      <w:pPr>
        <w:numPr>
          <w:ilvl w:val="1"/>
          <w:numId w:val="4"/>
        </w:numPr>
      </w:pPr>
      <w:r w:rsidRPr="00644022">
        <w:rPr>
          <w:b/>
          <w:bCs/>
        </w:rPr>
        <w:t>Conocimiento del Límite de Períodos (</w:t>
      </w:r>
      <w:proofErr w:type="spellStart"/>
      <w:r w:rsidRPr="00644022">
        <w:rPr>
          <w:b/>
          <w:bCs/>
          <w:i/>
          <w:iCs/>
        </w:rPr>
        <w:t>End-Game</w:t>
      </w:r>
      <w:proofErr w:type="spellEnd"/>
      <w:r w:rsidRPr="00644022">
        <w:rPr>
          <w:b/>
          <w:bCs/>
          <w:i/>
          <w:iCs/>
        </w:rPr>
        <w:t xml:space="preserve"> </w:t>
      </w:r>
      <w:proofErr w:type="spellStart"/>
      <w:r w:rsidRPr="00644022">
        <w:rPr>
          <w:b/>
          <w:bCs/>
          <w:i/>
          <w:iCs/>
        </w:rPr>
        <w:t>Effect</w:t>
      </w:r>
      <w:proofErr w:type="spellEnd"/>
      <w:r w:rsidRPr="00644022">
        <w:rPr>
          <w:b/>
          <w:bCs/>
        </w:rPr>
        <w:t>):</w:t>
      </w:r>
      <w:r w:rsidRPr="00644022">
        <w:t xml:space="preserve"> El conocimiento explícito de que el juego terminaría en la ronda 10, sumado al perfil académico de los estudiantes en economía y analítica, facilitó un repunte táctico en el último período ($12.86$ tokens) al no existir posibilidad de retaliación futura, a diferencia del colapso casi total que se observa en la mayoría de ciudades del estudio. </w:t>
      </w:r>
    </w:p>
    <w:p w14:paraId="1BF3AD31" w14:textId="77777777" w:rsidR="00C07691" w:rsidRDefault="00C07691" w:rsidP="00C07691">
      <w:pPr>
        <w:pStyle w:val="Ttulo1"/>
        <w:spacing w:after="40"/>
      </w:pPr>
      <w:r>
        <w:rPr>
          <w:lang w:val="es-MX"/>
        </w:rPr>
        <w:lastRenderedPageBreak/>
        <w:br/>
      </w:r>
      <w:r>
        <w:rPr>
          <w:rFonts w:ascii="Arial" w:eastAsia="Arial" w:hAnsi="Arial" w:cs="Arial"/>
          <w:b/>
          <w:bCs/>
          <w:color w:val="1F3A5F"/>
          <w:sz w:val="30"/>
          <w:szCs w:val="30"/>
        </w:rPr>
        <w:t>Sección 2.2</w:t>
      </w:r>
      <w:r>
        <w:br/>
      </w:r>
    </w:p>
    <w:p w14:paraId="6E47F6C8" w14:textId="77777777" w:rsidR="00C07691" w:rsidRDefault="00C07691" w:rsidP="00C07691">
      <w:pPr>
        <w:pStyle w:val="Ttulo2"/>
        <w:spacing w:before="260" w:after="100"/>
      </w:pPr>
      <w:r>
        <w:rPr>
          <w:rFonts w:ascii="Arial" w:eastAsia="Arial" w:hAnsi="Arial" w:cs="Arial"/>
          <w:b/>
          <w:bCs/>
          <w:color w:val="1F3A5F"/>
          <w:sz w:val="24"/>
          <w:szCs w:val="24"/>
        </w:rPr>
        <w:t>P.2.2.1</w:t>
      </w:r>
    </w:p>
    <w:p w14:paraId="59D34985" w14:textId="77777777" w:rsidR="00C07691" w:rsidRDefault="00C07691" w:rsidP="00C07691">
      <w:pPr>
        <w:keepNext/>
        <w:spacing w:after="110" w:line="288" w:lineRule="auto"/>
      </w:pPr>
      <w:r>
        <w:rPr>
          <w:rFonts w:ascii="Arial" w:eastAsia="Arial" w:hAnsi="Arial" w:cs="Arial"/>
          <w:sz w:val="21"/>
          <w:szCs w:val="21"/>
        </w:rPr>
        <w:t>Calculamos el promedio de las 16 ciudades en cada período, por separado para cada experimento (tabla completa en Tables/Tabla P2_2_1.xlsx), y lo graficamos.</w:t>
      </w:r>
    </w:p>
    <w:p w14:paraId="19B85EB1" w14:textId="77777777" w:rsidR="00C07691" w:rsidRDefault="00C07691" w:rsidP="00C07691">
      <w:pPr>
        <w:keepNext/>
        <w:spacing w:before="100"/>
        <w:jc w:val="center"/>
      </w:pPr>
      <w:r>
        <w:rPr>
          <w:noProof/>
        </w:rPr>
        <w:drawing>
          <wp:inline distT="0" distB="0" distL="0" distR="0" wp14:anchorId="2E64EB11" wp14:editId="709AB9EC">
            <wp:extent cx="4333875" cy="2695575"/>
            <wp:effectExtent l="0" t="0" r="0" b="0"/>
            <wp:docPr id="1" name="grafica_P_2_2_1.png" descr="Gráfica" title="grafica_P_2_2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33875" cy="2695575"/>
                    </a:xfrm>
                    <a:prstGeom prst="rect">
                      <a:avLst/>
                    </a:prstGeom>
                  </pic:spPr>
                </pic:pic>
              </a:graphicData>
            </a:graphic>
          </wp:inline>
        </w:drawing>
      </w:r>
    </w:p>
    <w:p w14:paraId="3DB473B2" w14:textId="30421B14" w:rsidR="00C07691" w:rsidRDefault="00C07691" w:rsidP="00C07691">
      <w:pPr>
        <w:keepNext/>
        <w:spacing w:before="120" w:after="70"/>
      </w:pPr>
      <w:r>
        <w:rPr>
          <w:rFonts w:ascii="Arial" w:eastAsia="Arial" w:hAnsi="Arial" w:cs="Arial"/>
          <w:i/>
          <w:iCs/>
          <w:color w:val="595959"/>
          <w:sz w:val="18"/>
          <w:szCs w:val="18"/>
        </w:rPr>
        <w:br/>
      </w:r>
      <w:r>
        <w:rPr>
          <w:rFonts w:ascii="Arial" w:eastAsia="Arial" w:hAnsi="Arial" w:cs="Arial"/>
          <w:b/>
          <w:bCs/>
          <w:sz w:val="21"/>
          <w:szCs w:val="21"/>
        </w:rPr>
        <w:t>¿Qué diferencias y similitudes observamos?</w:t>
      </w:r>
    </w:p>
    <w:p w14:paraId="4EC74CD4"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Mismo punto de partida:</w:t>
      </w:r>
      <w:r>
        <w:rPr>
          <w:rFonts w:ascii="Arial" w:eastAsia="Arial" w:hAnsi="Arial" w:cs="Arial"/>
          <w:sz w:val="21"/>
          <w:szCs w:val="21"/>
        </w:rPr>
        <w:t xml:space="preserve"> los dos experimentos arrancan casi en el mismo nivel (10.58 tokens sin castigo y 10.64 con castigo; una diferencia de apenas 0.06).</w:t>
      </w:r>
    </w:p>
    <w:p w14:paraId="4EDB40B3"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Sin castigo, la cooperación se desgasta:</w:t>
      </w:r>
      <w:r>
        <w:rPr>
          <w:rFonts w:ascii="Arial" w:eastAsia="Arial" w:hAnsi="Arial" w:cs="Arial"/>
          <w:sz w:val="21"/>
          <w:szCs w:val="21"/>
        </w:rPr>
        <w:t xml:space="preserve"> se mantiene en el Período 2 (10.63) y desde ahí cae período tras período: 9.81 en el 4, 7.84 en el 7 y 4.38 en el 10. En total pierde 6.19 tokens (−58.6%), y la mayor caída ocurre justo en el último período (2.01 tokens).</w:t>
      </w:r>
    </w:p>
    <w:p w14:paraId="4C4DEB25"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Con castigo, la cooperación crece y se sostiene:</w:t>
      </w:r>
      <w:r>
        <w:rPr>
          <w:rFonts w:ascii="Arial" w:eastAsia="Arial" w:hAnsi="Arial" w:cs="Arial"/>
          <w:sz w:val="21"/>
          <w:szCs w:val="21"/>
        </w:rPr>
        <w:t xml:space="preserve"> sube a 11.95 en el Período 2, sigue aumentando hasta un máximo de 13.64 en el Período 8 y luego se estabiliza, con una leve baja a 12.87 en el 10. Termina 21.0% por encima de donde empezó.</w:t>
      </w:r>
    </w:p>
    <w:p w14:paraId="6442B54B"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Una brecha que se abre cada período:</w:t>
      </w:r>
      <w:r>
        <w:rPr>
          <w:rFonts w:ascii="Arial" w:eastAsia="Arial" w:hAnsi="Arial" w:cs="Arial"/>
          <w:sz w:val="21"/>
          <w:szCs w:val="21"/>
        </w:rPr>
        <w:t xml:space="preserve"> la distancia entre las dos líneas pasa de 0.06 (P1) a 1.33 (P2), 3.15 (P4), 5.05 (P6) y 8.49 (P10).</w:t>
      </w:r>
    </w:p>
    <w:p w14:paraId="6E31E9B1"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Otra similitud:</w:t>
      </w:r>
      <w:r>
        <w:rPr>
          <w:rFonts w:ascii="Arial" w:eastAsia="Arial" w:hAnsi="Arial" w:cs="Arial"/>
          <w:sz w:val="21"/>
          <w:szCs w:val="21"/>
        </w:rPr>
        <w:t xml:space="preserve"> en ambos casos el Período 10 queda por debajo del 9 (−2.01 sin castigo y −0.70 con castigo), aunque con castigo la baja es pequeña y el nivel final sigue por encima del inicial.</w:t>
      </w:r>
    </w:p>
    <w:p w14:paraId="0BDF1747" w14:textId="77777777" w:rsidR="00C07691" w:rsidRDefault="00C07691" w:rsidP="00C07691">
      <w:pPr>
        <w:pStyle w:val="Ttulo2"/>
        <w:spacing w:before="260" w:after="100"/>
      </w:pPr>
      <w:r>
        <w:rPr>
          <w:rFonts w:ascii="Arial" w:eastAsia="Arial" w:hAnsi="Arial" w:cs="Arial"/>
          <w:b/>
          <w:bCs/>
          <w:color w:val="1F3A5F"/>
          <w:sz w:val="24"/>
          <w:szCs w:val="24"/>
        </w:rPr>
        <w:lastRenderedPageBreak/>
        <w:t>P.2.2.2</w:t>
      </w:r>
    </w:p>
    <w:p w14:paraId="088CA888" w14:textId="77777777" w:rsidR="00C07691" w:rsidRDefault="00C07691" w:rsidP="00C07691">
      <w:pPr>
        <w:keepNext/>
        <w:spacing w:before="100"/>
        <w:jc w:val="center"/>
      </w:pPr>
      <w:r>
        <w:rPr>
          <w:noProof/>
        </w:rPr>
        <w:drawing>
          <wp:inline distT="0" distB="0" distL="0" distR="0" wp14:anchorId="7ADB8F43" wp14:editId="5413F958">
            <wp:extent cx="4333875" cy="2695575"/>
            <wp:effectExtent l="0" t="0" r="0" b="0"/>
            <wp:docPr id="2" name="grafica_P_2_2_2.png" descr="Gráfica" title="grafica_P_2_2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33875" cy="2695575"/>
                    </a:xfrm>
                    <a:prstGeom prst="rect">
                      <a:avLst/>
                    </a:prstGeom>
                  </pic:spPr>
                </pic:pic>
              </a:graphicData>
            </a:graphic>
          </wp:inline>
        </w:drawing>
      </w:r>
    </w:p>
    <w:p w14:paraId="46A2B043" w14:textId="77777777" w:rsidR="00C07691" w:rsidRDefault="00C07691" w:rsidP="00C07691">
      <w:pPr>
        <w:spacing w:after="110" w:line="288" w:lineRule="auto"/>
      </w:pPr>
      <w:r>
        <w:rPr>
          <w:rFonts w:ascii="Arial" w:eastAsia="Arial" w:hAnsi="Arial" w:cs="Arial"/>
          <w:sz w:val="21"/>
          <w:szCs w:val="21"/>
        </w:rPr>
        <w:t>En el Período 1 las dos columnas son prácticamente iguales (10.6 y 10.6), pero en el Período 10 ya son muy distintas: 4.4 sin castigo frente a 12.9 con castigo. Sin castigo la contribución promedio cae 6.2 tokens (−58.6%), mientras que con castigo sube 2.2 (+21.0%). Al final del juego, la contribución con castigo es casi el triple (2.9 veces) de la que hay sin castigo.</w:t>
      </w:r>
    </w:p>
    <w:p w14:paraId="6A50E496" w14:textId="77777777" w:rsidR="00C07691" w:rsidRDefault="00C07691" w:rsidP="00C07691">
      <w:pPr>
        <w:pStyle w:val="Ttulo2"/>
        <w:spacing w:before="260" w:after="100"/>
      </w:pPr>
      <w:r>
        <w:rPr>
          <w:rFonts w:ascii="Arial" w:eastAsia="Arial" w:hAnsi="Arial" w:cs="Arial"/>
          <w:b/>
          <w:bCs/>
          <w:color w:val="1F3A5F"/>
          <w:sz w:val="24"/>
          <w:szCs w:val="24"/>
        </w:rPr>
        <w:t>P.2.2.3</w:t>
      </w:r>
    </w:p>
    <w:p w14:paraId="3C5E3E10" w14:textId="77777777" w:rsidR="00C07691" w:rsidRDefault="00C07691" w:rsidP="00C07691">
      <w:pPr>
        <w:keepNext/>
        <w:spacing w:before="120" w:after="70"/>
      </w:pPr>
      <w:r>
        <w:rPr>
          <w:rFonts w:ascii="Arial" w:eastAsia="Arial" w:hAnsi="Arial" w:cs="Arial"/>
          <w:b/>
          <w:bCs/>
          <w:sz w:val="21"/>
          <w:szCs w:val="21"/>
        </w:rPr>
        <w:t>Desviación estándar</w:t>
      </w:r>
    </w:p>
    <w:p w14:paraId="067FB10D"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Sin castigo:</w:t>
      </w:r>
      <w:r>
        <w:rPr>
          <w:rFonts w:ascii="Arial" w:eastAsia="Arial" w:hAnsi="Arial" w:cs="Arial"/>
          <w:sz w:val="21"/>
          <w:szCs w:val="21"/>
        </w:rPr>
        <w:t xml:space="preserve"> 2.02 en el Período 1 y 2.19 en el Período 10.</w:t>
      </w:r>
    </w:p>
    <w:p w14:paraId="6BB7ECE7"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Con castigo:</w:t>
      </w:r>
      <w:r>
        <w:rPr>
          <w:rFonts w:ascii="Arial" w:eastAsia="Arial" w:hAnsi="Arial" w:cs="Arial"/>
          <w:sz w:val="21"/>
          <w:szCs w:val="21"/>
        </w:rPr>
        <w:t xml:space="preserve"> 3.21 en el Período 1 y 3.90 en el Período 10.</w:t>
      </w:r>
    </w:p>
    <w:p w14:paraId="0A084811" w14:textId="77777777" w:rsidR="00C07691" w:rsidRDefault="00C07691" w:rsidP="00C07691">
      <w:pPr>
        <w:keepNext/>
        <w:spacing w:before="120" w:after="70"/>
      </w:pPr>
      <w:r>
        <w:rPr>
          <w:rFonts w:ascii="Arial" w:eastAsia="Arial" w:hAnsi="Arial" w:cs="Arial"/>
          <w:b/>
          <w:bCs/>
          <w:sz w:val="21"/>
          <w:szCs w:val="21"/>
        </w:rPr>
        <w:t>¿Se cumple la regla práctica?</w:t>
      </w:r>
    </w:p>
    <w:p w14:paraId="7AC1683F" w14:textId="77777777" w:rsidR="00C07691" w:rsidRDefault="00C07691" w:rsidP="00C07691">
      <w:pPr>
        <w:spacing w:after="110" w:line="288" w:lineRule="auto"/>
      </w:pPr>
      <w:r>
        <w:rPr>
          <w:rFonts w:ascii="Arial" w:eastAsia="Arial" w:hAnsi="Arial" w:cs="Arial"/>
          <w:sz w:val="21"/>
          <w:szCs w:val="21"/>
        </w:rPr>
        <w:t xml:space="preserve">Sí. Armamos el intervalo media ± 2 desviaciones estándar en cada caso y las </w:t>
      </w:r>
      <w:r>
        <w:rPr>
          <w:rFonts w:ascii="Arial" w:eastAsia="Arial" w:hAnsi="Arial" w:cs="Arial"/>
          <w:b/>
          <w:bCs/>
          <w:sz w:val="21"/>
          <w:szCs w:val="21"/>
        </w:rPr>
        <w:t>16 de 16 ciudades caen dentro</w:t>
      </w:r>
      <w:r>
        <w:rPr>
          <w:rFonts w:ascii="Arial" w:eastAsia="Arial" w:hAnsi="Arial" w:cs="Arial"/>
          <w:sz w:val="21"/>
          <w:szCs w:val="21"/>
        </w:rPr>
        <w:t xml:space="preserve"> en los cuatro grupos (100%, incluso más del ~95% que se espera). Los intervalos son 6.54–14.62 (sin castigo, P1), 0.01–8.76 (sin castigo, P10), 4.22–17.05 (con castigo, P1) y 5.07–20.67 (con castigo, P10). Como referencia, dentro de ±1 desviación estándar quedan entre 8 y 11 de las 16 ciudades (50%–69%), cerca del ~68% esperado.</w:t>
      </w:r>
    </w:p>
    <w:p w14:paraId="68C9424E" w14:textId="77777777" w:rsidR="00C07691" w:rsidRDefault="00C07691" w:rsidP="00C07691">
      <w:pPr>
        <w:spacing w:after="110" w:line="288" w:lineRule="auto"/>
      </w:pPr>
      <w:r>
        <w:rPr>
          <w:rFonts w:ascii="Arial" w:eastAsia="Arial" w:hAnsi="Arial" w:cs="Arial"/>
          <w:sz w:val="21"/>
          <w:szCs w:val="21"/>
        </w:rPr>
        <w:t>Hay que leerlo con cuidado: con solo 16 datos la regla es aproximada, y en dos casos el intervalo llega a los límites posibles del juego (el superior con castigo en el Período 10, 20.67, supera el máximo de 20 tokens, y el inferior sin castigo en el Período 10 es 0.01, casi cero), así que “cumplirse” es casi automático ahí.</w:t>
      </w:r>
    </w:p>
    <w:p w14:paraId="0C018946" w14:textId="77777777" w:rsidR="00C07691" w:rsidRDefault="00C07691" w:rsidP="00C07691">
      <w:pPr>
        <w:keepNext/>
        <w:spacing w:before="120" w:after="70"/>
      </w:pPr>
      <w:r>
        <w:rPr>
          <w:rFonts w:ascii="Arial" w:eastAsia="Arial" w:hAnsi="Arial" w:cs="Arial"/>
          <w:b/>
          <w:bCs/>
          <w:sz w:val="21"/>
          <w:szCs w:val="21"/>
        </w:rPr>
        <w:t>Si el promedio del Período 1 es 10.6 en ambos, ¿son iguales los dos conjuntos de datos?</w:t>
      </w:r>
    </w:p>
    <w:p w14:paraId="31FBFB3A" w14:textId="77777777" w:rsidR="00C07691" w:rsidRDefault="00C07691" w:rsidP="00C07691">
      <w:pPr>
        <w:spacing w:after="110" w:line="288" w:lineRule="auto"/>
      </w:pPr>
      <w:r>
        <w:rPr>
          <w:rFonts w:ascii="Arial" w:eastAsia="Arial" w:hAnsi="Arial" w:cs="Arial"/>
          <w:sz w:val="21"/>
          <w:szCs w:val="21"/>
        </w:rPr>
        <w:t xml:space="preserve">No. Que las medias coincidan solo dice que el centro de los datos es el mismo, no cómo se reparten alrededor de él. En el Período 1, con castigo la desviación estándar es 3.21 frente a 2.02 sin castigo (59% mayor) y la varianza es 2.5 veces más grande (10.29 frente a 4.08). Es decir, con el mismo promedio, las ciudades del experimento con castigo están más dispersas </w:t>
      </w:r>
      <w:r>
        <w:rPr>
          <w:rFonts w:ascii="Arial" w:eastAsia="Arial" w:hAnsi="Arial" w:cs="Arial"/>
          <w:sz w:val="21"/>
          <w:szCs w:val="21"/>
        </w:rPr>
        <w:lastRenderedPageBreak/>
        <w:t>entre sí (de 5.82 en Athens a 16.02 en Boston) que las del experimento sin castigo (de 7.96 a 14.10). Por eso la media sola no basta para decir que los datos son iguales.</w:t>
      </w:r>
    </w:p>
    <w:p w14:paraId="2AE1ADC6" w14:textId="77777777" w:rsidR="00C07691" w:rsidRDefault="00C07691" w:rsidP="00C07691">
      <w:pPr>
        <w:pStyle w:val="Ttulo2"/>
        <w:spacing w:before="260" w:after="100"/>
      </w:pPr>
      <w:r>
        <w:rPr>
          <w:rFonts w:ascii="Arial" w:eastAsia="Arial" w:hAnsi="Arial" w:cs="Arial"/>
          <w:b/>
          <w:bCs/>
          <w:color w:val="1F3A5F"/>
          <w:sz w:val="24"/>
          <w:szCs w:val="24"/>
        </w:rPr>
        <w:t>P.2.2.4</w:t>
      </w:r>
    </w:p>
    <w:p w14:paraId="2ED44645" w14:textId="77777777" w:rsidR="00C07691" w:rsidRDefault="00C07691" w:rsidP="00C07691">
      <w:pPr>
        <w:keepNext/>
        <w:spacing w:after="110" w:line="288" w:lineRule="auto"/>
      </w:pPr>
      <w:r>
        <w:rPr>
          <w:rFonts w:ascii="Arial" w:eastAsia="Arial" w:hAnsi="Arial" w:cs="Arial"/>
          <w:sz w:val="21"/>
          <w:szCs w:val="21"/>
        </w:rPr>
        <w:t>Valores mínimo y máximo (entre paréntesis, la ciudad que lo registra):</w:t>
      </w:r>
    </w:p>
    <w:p w14:paraId="20988788"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Sin castigo, Período 1:</w:t>
      </w:r>
      <w:r>
        <w:rPr>
          <w:rFonts w:ascii="Arial" w:eastAsia="Arial" w:hAnsi="Arial" w:cs="Arial"/>
          <w:sz w:val="21"/>
          <w:szCs w:val="21"/>
        </w:rPr>
        <w:t xml:space="preserve"> mínimo 7.96 (</w:t>
      </w:r>
      <w:proofErr w:type="spellStart"/>
      <w:r>
        <w:rPr>
          <w:rFonts w:ascii="Arial" w:eastAsia="Arial" w:hAnsi="Arial" w:cs="Arial"/>
          <w:sz w:val="21"/>
          <w:szCs w:val="21"/>
        </w:rPr>
        <w:t>Riyadh</w:t>
      </w:r>
      <w:proofErr w:type="spellEnd"/>
      <w:r>
        <w:rPr>
          <w:rFonts w:ascii="Arial" w:eastAsia="Arial" w:hAnsi="Arial" w:cs="Arial"/>
          <w:sz w:val="21"/>
          <w:szCs w:val="21"/>
        </w:rPr>
        <w:t>) y máximo 14.10 (</w:t>
      </w:r>
      <w:proofErr w:type="spellStart"/>
      <w:r>
        <w:rPr>
          <w:rFonts w:ascii="Arial" w:eastAsia="Arial" w:hAnsi="Arial" w:cs="Arial"/>
          <w:sz w:val="21"/>
          <w:szCs w:val="21"/>
        </w:rPr>
        <w:t>Copenhagen</w:t>
      </w:r>
      <w:proofErr w:type="spellEnd"/>
      <w:r>
        <w:rPr>
          <w:rFonts w:ascii="Arial" w:eastAsia="Arial" w:hAnsi="Arial" w:cs="Arial"/>
          <w:sz w:val="21"/>
          <w:szCs w:val="21"/>
        </w:rPr>
        <w:t>).</w:t>
      </w:r>
    </w:p>
    <w:p w14:paraId="1694244E"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Sin castigo, Período 10:</w:t>
      </w:r>
      <w:r>
        <w:rPr>
          <w:rFonts w:ascii="Arial" w:eastAsia="Arial" w:hAnsi="Arial" w:cs="Arial"/>
          <w:sz w:val="21"/>
          <w:szCs w:val="21"/>
        </w:rPr>
        <w:t xml:space="preserve"> mínimo 1.30 (Melbourne) y máximo 8.68 (</w:t>
      </w:r>
      <w:proofErr w:type="spellStart"/>
      <w:r>
        <w:rPr>
          <w:rFonts w:ascii="Arial" w:eastAsia="Arial" w:hAnsi="Arial" w:cs="Arial"/>
          <w:sz w:val="21"/>
          <w:szCs w:val="21"/>
        </w:rPr>
        <w:t>Dnipropetrovs’k</w:t>
      </w:r>
      <w:proofErr w:type="spellEnd"/>
      <w:r>
        <w:rPr>
          <w:rFonts w:ascii="Arial" w:eastAsia="Arial" w:hAnsi="Arial" w:cs="Arial"/>
          <w:sz w:val="21"/>
          <w:szCs w:val="21"/>
        </w:rPr>
        <w:t>).</w:t>
      </w:r>
    </w:p>
    <w:p w14:paraId="4C418B25"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Con castigo, Período 1:</w:t>
      </w:r>
      <w:r>
        <w:rPr>
          <w:rFonts w:ascii="Arial" w:eastAsia="Arial" w:hAnsi="Arial" w:cs="Arial"/>
          <w:sz w:val="21"/>
          <w:szCs w:val="21"/>
        </w:rPr>
        <w:t xml:space="preserve"> mínimo 5.82 (Athens) y máximo 16.02 (Boston).</w:t>
      </w:r>
    </w:p>
    <w:p w14:paraId="0983D6DF"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Con castigo, Período 10:</w:t>
      </w:r>
      <w:r>
        <w:rPr>
          <w:rFonts w:ascii="Arial" w:eastAsia="Arial" w:hAnsi="Arial" w:cs="Arial"/>
          <w:sz w:val="21"/>
          <w:szCs w:val="21"/>
        </w:rPr>
        <w:t xml:space="preserve"> mínimo 6.20 (Athens) y máximo 17.51 (</w:t>
      </w:r>
      <w:proofErr w:type="spellStart"/>
      <w:r>
        <w:rPr>
          <w:rFonts w:ascii="Arial" w:eastAsia="Arial" w:hAnsi="Arial" w:cs="Arial"/>
          <w:sz w:val="21"/>
          <w:szCs w:val="21"/>
        </w:rPr>
        <w:t>Seoul</w:t>
      </w:r>
      <w:proofErr w:type="spellEnd"/>
      <w:r>
        <w:rPr>
          <w:rFonts w:ascii="Arial" w:eastAsia="Arial" w:hAnsi="Arial" w:cs="Arial"/>
          <w:sz w:val="21"/>
          <w:szCs w:val="21"/>
        </w:rPr>
        <w:t>).</w:t>
      </w:r>
    </w:p>
    <w:p w14:paraId="21D6E6FB" w14:textId="77777777" w:rsidR="00C07691" w:rsidRDefault="00C07691" w:rsidP="00C07691">
      <w:pPr>
        <w:spacing w:after="40"/>
      </w:pPr>
    </w:p>
    <w:p w14:paraId="4C67E6FA" w14:textId="3435BF08" w:rsidR="00C07691" w:rsidRDefault="00C07691" w:rsidP="00C07691">
      <w:pPr>
        <w:spacing w:after="110" w:line="288" w:lineRule="auto"/>
      </w:pPr>
      <w:r>
        <w:rPr>
          <w:rFonts w:ascii="Arial" w:eastAsia="Arial" w:hAnsi="Arial" w:cs="Arial"/>
          <w:sz w:val="21"/>
          <w:szCs w:val="21"/>
        </w:rPr>
        <w:t xml:space="preserve">Dos datos llaman la atención: sin castigo, ni la ciudad más cooperativa del Período 10 (8.68) alcanza el promedio con el que empezó el juego (10.58); con castigo, en cambio, la ciudad menos cooperativa (6.20) supera el promedio sin castigo de ese mismo período (4.38). Además, Athens es la de menor contribución con castigo en ambos períodos, mientras que </w:t>
      </w:r>
      <w:proofErr w:type="spellStart"/>
      <w:r>
        <w:rPr>
          <w:rFonts w:ascii="Arial" w:eastAsia="Arial" w:hAnsi="Arial" w:cs="Arial"/>
          <w:sz w:val="21"/>
          <w:szCs w:val="21"/>
        </w:rPr>
        <w:t>Seoul</w:t>
      </w:r>
      <w:proofErr w:type="spellEnd"/>
      <w:r>
        <w:rPr>
          <w:rFonts w:ascii="Arial" w:eastAsia="Arial" w:hAnsi="Arial" w:cs="Arial"/>
          <w:sz w:val="21"/>
          <w:szCs w:val="21"/>
        </w:rPr>
        <w:t xml:space="preserve"> pasa de 9.69 en el Período 1 a ser la más alta (17.51) en el 10.</w:t>
      </w:r>
      <w:r>
        <w:rPr>
          <w:rFonts w:ascii="Arial" w:eastAsia="Arial" w:hAnsi="Arial" w:cs="Arial"/>
          <w:sz w:val="21"/>
          <w:szCs w:val="21"/>
        </w:rPr>
        <w:br/>
      </w:r>
      <w:r>
        <w:rPr>
          <w:rFonts w:ascii="Arial" w:eastAsia="Arial" w:hAnsi="Arial" w:cs="Arial"/>
          <w:sz w:val="21"/>
          <w:szCs w:val="21"/>
        </w:rPr>
        <w:br/>
      </w:r>
      <w:r>
        <w:rPr>
          <w:rFonts w:ascii="Arial" w:eastAsia="Arial" w:hAnsi="Arial" w:cs="Arial"/>
          <w:sz w:val="21"/>
          <w:szCs w:val="21"/>
        </w:rPr>
        <w:br/>
      </w:r>
      <w:r>
        <w:rPr>
          <w:rFonts w:ascii="Arial" w:eastAsia="Arial" w:hAnsi="Arial" w:cs="Arial"/>
          <w:sz w:val="21"/>
          <w:szCs w:val="21"/>
        </w:rPr>
        <w:br/>
      </w:r>
    </w:p>
    <w:p w14:paraId="4914DCB6" w14:textId="77777777" w:rsidR="00C07691" w:rsidRDefault="00C07691" w:rsidP="00C07691">
      <w:pPr>
        <w:pStyle w:val="Ttulo2"/>
        <w:spacing w:before="260" w:after="100"/>
      </w:pPr>
      <w:r>
        <w:rPr>
          <w:rFonts w:ascii="Arial" w:eastAsia="Arial" w:hAnsi="Arial" w:cs="Arial"/>
          <w:b/>
          <w:bCs/>
          <w:color w:val="1F3A5F"/>
          <w:sz w:val="24"/>
          <w:szCs w:val="24"/>
        </w:rPr>
        <w:t>P.2.2.5</w:t>
      </w:r>
    </w:p>
    <w:p w14:paraId="40640E6E" w14:textId="77777777" w:rsidR="00C07691" w:rsidRDefault="00C07691" w:rsidP="00C07691">
      <w:pPr>
        <w:keepNext/>
        <w:spacing w:after="70" w:line="288" w:lineRule="auto"/>
      </w:pPr>
      <w:r>
        <w:rPr>
          <w:rFonts w:ascii="Arial" w:eastAsia="Arial" w:hAnsi="Arial" w:cs="Arial"/>
          <w:b/>
          <w:bCs/>
          <w:sz w:val="19"/>
          <w:szCs w:val="19"/>
        </w:rPr>
        <w:t>Tabla P.2.2.5. Estadísticas descriptivas de los Períodos 1 y 10 (n = 16 ciudades por grupo).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960"/>
        <w:gridCol w:w="1100"/>
        <w:gridCol w:w="1200"/>
        <w:gridCol w:w="1400"/>
        <w:gridCol w:w="1040"/>
        <w:gridCol w:w="1040"/>
        <w:gridCol w:w="1060"/>
      </w:tblGrid>
      <w:tr w:rsidR="00C07691" w14:paraId="2DADFEFF" w14:textId="77777777" w:rsidTr="009212EA">
        <w:tblPrEx>
          <w:tblCellMar>
            <w:top w:w="0" w:type="dxa"/>
            <w:bottom w:w="0" w:type="dxa"/>
          </w:tblCellMar>
        </w:tblPrEx>
        <w:trPr>
          <w:cantSplit/>
          <w:tblHeader/>
        </w:trPr>
        <w:tc>
          <w:tcPr>
            <w:tcW w:w="1560" w:type="dxa"/>
            <w:tcBorders>
              <w:top w:val="single" w:sz="4" w:space="0" w:color="BFC9D6"/>
              <w:left w:val="single" w:sz="4" w:space="0" w:color="BFC9D6"/>
              <w:bottom w:val="single" w:sz="4" w:space="0" w:color="BFC9D6"/>
              <w:right w:val="single" w:sz="4" w:space="0" w:color="BFC9D6"/>
            </w:tcBorders>
            <w:shd w:val="clear" w:color="auto" w:fill="1F3A5F"/>
            <w:tcMar>
              <w:top w:w="60" w:type="dxa"/>
              <w:left w:w="90" w:type="dxa"/>
              <w:bottom w:w="60" w:type="dxa"/>
              <w:right w:w="90" w:type="dxa"/>
            </w:tcMar>
            <w:vAlign w:val="center"/>
          </w:tcPr>
          <w:p w14:paraId="598A6368" w14:textId="77777777" w:rsidR="00C07691" w:rsidRDefault="00C07691" w:rsidP="009212EA">
            <w:r>
              <w:rPr>
                <w:rFonts w:ascii="Arial" w:eastAsia="Arial" w:hAnsi="Arial" w:cs="Arial"/>
                <w:b/>
                <w:bCs/>
                <w:color w:val="FFFFFF"/>
                <w:sz w:val="19"/>
                <w:szCs w:val="19"/>
              </w:rPr>
              <w:t>Experimento</w:t>
            </w:r>
          </w:p>
        </w:tc>
        <w:tc>
          <w:tcPr>
            <w:tcW w:w="960" w:type="dxa"/>
            <w:tcBorders>
              <w:top w:val="single" w:sz="4" w:space="0" w:color="BFC9D6"/>
              <w:left w:val="single" w:sz="4" w:space="0" w:color="BFC9D6"/>
              <w:bottom w:val="single" w:sz="4" w:space="0" w:color="BFC9D6"/>
              <w:right w:val="single" w:sz="4" w:space="0" w:color="BFC9D6"/>
            </w:tcBorders>
            <w:shd w:val="clear" w:color="auto" w:fill="1F3A5F"/>
            <w:tcMar>
              <w:top w:w="60" w:type="dxa"/>
              <w:left w:w="90" w:type="dxa"/>
              <w:bottom w:w="60" w:type="dxa"/>
              <w:right w:w="90" w:type="dxa"/>
            </w:tcMar>
            <w:vAlign w:val="center"/>
          </w:tcPr>
          <w:p w14:paraId="2D1477A1" w14:textId="77777777" w:rsidR="00C07691" w:rsidRDefault="00C07691" w:rsidP="009212EA">
            <w:pPr>
              <w:jc w:val="center"/>
            </w:pPr>
            <w:r>
              <w:rPr>
                <w:rFonts w:ascii="Arial" w:eastAsia="Arial" w:hAnsi="Arial" w:cs="Arial"/>
                <w:b/>
                <w:bCs/>
                <w:color w:val="FFFFFF"/>
                <w:sz w:val="19"/>
                <w:szCs w:val="19"/>
              </w:rPr>
              <w:t>Período</w:t>
            </w:r>
          </w:p>
        </w:tc>
        <w:tc>
          <w:tcPr>
            <w:tcW w:w="1100" w:type="dxa"/>
            <w:tcBorders>
              <w:top w:val="single" w:sz="4" w:space="0" w:color="BFC9D6"/>
              <w:left w:val="single" w:sz="4" w:space="0" w:color="BFC9D6"/>
              <w:bottom w:val="single" w:sz="4" w:space="0" w:color="BFC9D6"/>
              <w:right w:val="single" w:sz="4" w:space="0" w:color="BFC9D6"/>
            </w:tcBorders>
            <w:shd w:val="clear" w:color="auto" w:fill="1F3A5F"/>
            <w:tcMar>
              <w:top w:w="60" w:type="dxa"/>
              <w:left w:w="90" w:type="dxa"/>
              <w:bottom w:w="60" w:type="dxa"/>
              <w:right w:w="90" w:type="dxa"/>
            </w:tcMar>
            <w:vAlign w:val="center"/>
          </w:tcPr>
          <w:p w14:paraId="053E3615" w14:textId="77777777" w:rsidR="00C07691" w:rsidRDefault="00C07691" w:rsidP="009212EA">
            <w:pPr>
              <w:jc w:val="center"/>
            </w:pPr>
            <w:r>
              <w:rPr>
                <w:rFonts w:ascii="Arial" w:eastAsia="Arial" w:hAnsi="Arial" w:cs="Arial"/>
                <w:b/>
                <w:bCs/>
                <w:color w:val="FFFFFF"/>
                <w:sz w:val="19"/>
                <w:szCs w:val="19"/>
              </w:rPr>
              <w:t>Media</w:t>
            </w:r>
          </w:p>
        </w:tc>
        <w:tc>
          <w:tcPr>
            <w:tcW w:w="1200" w:type="dxa"/>
            <w:tcBorders>
              <w:top w:val="single" w:sz="4" w:space="0" w:color="BFC9D6"/>
              <w:left w:val="single" w:sz="4" w:space="0" w:color="BFC9D6"/>
              <w:bottom w:val="single" w:sz="4" w:space="0" w:color="BFC9D6"/>
              <w:right w:val="single" w:sz="4" w:space="0" w:color="BFC9D6"/>
            </w:tcBorders>
            <w:shd w:val="clear" w:color="auto" w:fill="1F3A5F"/>
            <w:tcMar>
              <w:top w:w="60" w:type="dxa"/>
              <w:left w:w="90" w:type="dxa"/>
              <w:bottom w:w="60" w:type="dxa"/>
              <w:right w:w="90" w:type="dxa"/>
            </w:tcMar>
            <w:vAlign w:val="center"/>
          </w:tcPr>
          <w:p w14:paraId="3EAD67E5" w14:textId="77777777" w:rsidR="00C07691" w:rsidRDefault="00C07691" w:rsidP="009212EA">
            <w:pPr>
              <w:jc w:val="center"/>
            </w:pPr>
            <w:r>
              <w:rPr>
                <w:rFonts w:ascii="Arial" w:eastAsia="Arial" w:hAnsi="Arial" w:cs="Arial"/>
                <w:b/>
                <w:bCs/>
                <w:color w:val="FFFFFF"/>
                <w:sz w:val="19"/>
                <w:szCs w:val="19"/>
              </w:rPr>
              <w:t>Varianza</w:t>
            </w:r>
          </w:p>
        </w:tc>
        <w:tc>
          <w:tcPr>
            <w:tcW w:w="1400" w:type="dxa"/>
            <w:tcBorders>
              <w:top w:val="single" w:sz="4" w:space="0" w:color="BFC9D6"/>
              <w:left w:val="single" w:sz="4" w:space="0" w:color="BFC9D6"/>
              <w:bottom w:val="single" w:sz="4" w:space="0" w:color="BFC9D6"/>
              <w:right w:val="single" w:sz="4" w:space="0" w:color="BFC9D6"/>
            </w:tcBorders>
            <w:shd w:val="clear" w:color="auto" w:fill="1F3A5F"/>
            <w:tcMar>
              <w:top w:w="60" w:type="dxa"/>
              <w:left w:w="90" w:type="dxa"/>
              <w:bottom w:w="60" w:type="dxa"/>
              <w:right w:w="90" w:type="dxa"/>
            </w:tcMar>
            <w:vAlign w:val="center"/>
          </w:tcPr>
          <w:p w14:paraId="1D7792BC" w14:textId="77777777" w:rsidR="00C07691" w:rsidRDefault="00C07691" w:rsidP="009212EA">
            <w:pPr>
              <w:jc w:val="center"/>
            </w:pPr>
            <w:proofErr w:type="spellStart"/>
            <w:r>
              <w:rPr>
                <w:rFonts w:ascii="Arial" w:eastAsia="Arial" w:hAnsi="Arial" w:cs="Arial"/>
                <w:b/>
                <w:bCs/>
                <w:color w:val="FFFFFF"/>
                <w:sz w:val="19"/>
                <w:szCs w:val="19"/>
              </w:rPr>
              <w:t>Desv</w:t>
            </w:r>
            <w:proofErr w:type="spellEnd"/>
            <w:r>
              <w:rPr>
                <w:rFonts w:ascii="Arial" w:eastAsia="Arial" w:hAnsi="Arial" w:cs="Arial"/>
                <w:b/>
                <w:bCs/>
                <w:color w:val="FFFFFF"/>
                <w:sz w:val="19"/>
                <w:szCs w:val="19"/>
              </w:rPr>
              <w:t>. estándar</w:t>
            </w:r>
          </w:p>
        </w:tc>
        <w:tc>
          <w:tcPr>
            <w:tcW w:w="1040" w:type="dxa"/>
            <w:tcBorders>
              <w:top w:val="single" w:sz="4" w:space="0" w:color="BFC9D6"/>
              <w:left w:val="single" w:sz="4" w:space="0" w:color="BFC9D6"/>
              <w:bottom w:val="single" w:sz="4" w:space="0" w:color="BFC9D6"/>
              <w:right w:val="single" w:sz="4" w:space="0" w:color="BFC9D6"/>
            </w:tcBorders>
            <w:shd w:val="clear" w:color="auto" w:fill="1F3A5F"/>
            <w:tcMar>
              <w:top w:w="60" w:type="dxa"/>
              <w:left w:w="90" w:type="dxa"/>
              <w:bottom w:w="60" w:type="dxa"/>
              <w:right w:w="90" w:type="dxa"/>
            </w:tcMar>
            <w:vAlign w:val="center"/>
          </w:tcPr>
          <w:p w14:paraId="0F450846" w14:textId="77777777" w:rsidR="00C07691" w:rsidRDefault="00C07691" w:rsidP="009212EA">
            <w:pPr>
              <w:jc w:val="center"/>
            </w:pPr>
            <w:r>
              <w:rPr>
                <w:rFonts w:ascii="Arial" w:eastAsia="Arial" w:hAnsi="Arial" w:cs="Arial"/>
                <w:b/>
                <w:bCs/>
                <w:color w:val="FFFFFF"/>
                <w:sz w:val="19"/>
                <w:szCs w:val="19"/>
              </w:rPr>
              <w:t>Mínimo</w:t>
            </w:r>
          </w:p>
        </w:tc>
        <w:tc>
          <w:tcPr>
            <w:tcW w:w="1040" w:type="dxa"/>
            <w:tcBorders>
              <w:top w:val="single" w:sz="4" w:space="0" w:color="BFC9D6"/>
              <w:left w:val="single" w:sz="4" w:space="0" w:color="BFC9D6"/>
              <w:bottom w:val="single" w:sz="4" w:space="0" w:color="BFC9D6"/>
              <w:right w:val="single" w:sz="4" w:space="0" w:color="BFC9D6"/>
            </w:tcBorders>
            <w:shd w:val="clear" w:color="auto" w:fill="1F3A5F"/>
            <w:tcMar>
              <w:top w:w="60" w:type="dxa"/>
              <w:left w:w="90" w:type="dxa"/>
              <w:bottom w:w="60" w:type="dxa"/>
              <w:right w:w="90" w:type="dxa"/>
            </w:tcMar>
            <w:vAlign w:val="center"/>
          </w:tcPr>
          <w:p w14:paraId="665B0DF7" w14:textId="77777777" w:rsidR="00C07691" w:rsidRDefault="00C07691" w:rsidP="009212EA">
            <w:pPr>
              <w:jc w:val="center"/>
            </w:pPr>
            <w:r>
              <w:rPr>
                <w:rFonts w:ascii="Arial" w:eastAsia="Arial" w:hAnsi="Arial" w:cs="Arial"/>
                <w:b/>
                <w:bCs/>
                <w:color w:val="FFFFFF"/>
                <w:sz w:val="19"/>
                <w:szCs w:val="19"/>
              </w:rPr>
              <w:t>Máximo</w:t>
            </w:r>
          </w:p>
        </w:tc>
        <w:tc>
          <w:tcPr>
            <w:tcW w:w="1060" w:type="dxa"/>
            <w:tcBorders>
              <w:top w:val="single" w:sz="4" w:space="0" w:color="BFC9D6"/>
              <w:left w:val="single" w:sz="4" w:space="0" w:color="BFC9D6"/>
              <w:bottom w:val="single" w:sz="4" w:space="0" w:color="BFC9D6"/>
              <w:right w:val="single" w:sz="4" w:space="0" w:color="BFC9D6"/>
            </w:tcBorders>
            <w:shd w:val="clear" w:color="auto" w:fill="1F3A5F"/>
            <w:tcMar>
              <w:top w:w="60" w:type="dxa"/>
              <w:left w:w="90" w:type="dxa"/>
              <w:bottom w:w="60" w:type="dxa"/>
              <w:right w:w="90" w:type="dxa"/>
            </w:tcMar>
            <w:vAlign w:val="center"/>
          </w:tcPr>
          <w:p w14:paraId="4E33A0D6" w14:textId="77777777" w:rsidR="00C07691" w:rsidRDefault="00C07691" w:rsidP="009212EA">
            <w:pPr>
              <w:jc w:val="center"/>
            </w:pPr>
            <w:r>
              <w:rPr>
                <w:rFonts w:ascii="Arial" w:eastAsia="Arial" w:hAnsi="Arial" w:cs="Arial"/>
                <w:b/>
                <w:bCs/>
                <w:color w:val="FFFFFF"/>
                <w:sz w:val="19"/>
                <w:szCs w:val="19"/>
              </w:rPr>
              <w:t>Rango</w:t>
            </w:r>
          </w:p>
        </w:tc>
      </w:tr>
      <w:tr w:rsidR="00C07691" w14:paraId="26E34490" w14:textId="77777777" w:rsidTr="009212EA">
        <w:tblPrEx>
          <w:tblCellMar>
            <w:top w:w="0" w:type="dxa"/>
            <w:bottom w:w="0" w:type="dxa"/>
          </w:tblCellMar>
        </w:tblPrEx>
        <w:trPr>
          <w:cantSplit/>
        </w:trPr>
        <w:tc>
          <w:tcPr>
            <w:tcW w:w="156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071C3A88" w14:textId="77777777" w:rsidR="00C07691" w:rsidRDefault="00C07691" w:rsidP="009212EA">
            <w:r>
              <w:rPr>
                <w:rFonts w:ascii="Arial" w:eastAsia="Arial" w:hAnsi="Arial" w:cs="Arial"/>
                <w:b/>
                <w:bCs/>
                <w:sz w:val="19"/>
                <w:szCs w:val="19"/>
              </w:rPr>
              <w:t>Sin castigo</w:t>
            </w:r>
          </w:p>
        </w:tc>
        <w:tc>
          <w:tcPr>
            <w:tcW w:w="96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60FE283B" w14:textId="77777777" w:rsidR="00C07691" w:rsidRDefault="00C07691" w:rsidP="009212EA">
            <w:pPr>
              <w:jc w:val="center"/>
            </w:pPr>
            <w:r>
              <w:rPr>
                <w:rFonts w:ascii="Arial" w:eastAsia="Arial" w:hAnsi="Arial" w:cs="Arial"/>
                <w:sz w:val="19"/>
                <w:szCs w:val="19"/>
              </w:rPr>
              <w:t>1</w:t>
            </w:r>
          </w:p>
        </w:tc>
        <w:tc>
          <w:tcPr>
            <w:tcW w:w="110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115A3B73" w14:textId="77777777" w:rsidR="00C07691" w:rsidRDefault="00C07691" w:rsidP="009212EA">
            <w:pPr>
              <w:jc w:val="center"/>
            </w:pPr>
            <w:r>
              <w:rPr>
                <w:rFonts w:ascii="Arial" w:eastAsia="Arial" w:hAnsi="Arial" w:cs="Arial"/>
                <w:sz w:val="19"/>
                <w:szCs w:val="19"/>
              </w:rPr>
              <w:t>10.58</w:t>
            </w:r>
          </w:p>
        </w:tc>
        <w:tc>
          <w:tcPr>
            <w:tcW w:w="120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4DA7605A" w14:textId="77777777" w:rsidR="00C07691" w:rsidRDefault="00C07691" w:rsidP="009212EA">
            <w:pPr>
              <w:jc w:val="center"/>
            </w:pPr>
            <w:r>
              <w:rPr>
                <w:rFonts w:ascii="Arial" w:eastAsia="Arial" w:hAnsi="Arial" w:cs="Arial"/>
                <w:sz w:val="19"/>
                <w:szCs w:val="19"/>
              </w:rPr>
              <w:t>4.08</w:t>
            </w:r>
          </w:p>
        </w:tc>
        <w:tc>
          <w:tcPr>
            <w:tcW w:w="140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292831AA" w14:textId="77777777" w:rsidR="00C07691" w:rsidRDefault="00C07691" w:rsidP="009212EA">
            <w:pPr>
              <w:jc w:val="center"/>
            </w:pPr>
            <w:r>
              <w:rPr>
                <w:rFonts w:ascii="Arial" w:eastAsia="Arial" w:hAnsi="Arial" w:cs="Arial"/>
                <w:sz w:val="19"/>
                <w:szCs w:val="19"/>
              </w:rPr>
              <w:t>2.02</w:t>
            </w:r>
          </w:p>
        </w:tc>
        <w:tc>
          <w:tcPr>
            <w:tcW w:w="104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06061FDA" w14:textId="77777777" w:rsidR="00C07691" w:rsidRDefault="00C07691" w:rsidP="009212EA">
            <w:pPr>
              <w:jc w:val="center"/>
            </w:pPr>
            <w:r>
              <w:rPr>
                <w:rFonts w:ascii="Arial" w:eastAsia="Arial" w:hAnsi="Arial" w:cs="Arial"/>
                <w:sz w:val="19"/>
                <w:szCs w:val="19"/>
              </w:rPr>
              <w:t>7.96</w:t>
            </w:r>
          </w:p>
        </w:tc>
        <w:tc>
          <w:tcPr>
            <w:tcW w:w="104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3400A08C" w14:textId="77777777" w:rsidR="00C07691" w:rsidRDefault="00C07691" w:rsidP="009212EA">
            <w:pPr>
              <w:jc w:val="center"/>
            </w:pPr>
            <w:r>
              <w:rPr>
                <w:rFonts w:ascii="Arial" w:eastAsia="Arial" w:hAnsi="Arial" w:cs="Arial"/>
                <w:sz w:val="19"/>
                <w:szCs w:val="19"/>
              </w:rPr>
              <w:t>14.10</w:t>
            </w:r>
          </w:p>
        </w:tc>
        <w:tc>
          <w:tcPr>
            <w:tcW w:w="106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171BF719" w14:textId="77777777" w:rsidR="00C07691" w:rsidRDefault="00C07691" w:rsidP="009212EA">
            <w:pPr>
              <w:jc w:val="center"/>
            </w:pPr>
            <w:r>
              <w:rPr>
                <w:rFonts w:ascii="Arial" w:eastAsia="Arial" w:hAnsi="Arial" w:cs="Arial"/>
                <w:sz w:val="19"/>
                <w:szCs w:val="19"/>
              </w:rPr>
              <w:t>6.14</w:t>
            </w:r>
          </w:p>
        </w:tc>
      </w:tr>
      <w:tr w:rsidR="00C07691" w14:paraId="0613B174" w14:textId="77777777" w:rsidTr="009212EA">
        <w:tblPrEx>
          <w:tblCellMar>
            <w:top w:w="0" w:type="dxa"/>
            <w:bottom w:w="0" w:type="dxa"/>
          </w:tblCellMar>
        </w:tblPrEx>
        <w:trPr>
          <w:cantSplit/>
        </w:trPr>
        <w:tc>
          <w:tcPr>
            <w:tcW w:w="156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77CA10EA" w14:textId="77777777" w:rsidR="00C07691" w:rsidRDefault="00C07691" w:rsidP="009212EA">
            <w:r>
              <w:rPr>
                <w:rFonts w:ascii="Arial" w:eastAsia="Arial" w:hAnsi="Arial" w:cs="Arial"/>
                <w:b/>
                <w:bCs/>
                <w:sz w:val="19"/>
                <w:szCs w:val="19"/>
              </w:rPr>
              <w:t>Sin castigo</w:t>
            </w:r>
          </w:p>
        </w:tc>
        <w:tc>
          <w:tcPr>
            <w:tcW w:w="96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1DF7E196" w14:textId="77777777" w:rsidR="00C07691" w:rsidRDefault="00C07691" w:rsidP="009212EA">
            <w:pPr>
              <w:jc w:val="center"/>
            </w:pPr>
            <w:r>
              <w:rPr>
                <w:rFonts w:ascii="Arial" w:eastAsia="Arial" w:hAnsi="Arial" w:cs="Arial"/>
                <w:sz w:val="19"/>
                <w:szCs w:val="19"/>
              </w:rPr>
              <w:t>10</w:t>
            </w:r>
          </w:p>
        </w:tc>
        <w:tc>
          <w:tcPr>
            <w:tcW w:w="110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499605A4" w14:textId="77777777" w:rsidR="00C07691" w:rsidRDefault="00C07691" w:rsidP="009212EA">
            <w:pPr>
              <w:jc w:val="center"/>
            </w:pPr>
            <w:r>
              <w:rPr>
                <w:rFonts w:ascii="Arial" w:eastAsia="Arial" w:hAnsi="Arial" w:cs="Arial"/>
                <w:sz w:val="19"/>
                <w:szCs w:val="19"/>
              </w:rPr>
              <w:t>4.38</w:t>
            </w:r>
          </w:p>
        </w:tc>
        <w:tc>
          <w:tcPr>
            <w:tcW w:w="120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1B634FBA" w14:textId="77777777" w:rsidR="00C07691" w:rsidRDefault="00C07691" w:rsidP="009212EA">
            <w:pPr>
              <w:jc w:val="center"/>
            </w:pPr>
            <w:r>
              <w:rPr>
                <w:rFonts w:ascii="Arial" w:eastAsia="Arial" w:hAnsi="Arial" w:cs="Arial"/>
                <w:sz w:val="19"/>
                <w:szCs w:val="19"/>
              </w:rPr>
              <w:t>4.78</w:t>
            </w:r>
          </w:p>
        </w:tc>
        <w:tc>
          <w:tcPr>
            <w:tcW w:w="140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4BF662AB" w14:textId="77777777" w:rsidR="00C07691" w:rsidRDefault="00C07691" w:rsidP="009212EA">
            <w:pPr>
              <w:jc w:val="center"/>
            </w:pPr>
            <w:r>
              <w:rPr>
                <w:rFonts w:ascii="Arial" w:eastAsia="Arial" w:hAnsi="Arial" w:cs="Arial"/>
                <w:sz w:val="19"/>
                <w:szCs w:val="19"/>
              </w:rPr>
              <w:t>2.19</w:t>
            </w:r>
          </w:p>
        </w:tc>
        <w:tc>
          <w:tcPr>
            <w:tcW w:w="104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46341AA1" w14:textId="77777777" w:rsidR="00C07691" w:rsidRDefault="00C07691" w:rsidP="009212EA">
            <w:pPr>
              <w:jc w:val="center"/>
            </w:pPr>
            <w:r>
              <w:rPr>
                <w:rFonts w:ascii="Arial" w:eastAsia="Arial" w:hAnsi="Arial" w:cs="Arial"/>
                <w:sz w:val="19"/>
                <w:szCs w:val="19"/>
              </w:rPr>
              <w:t>1.30</w:t>
            </w:r>
          </w:p>
        </w:tc>
        <w:tc>
          <w:tcPr>
            <w:tcW w:w="104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57EE6A87" w14:textId="77777777" w:rsidR="00C07691" w:rsidRDefault="00C07691" w:rsidP="009212EA">
            <w:pPr>
              <w:jc w:val="center"/>
            </w:pPr>
            <w:r>
              <w:rPr>
                <w:rFonts w:ascii="Arial" w:eastAsia="Arial" w:hAnsi="Arial" w:cs="Arial"/>
                <w:sz w:val="19"/>
                <w:szCs w:val="19"/>
              </w:rPr>
              <w:t>8.68</w:t>
            </w:r>
          </w:p>
        </w:tc>
        <w:tc>
          <w:tcPr>
            <w:tcW w:w="106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7079A74A" w14:textId="77777777" w:rsidR="00C07691" w:rsidRDefault="00C07691" w:rsidP="009212EA">
            <w:pPr>
              <w:jc w:val="center"/>
            </w:pPr>
            <w:r>
              <w:rPr>
                <w:rFonts w:ascii="Arial" w:eastAsia="Arial" w:hAnsi="Arial" w:cs="Arial"/>
                <w:sz w:val="19"/>
                <w:szCs w:val="19"/>
              </w:rPr>
              <w:t>7.38</w:t>
            </w:r>
          </w:p>
        </w:tc>
      </w:tr>
      <w:tr w:rsidR="00C07691" w14:paraId="3B766C6A" w14:textId="77777777" w:rsidTr="009212EA">
        <w:tblPrEx>
          <w:tblCellMar>
            <w:top w:w="0" w:type="dxa"/>
            <w:bottom w:w="0" w:type="dxa"/>
          </w:tblCellMar>
        </w:tblPrEx>
        <w:trPr>
          <w:cantSplit/>
        </w:trPr>
        <w:tc>
          <w:tcPr>
            <w:tcW w:w="156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3C8B7473" w14:textId="77777777" w:rsidR="00C07691" w:rsidRDefault="00C07691" w:rsidP="009212EA">
            <w:r>
              <w:rPr>
                <w:rFonts w:ascii="Arial" w:eastAsia="Arial" w:hAnsi="Arial" w:cs="Arial"/>
                <w:b/>
                <w:bCs/>
                <w:sz w:val="19"/>
                <w:szCs w:val="19"/>
              </w:rPr>
              <w:t>Con castigo</w:t>
            </w:r>
          </w:p>
        </w:tc>
        <w:tc>
          <w:tcPr>
            <w:tcW w:w="96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4CFF3A4A" w14:textId="77777777" w:rsidR="00C07691" w:rsidRDefault="00C07691" w:rsidP="009212EA">
            <w:pPr>
              <w:jc w:val="center"/>
            </w:pPr>
            <w:r>
              <w:rPr>
                <w:rFonts w:ascii="Arial" w:eastAsia="Arial" w:hAnsi="Arial" w:cs="Arial"/>
                <w:sz w:val="19"/>
                <w:szCs w:val="19"/>
              </w:rPr>
              <w:t>1</w:t>
            </w:r>
          </w:p>
        </w:tc>
        <w:tc>
          <w:tcPr>
            <w:tcW w:w="110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766C12E7" w14:textId="77777777" w:rsidR="00C07691" w:rsidRDefault="00C07691" w:rsidP="009212EA">
            <w:pPr>
              <w:jc w:val="center"/>
            </w:pPr>
            <w:r>
              <w:rPr>
                <w:rFonts w:ascii="Arial" w:eastAsia="Arial" w:hAnsi="Arial" w:cs="Arial"/>
                <w:sz w:val="19"/>
                <w:szCs w:val="19"/>
              </w:rPr>
              <w:t>10.64</w:t>
            </w:r>
          </w:p>
        </w:tc>
        <w:tc>
          <w:tcPr>
            <w:tcW w:w="120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2B1E28F2" w14:textId="77777777" w:rsidR="00C07691" w:rsidRDefault="00C07691" w:rsidP="009212EA">
            <w:pPr>
              <w:jc w:val="center"/>
            </w:pPr>
            <w:r>
              <w:rPr>
                <w:rFonts w:ascii="Arial" w:eastAsia="Arial" w:hAnsi="Arial" w:cs="Arial"/>
                <w:sz w:val="19"/>
                <w:szCs w:val="19"/>
              </w:rPr>
              <w:t>10.29</w:t>
            </w:r>
          </w:p>
        </w:tc>
        <w:tc>
          <w:tcPr>
            <w:tcW w:w="140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3F159DA9" w14:textId="77777777" w:rsidR="00C07691" w:rsidRDefault="00C07691" w:rsidP="009212EA">
            <w:pPr>
              <w:jc w:val="center"/>
            </w:pPr>
            <w:r>
              <w:rPr>
                <w:rFonts w:ascii="Arial" w:eastAsia="Arial" w:hAnsi="Arial" w:cs="Arial"/>
                <w:sz w:val="19"/>
                <w:szCs w:val="19"/>
              </w:rPr>
              <w:t>3.21</w:t>
            </w:r>
          </w:p>
        </w:tc>
        <w:tc>
          <w:tcPr>
            <w:tcW w:w="104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3B4E3CC1" w14:textId="77777777" w:rsidR="00C07691" w:rsidRDefault="00C07691" w:rsidP="009212EA">
            <w:pPr>
              <w:jc w:val="center"/>
            </w:pPr>
            <w:r>
              <w:rPr>
                <w:rFonts w:ascii="Arial" w:eastAsia="Arial" w:hAnsi="Arial" w:cs="Arial"/>
                <w:sz w:val="19"/>
                <w:szCs w:val="19"/>
              </w:rPr>
              <w:t>5.82</w:t>
            </w:r>
          </w:p>
        </w:tc>
        <w:tc>
          <w:tcPr>
            <w:tcW w:w="104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437D8238" w14:textId="77777777" w:rsidR="00C07691" w:rsidRDefault="00C07691" w:rsidP="009212EA">
            <w:pPr>
              <w:jc w:val="center"/>
            </w:pPr>
            <w:r>
              <w:rPr>
                <w:rFonts w:ascii="Arial" w:eastAsia="Arial" w:hAnsi="Arial" w:cs="Arial"/>
                <w:sz w:val="19"/>
                <w:szCs w:val="19"/>
              </w:rPr>
              <w:t>16.02</w:t>
            </w:r>
          </w:p>
        </w:tc>
        <w:tc>
          <w:tcPr>
            <w:tcW w:w="106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40F96A79" w14:textId="77777777" w:rsidR="00C07691" w:rsidRDefault="00C07691" w:rsidP="009212EA">
            <w:pPr>
              <w:jc w:val="center"/>
            </w:pPr>
            <w:r>
              <w:rPr>
                <w:rFonts w:ascii="Arial" w:eastAsia="Arial" w:hAnsi="Arial" w:cs="Arial"/>
                <w:sz w:val="19"/>
                <w:szCs w:val="19"/>
              </w:rPr>
              <w:t>10.20</w:t>
            </w:r>
          </w:p>
        </w:tc>
      </w:tr>
      <w:tr w:rsidR="00C07691" w14:paraId="3F3D92FE" w14:textId="77777777" w:rsidTr="009212EA">
        <w:tblPrEx>
          <w:tblCellMar>
            <w:top w:w="0" w:type="dxa"/>
            <w:bottom w:w="0" w:type="dxa"/>
          </w:tblCellMar>
        </w:tblPrEx>
        <w:trPr>
          <w:cantSplit/>
        </w:trPr>
        <w:tc>
          <w:tcPr>
            <w:tcW w:w="156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4929EAC9" w14:textId="77777777" w:rsidR="00C07691" w:rsidRDefault="00C07691" w:rsidP="009212EA">
            <w:r>
              <w:rPr>
                <w:rFonts w:ascii="Arial" w:eastAsia="Arial" w:hAnsi="Arial" w:cs="Arial"/>
                <w:b/>
                <w:bCs/>
                <w:sz w:val="19"/>
                <w:szCs w:val="19"/>
              </w:rPr>
              <w:t>Con castigo</w:t>
            </w:r>
          </w:p>
        </w:tc>
        <w:tc>
          <w:tcPr>
            <w:tcW w:w="96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6820F769" w14:textId="77777777" w:rsidR="00C07691" w:rsidRDefault="00C07691" w:rsidP="009212EA">
            <w:pPr>
              <w:jc w:val="center"/>
            </w:pPr>
            <w:r>
              <w:rPr>
                <w:rFonts w:ascii="Arial" w:eastAsia="Arial" w:hAnsi="Arial" w:cs="Arial"/>
                <w:sz w:val="19"/>
                <w:szCs w:val="19"/>
              </w:rPr>
              <w:t>10</w:t>
            </w:r>
          </w:p>
        </w:tc>
        <w:tc>
          <w:tcPr>
            <w:tcW w:w="110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53C0618B" w14:textId="77777777" w:rsidR="00C07691" w:rsidRDefault="00C07691" w:rsidP="009212EA">
            <w:pPr>
              <w:jc w:val="center"/>
            </w:pPr>
            <w:r>
              <w:rPr>
                <w:rFonts w:ascii="Arial" w:eastAsia="Arial" w:hAnsi="Arial" w:cs="Arial"/>
                <w:sz w:val="19"/>
                <w:szCs w:val="19"/>
              </w:rPr>
              <w:t>12.87</w:t>
            </w:r>
          </w:p>
        </w:tc>
        <w:tc>
          <w:tcPr>
            <w:tcW w:w="120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166AE8A4" w14:textId="77777777" w:rsidR="00C07691" w:rsidRDefault="00C07691" w:rsidP="009212EA">
            <w:pPr>
              <w:jc w:val="center"/>
            </w:pPr>
            <w:r>
              <w:rPr>
                <w:rFonts w:ascii="Arial" w:eastAsia="Arial" w:hAnsi="Arial" w:cs="Arial"/>
                <w:sz w:val="19"/>
                <w:szCs w:val="19"/>
              </w:rPr>
              <w:t>15.19</w:t>
            </w:r>
          </w:p>
        </w:tc>
        <w:tc>
          <w:tcPr>
            <w:tcW w:w="140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1E6B9892" w14:textId="77777777" w:rsidR="00C07691" w:rsidRDefault="00C07691" w:rsidP="009212EA">
            <w:pPr>
              <w:jc w:val="center"/>
            </w:pPr>
            <w:r>
              <w:rPr>
                <w:rFonts w:ascii="Arial" w:eastAsia="Arial" w:hAnsi="Arial" w:cs="Arial"/>
                <w:sz w:val="19"/>
                <w:szCs w:val="19"/>
              </w:rPr>
              <w:t>3.90</w:t>
            </w:r>
          </w:p>
        </w:tc>
        <w:tc>
          <w:tcPr>
            <w:tcW w:w="104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20C8ED56" w14:textId="77777777" w:rsidR="00C07691" w:rsidRDefault="00C07691" w:rsidP="009212EA">
            <w:pPr>
              <w:jc w:val="center"/>
            </w:pPr>
            <w:r>
              <w:rPr>
                <w:rFonts w:ascii="Arial" w:eastAsia="Arial" w:hAnsi="Arial" w:cs="Arial"/>
                <w:sz w:val="19"/>
                <w:szCs w:val="19"/>
              </w:rPr>
              <w:t>6.20</w:t>
            </w:r>
          </w:p>
        </w:tc>
        <w:tc>
          <w:tcPr>
            <w:tcW w:w="104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5745BCFB" w14:textId="77777777" w:rsidR="00C07691" w:rsidRDefault="00C07691" w:rsidP="009212EA">
            <w:pPr>
              <w:jc w:val="center"/>
            </w:pPr>
            <w:r>
              <w:rPr>
                <w:rFonts w:ascii="Arial" w:eastAsia="Arial" w:hAnsi="Arial" w:cs="Arial"/>
                <w:sz w:val="19"/>
                <w:szCs w:val="19"/>
              </w:rPr>
              <w:t>17.51</w:t>
            </w:r>
          </w:p>
        </w:tc>
        <w:tc>
          <w:tcPr>
            <w:tcW w:w="106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296FC0A0" w14:textId="77777777" w:rsidR="00C07691" w:rsidRDefault="00C07691" w:rsidP="009212EA">
            <w:pPr>
              <w:jc w:val="center"/>
            </w:pPr>
            <w:r>
              <w:rPr>
                <w:rFonts w:ascii="Arial" w:eastAsia="Arial" w:hAnsi="Arial" w:cs="Arial"/>
                <w:sz w:val="19"/>
                <w:szCs w:val="19"/>
              </w:rPr>
              <w:t>11.31</w:t>
            </w:r>
          </w:p>
        </w:tc>
      </w:tr>
    </w:tbl>
    <w:p w14:paraId="1220B43B" w14:textId="0CEE6269" w:rsidR="00C07691" w:rsidRDefault="00C07691" w:rsidP="00C07691">
      <w:pPr>
        <w:keepNext/>
        <w:spacing w:before="120" w:after="70"/>
      </w:pPr>
      <w:r>
        <w:rPr>
          <w:rFonts w:ascii="Arial" w:eastAsia="Arial" w:hAnsi="Arial" w:cs="Arial"/>
          <w:i/>
          <w:iCs/>
          <w:color w:val="595959"/>
          <w:sz w:val="16"/>
          <w:szCs w:val="16"/>
        </w:rPr>
        <w:br/>
      </w:r>
      <w:r>
        <w:rPr>
          <w:rFonts w:ascii="Arial" w:eastAsia="Arial" w:hAnsi="Arial" w:cs="Arial"/>
          <w:b/>
          <w:bCs/>
          <w:sz w:val="21"/>
          <w:szCs w:val="21"/>
        </w:rPr>
        <w:t>A lo largo del tiempo</w:t>
      </w:r>
    </w:p>
    <w:p w14:paraId="0BAF04CB"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Sin castigo, la distribución se desplaza hacia abajo:</w:t>
      </w:r>
      <w:r>
        <w:rPr>
          <w:rFonts w:ascii="Arial" w:eastAsia="Arial" w:hAnsi="Arial" w:cs="Arial"/>
          <w:sz w:val="21"/>
          <w:szCs w:val="21"/>
        </w:rPr>
        <w:t xml:space="preserve"> la media cae de 10.58 a 4.38 y el máximo del Período 10 (8.68) queda por debajo de la media inicial. La desviación estándar casi no cambia (2.02 a 2.19), pero como el promedio es mucho menor, la dispersión relativa se dispara: el coeficiente de variación (desviación/media) pasa de 0.19 a 0.50. El rango también crece (6.14 a 7.38).</w:t>
      </w:r>
    </w:p>
    <w:p w14:paraId="54578C8D"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Con castigo, la distribución sube y se abre:</w:t>
      </w:r>
      <w:r>
        <w:rPr>
          <w:rFonts w:ascii="Arial" w:eastAsia="Arial" w:hAnsi="Arial" w:cs="Arial"/>
          <w:sz w:val="21"/>
          <w:szCs w:val="21"/>
        </w:rPr>
        <w:t xml:space="preserve"> la media pasa de 10.64 a 12.87, la varianza de 10.29 a 15.19 y el rango de 10.20 a 11.31. Tanto el mínimo (5.82 a 6.20) </w:t>
      </w:r>
      <w:r>
        <w:rPr>
          <w:rFonts w:ascii="Arial" w:eastAsia="Arial" w:hAnsi="Arial" w:cs="Arial"/>
          <w:sz w:val="21"/>
          <w:szCs w:val="21"/>
        </w:rPr>
        <w:lastRenderedPageBreak/>
        <w:t>como el máximo (16.02 a 17.51) suben, y la dispersión relativa se mantiene (coeficiente de variación de 0.30 en ambos períodos).</w:t>
      </w:r>
    </w:p>
    <w:p w14:paraId="3DB7EEE4" w14:textId="77777777" w:rsidR="00C07691" w:rsidRDefault="00C07691" w:rsidP="00C07691">
      <w:pPr>
        <w:keepNext/>
        <w:spacing w:before="120" w:after="70"/>
      </w:pPr>
      <w:r>
        <w:rPr>
          <w:rFonts w:ascii="Arial" w:eastAsia="Arial" w:hAnsi="Arial" w:cs="Arial"/>
          <w:b/>
          <w:bCs/>
          <w:sz w:val="21"/>
          <w:szCs w:val="21"/>
        </w:rPr>
        <w:t>Entre experimentos</w:t>
      </w:r>
    </w:p>
    <w:p w14:paraId="5454695C"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Período 1:</w:t>
      </w:r>
      <w:r>
        <w:rPr>
          <w:rFonts w:ascii="Arial" w:eastAsia="Arial" w:hAnsi="Arial" w:cs="Arial"/>
          <w:sz w:val="21"/>
          <w:szCs w:val="21"/>
        </w:rPr>
        <w:t xml:space="preserve"> mismo promedio, pero mucho más dispersión con castigo (varianza 2.5 veces mayor y rango de 10.20 frente a 6.14). Las dos distribuciones se traslapan bastante.</w:t>
      </w:r>
    </w:p>
    <w:p w14:paraId="455AC1AB"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Período 10:</w:t>
      </w:r>
      <w:r>
        <w:rPr>
          <w:rFonts w:ascii="Arial" w:eastAsia="Arial" w:hAnsi="Arial" w:cs="Arial"/>
          <w:sz w:val="21"/>
          <w:szCs w:val="21"/>
        </w:rPr>
        <w:t xml:space="preserve"> casi no se traslapan. Solo 3 de las 16 ciudades sin castigo (</w:t>
      </w:r>
      <w:proofErr w:type="spellStart"/>
      <w:r>
        <w:rPr>
          <w:rFonts w:ascii="Arial" w:eastAsia="Arial" w:hAnsi="Arial" w:cs="Arial"/>
          <w:sz w:val="21"/>
          <w:szCs w:val="21"/>
        </w:rPr>
        <w:t>Dnipropetrovs’k</w:t>
      </w:r>
      <w:proofErr w:type="spellEnd"/>
      <w:r>
        <w:rPr>
          <w:rFonts w:ascii="Arial" w:eastAsia="Arial" w:hAnsi="Arial" w:cs="Arial"/>
          <w:sz w:val="21"/>
          <w:szCs w:val="21"/>
        </w:rPr>
        <w:t>, Minsk y Muscat) superan el mínimo del experimento con castigo (6.20), y la varianza con castigo sigue siendo mucho mayor (15.19 frente a 4.78).</w:t>
      </w:r>
    </w:p>
    <w:p w14:paraId="45C48F64" w14:textId="77777777" w:rsidR="00C07691" w:rsidRDefault="00C07691" w:rsidP="00C07691">
      <w:pPr>
        <w:spacing w:after="60" w:line="288" w:lineRule="auto"/>
      </w:pPr>
      <w:r>
        <w:rPr>
          <w:rFonts w:ascii="Arial" w:eastAsia="Arial" w:hAnsi="Arial" w:cs="Arial"/>
          <w:b/>
          <w:bCs/>
          <w:sz w:val="21"/>
          <w:szCs w:val="21"/>
        </w:rPr>
        <w:t>En síntesis:</w:t>
      </w:r>
      <w:r>
        <w:rPr>
          <w:rFonts w:ascii="Arial" w:eastAsia="Arial" w:hAnsi="Arial" w:cs="Arial"/>
          <w:sz w:val="21"/>
          <w:szCs w:val="21"/>
        </w:rPr>
        <w:t xml:space="preserve"> el castigo aparece asociado a contribuciones más altas y sostenidas, pero también más heterogéneas entre ciudades. Esto es solo descripción; saber si la diferencia puede deberse al azar requiere la inferencia (pruebas t) de la sección 2.3.</w:t>
      </w:r>
    </w:p>
    <w:p w14:paraId="5B90FBB0" w14:textId="20BDDA1A" w:rsidR="001A40AD" w:rsidRPr="006F4B10" w:rsidRDefault="001A40AD">
      <w:pPr>
        <w:rPr>
          <w:lang w:val="es-MX"/>
        </w:rPr>
      </w:pPr>
    </w:p>
    <w:sectPr w:rsidR="001A40AD" w:rsidRPr="006F4B1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14636"/>
    <w:multiLevelType w:val="multilevel"/>
    <w:tmpl w:val="A91A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AA2721"/>
    <w:multiLevelType w:val="multilevel"/>
    <w:tmpl w:val="9DA8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BF307D"/>
    <w:multiLevelType w:val="multilevel"/>
    <w:tmpl w:val="B47A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AF7710"/>
    <w:multiLevelType w:val="multilevel"/>
    <w:tmpl w:val="D16EF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775FA0"/>
    <w:multiLevelType w:val="hybridMultilevel"/>
    <w:tmpl w:val="73B442DE"/>
    <w:lvl w:ilvl="0" w:tplc="8EC45736">
      <w:start w:val="1"/>
      <w:numFmt w:val="bullet"/>
      <w:lvlText w:val="•"/>
      <w:lvlJc w:val="left"/>
      <w:pPr>
        <w:ind w:left="520" w:hanging="260"/>
      </w:pPr>
      <w:rPr>
        <w:rFonts w:ascii="Arial" w:eastAsia="Arial" w:hAnsi="Arial" w:cs="Arial"/>
        <w:color w:val="1F3A5F"/>
      </w:rPr>
    </w:lvl>
    <w:lvl w:ilvl="1" w:tplc="3A18F8DE">
      <w:numFmt w:val="decimal"/>
      <w:lvlText w:val=""/>
      <w:lvlJc w:val="left"/>
    </w:lvl>
    <w:lvl w:ilvl="2" w:tplc="21087352">
      <w:numFmt w:val="decimal"/>
      <w:lvlText w:val=""/>
      <w:lvlJc w:val="left"/>
    </w:lvl>
    <w:lvl w:ilvl="3" w:tplc="929A9276">
      <w:numFmt w:val="decimal"/>
      <w:lvlText w:val=""/>
      <w:lvlJc w:val="left"/>
    </w:lvl>
    <w:lvl w:ilvl="4" w:tplc="4C08682E">
      <w:numFmt w:val="decimal"/>
      <w:lvlText w:val=""/>
      <w:lvlJc w:val="left"/>
    </w:lvl>
    <w:lvl w:ilvl="5" w:tplc="1892D844">
      <w:numFmt w:val="decimal"/>
      <w:lvlText w:val=""/>
      <w:lvlJc w:val="left"/>
    </w:lvl>
    <w:lvl w:ilvl="6" w:tplc="285C9A5E">
      <w:numFmt w:val="decimal"/>
      <w:lvlText w:val=""/>
      <w:lvlJc w:val="left"/>
    </w:lvl>
    <w:lvl w:ilvl="7" w:tplc="7D00F386">
      <w:numFmt w:val="decimal"/>
      <w:lvlText w:val=""/>
      <w:lvlJc w:val="left"/>
    </w:lvl>
    <w:lvl w:ilvl="8" w:tplc="E990D1D0">
      <w:numFmt w:val="decimal"/>
      <w:lvlText w:val=""/>
      <w:lvlJc w:val="left"/>
    </w:lvl>
  </w:abstractNum>
  <w:num w:numId="1" w16cid:durableId="25063111">
    <w:abstractNumId w:val="0"/>
  </w:num>
  <w:num w:numId="2" w16cid:durableId="2125995338">
    <w:abstractNumId w:val="1"/>
  </w:num>
  <w:num w:numId="3" w16cid:durableId="1023363083">
    <w:abstractNumId w:val="2"/>
  </w:num>
  <w:num w:numId="4" w16cid:durableId="1678582979">
    <w:abstractNumId w:val="3"/>
  </w:num>
  <w:num w:numId="5" w16cid:durableId="38699816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B10"/>
    <w:rsid w:val="000355A5"/>
    <w:rsid w:val="000E6DC5"/>
    <w:rsid w:val="001A40AD"/>
    <w:rsid w:val="005D265C"/>
    <w:rsid w:val="00644022"/>
    <w:rsid w:val="006F4B10"/>
    <w:rsid w:val="008B3AB8"/>
    <w:rsid w:val="00A55A21"/>
    <w:rsid w:val="00C0769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5768D"/>
  <w15:chartTrackingRefBased/>
  <w15:docId w15:val="{525B7B08-A1DA-498C-B0E4-CBD35BB7E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F4B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F4B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F4B1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F4B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F4B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F4B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F4B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F4B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F4B1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F4B1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F4B1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F4B1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F4B1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F4B1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F4B1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F4B1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F4B1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F4B10"/>
    <w:rPr>
      <w:rFonts w:eastAsiaTheme="majorEastAsia" w:cstheme="majorBidi"/>
      <w:color w:val="272727" w:themeColor="text1" w:themeTint="D8"/>
    </w:rPr>
  </w:style>
  <w:style w:type="paragraph" w:styleId="Ttulo">
    <w:name w:val="Title"/>
    <w:basedOn w:val="Normal"/>
    <w:next w:val="Normal"/>
    <w:link w:val="TtuloCar"/>
    <w:uiPriority w:val="10"/>
    <w:qFormat/>
    <w:rsid w:val="006F4B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F4B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F4B1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F4B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F4B10"/>
    <w:pPr>
      <w:spacing w:before="160"/>
      <w:jc w:val="center"/>
    </w:pPr>
    <w:rPr>
      <w:i/>
      <w:iCs/>
      <w:color w:val="404040" w:themeColor="text1" w:themeTint="BF"/>
    </w:rPr>
  </w:style>
  <w:style w:type="character" w:customStyle="1" w:styleId="CitaCar">
    <w:name w:val="Cita Car"/>
    <w:basedOn w:val="Fuentedeprrafopredeter"/>
    <w:link w:val="Cita"/>
    <w:uiPriority w:val="29"/>
    <w:rsid w:val="006F4B10"/>
    <w:rPr>
      <w:i/>
      <w:iCs/>
      <w:color w:val="404040" w:themeColor="text1" w:themeTint="BF"/>
    </w:rPr>
  </w:style>
  <w:style w:type="paragraph" w:styleId="Prrafodelista">
    <w:name w:val="List Paragraph"/>
    <w:basedOn w:val="Normal"/>
    <w:qFormat/>
    <w:rsid w:val="006F4B10"/>
    <w:pPr>
      <w:ind w:left="720"/>
      <w:contextualSpacing/>
    </w:pPr>
  </w:style>
  <w:style w:type="character" w:styleId="nfasisintenso">
    <w:name w:val="Intense Emphasis"/>
    <w:basedOn w:val="Fuentedeprrafopredeter"/>
    <w:uiPriority w:val="21"/>
    <w:qFormat/>
    <w:rsid w:val="006F4B10"/>
    <w:rPr>
      <w:i/>
      <w:iCs/>
      <w:color w:val="0F4761" w:themeColor="accent1" w:themeShade="BF"/>
    </w:rPr>
  </w:style>
  <w:style w:type="paragraph" w:styleId="Citadestacada">
    <w:name w:val="Intense Quote"/>
    <w:basedOn w:val="Normal"/>
    <w:next w:val="Normal"/>
    <w:link w:val="CitadestacadaCar"/>
    <w:uiPriority w:val="30"/>
    <w:qFormat/>
    <w:rsid w:val="006F4B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F4B10"/>
    <w:rPr>
      <w:i/>
      <w:iCs/>
      <w:color w:val="0F4761" w:themeColor="accent1" w:themeShade="BF"/>
    </w:rPr>
  </w:style>
  <w:style w:type="character" w:styleId="Referenciaintensa">
    <w:name w:val="Intense Reference"/>
    <w:basedOn w:val="Fuentedeprrafopredeter"/>
    <w:uiPriority w:val="32"/>
    <w:qFormat/>
    <w:rsid w:val="006F4B10"/>
    <w:rPr>
      <w:b/>
      <w:bCs/>
      <w:smallCaps/>
      <w:color w:val="0F4761" w:themeColor="accent1" w:themeShade="BF"/>
      <w:spacing w:val="5"/>
    </w:rPr>
  </w:style>
  <w:style w:type="paragraph" w:styleId="NormalWeb">
    <w:name w:val="Normal (Web)"/>
    <w:basedOn w:val="Normal"/>
    <w:uiPriority w:val="99"/>
    <w:semiHidden/>
    <w:unhideWhenUsed/>
    <w:rsid w:val="000355A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872215">
      <w:bodyDiv w:val="1"/>
      <w:marLeft w:val="0"/>
      <w:marRight w:val="0"/>
      <w:marTop w:val="0"/>
      <w:marBottom w:val="0"/>
      <w:divBdr>
        <w:top w:val="none" w:sz="0" w:space="0" w:color="auto"/>
        <w:left w:val="none" w:sz="0" w:space="0" w:color="auto"/>
        <w:bottom w:val="none" w:sz="0" w:space="0" w:color="auto"/>
        <w:right w:val="none" w:sz="0" w:space="0" w:color="auto"/>
      </w:divBdr>
    </w:div>
    <w:div w:id="366955397">
      <w:bodyDiv w:val="1"/>
      <w:marLeft w:val="0"/>
      <w:marRight w:val="0"/>
      <w:marTop w:val="0"/>
      <w:marBottom w:val="0"/>
      <w:divBdr>
        <w:top w:val="none" w:sz="0" w:space="0" w:color="auto"/>
        <w:left w:val="none" w:sz="0" w:space="0" w:color="auto"/>
        <w:bottom w:val="none" w:sz="0" w:space="0" w:color="auto"/>
        <w:right w:val="none" w:sz="0" w:space="0" w:color="auto"/>
      </w:divBdr>
    </w:div>
    <w:div w:id="878393894">
      <w:bodyDiv w:val="1"/>
      <w:marLeft w:val="0"/>
      <w:marRight w:val="0"/>
      <w:marTop w:val="0"/>
      <w:marBottom w:val="0"/>
      <w:divBdr>
        <w:top w:val="none" w:sz="0" w:space="0" w:color="auto"/>
        <w:left w:val="none" w:sz="0" w:space="0" w:color="auto"/>
        <w:bottom w:val="none" w:sz="0" w:space="0" w:color="auto"/>
        <w:right w:val="none" w:sz="0" w:space="0" w:color="auto"/>
      </w:divBdr>
      <w:divsChild>
        <w:div w:id="1874267695">
          <w:marLeft w:val="0"/>
          <w:marRight w:val="0"/>
          <w:marTop w:val="0"/>
          <w:marBottom w:val="0"/>
          <w:divBdr>
            <w:top w:val="none" w:sz="0" w:space="0" w:color="auto"/>
            <w:left w:val="none" w:sz="0" w:space="0" w:color="auto"/>
            <w:bottom w:val="none" w:sz="0" w:space="0" w:color="auto"/>
            <w:right w:val="none" w:sz="0" w:space="0" w:color="auto"/>
          </w:divBdr>
          <w:divsChild>
            <w:div w:id="88317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033829">
      <w:bodyDiv w:val="1"/>
      <w:marLeft w:val="0"/>
      <w:marRight w:val="0"/>
      <w:marTop w:val="0"/>
      <w:marBottom w:val="0"/>
      <w:divBdr>
        <w:top w:val="none" w:sz="0" w:space="0" w:color="auto"/>
        <w:left w:val="none" w:sz="0" w:space="0" w:color="auto"/>
        <w:bottom w:val="none" w:sz="0" w:space="0" w:color="auto"/>
        <w:right w:val="none" w:sz="0" w:space="0" w:color="auto"/>
      </w:divBdr>
    </w:div>
    <w:div w:id="1830634686">
      <w:bodyDiv w:val="1"/>
      <w:marLeft w:val="0"/>
      <w:marRight w:val="0"/>
      <w:marTop w:val="0"/>
      <w:marBottom w:val="0"/>
      <w:divBdr>
        <w:top w:val="none" w:sz="0" w:space="0" w:color="auto"/>
        <w:left w:val="none" w:sz="0" w:space="0" w:color="auto"/>
        <w:bottom w:val="none" w:sz="0" w:space="0" w:color="auto"/>
        <w:right w:val="none" w:sz="0" w:space="0" w:color="auto"/>
      </w:divBdr>
    </w:div>
    <w:div w:id="1901548615">
      <w:bodyDiv w:val="1"/>
      <w:marLeft w:val="0"/>
      <w:marRight w:val="0"/>
      <w:marTop w:val="0"/>
      <w:marBottom w:val="0"/>
      <w:divBdr>
        <w:top w:val="none" w:sz="0" w:space="0" w:color="auto"/>
        <w:left w:val="none" w:sz="0" w:space="0" w:color="auto"/>
        <w:bottom w:val="none" w:sz="0" w:space="0" w:color="auto"/>
        <w:right w:val="none" w:sz="0" w:space="0" w:color="auto"/>
      </w:divBdr>
      <w:divsChild>
        <w:div w:id="1168204716">
          <w:marLeft w:val="0"/>
          <w:marRight w:val="0"/>
          <w:marTop w:val="0"/>
          <w:marBottom w:val="0"/>
          <w:divBdr>
            <w:top w:val="none" w:sz="0" w:space="0" w:color="auto"/>
            <w:left w:val="none" w:sz="0" w:space="0" w:color="auto"/>
            <w:bottom w:val="none" w:sz="0" w:space="0" w:color="auto"/>
            <w:right w:val="none" w:sz="0" w:space="0" w:color="auto"/>
          </w:divBdr>
          <w:divsChild>
            <w:div w:id="47645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1629</Words>
  <Characters>8963</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Prestamo Estudiantes</dc:creator>
  <cp:keywords/>
  <dc:description/>
  <cp:lastModifiedBy>Prestamo Estudiantes</cp:lastModifiedBy>
  <cp:revision>2</cp:revision>
  <dcterms:created xsi:type="dcterms:W3CDTF">2026-09-17T14:53:00Z</dcterms:created>
  <dcterms:modified xsi:type="dcterms:W3CDTF">2026-09-18T19:35:00Z</dcterms:modified>
</cp:coreProperties>
</file>