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7391" w:rsidRDefault="006C4F68">
      <w:pPr>
        <w:pStyle w:val="1"/>
      </w:pPr>
      <w:r>
        <w:t>DeFi Portfolio Analysis Report</w:t>
      </w:r>
    </w:p>
    <w:p w:rsidR="003E7391" w:rsidRDefault="006C4F68">
      <w:pPr>
        <w:pStyle w:val="21"/>
      </w:pPr>
      <w:r>
        <w:t>1. Εισαγωγή</w:t>
      </w:r>
    </w:p>
    <w:p w:rsidR="003E7391" w:rsidRDefault="006C4F68">
      <w:r>
        <w:t>Το project αυτό είχε ως στόχο να μελετήσει και να κατανοήσει τη συμπεριφορά της αγοράς των αποκεντρωμένων χρηματοοικονομικών (DeFi) μέσα από πραγματικά δεδομένα. Χρησιμοποιήθηκαν τεχνικές στατιστικής ανάλυσης και</w:t>
      </w:r>
      <w:r>
        <w:t xml:space="preserve"> μηχανικής μάθησης για τον εντοπισμό προτύπων, τη δημιουργία ομάδων (clusters) από tokens με παρόμοια χαρακτηριστικά και τη διαμόρφωση ενός διαφοροποιημένου επενδυτικού χαρτοφυλακίου με βάση την απόδοση και τον κίνδυνο.</w:t>
      </w:r>
    </w:p>
    <w:p w:rsidR="003E7391" w:rsidRDefault="006C4F68">
      <w:pPr>
        <w:pStyle w:val="21"/>
      </w:pPr>
      <w:r>
        <w:t>2. Συλλογή και Προετοιμασία Δεδομένω</w:t>
      </w:r>
      <w:r>
        <w:t>ν</w:t>
      </w:r>
    </w:p>
    <w:p w:rsidR="003E7391" w:rsidRDefault="006C4F68">
      <w:r>
        <w:t xml:space="preserve">Συλλέχθηκαν δεδομένα για 47 DeFi tokens από το Yahoo Finance. Για κάθε token υπολογίστηκαν δείκτες όπως μέση απόδοση, μεταβλητότητα, όγκος συναλλαγών, συνολική αξία δεσμευμένων κεφαλαίων (TVL), κεφαλαιοποίηση αγοράς, δείκτης ρευστότητας, συσχέτιση με το </w:t>
      </w:r>
      <w:r>
        <w:t>Ethereum και δείκτης επενδυτικού sentiment. Μετά από καθαρισμό των δεδομένων, αφαιρέθηκαν τρία tokens με ελλιπείς τιμές, διατηρώντας ένα ολοκληρωμένο σύνολο για ανάλυση.</w:t>
      </w:r>
    </w:p>
    <w:p w:rsidR="003E7391" w:rsidRDefault="006C4F68">
      <w:pPr>
        <w:pStyle w:val="21"/>
      </w:pPr>
      <w:r>
        <w:t>3. Principal Component Analysis (PCA)</w:t>
      </w:r>
    </w:p>
    <w:p w:rsidR="003E7391" w:rsidRDefault="006C4F68">
      <w:r>
        <w:t xml:space="preserve">Η ανάλυση PCA χρησιμοποιήθηκε για τη μείωση των </w:t>
      </w:r>
      <w:r>
        <w:t>διαστάσεων και την κατανόηση της εσωτερικής δομής των δεδομένων. Οι πέντε πρώτες συνιστώσες εξήγησαν το 96,5% της συνολικής διακύμανσης. Η πρώτη συνιστώσα (46%) σχετίζεται με το μέγεθος και τη ρευστότητα, η δεύτερη (17%) με το ρίσκο και τη συσχέτιση με την</w:t>
      </w:r>
      <w:r>
        <w:t xml:space="preserve"> αγορά, ενώ η τρίτη αντικατοπτρίζει τη διάθεση των επενδυτών. Έτσι, η αγορά DeFi καθοδηγείται κυρίως από τρεις παράγοντες: μέγεθος, ρίσκο και επενδυτικό συναίσθημα.</w:t>
      </w:r>
    </w:p>
    <w:p w:rsidR="003E7391" w:rsidRDefault="006C4F68">
      <w:pPr>
        <w:pStyle w:val="21"/>
      </w:pPr>
      <w:r>
        <w:t>4. Ανάλυση Clustering</w:t>
      </w:r>
    </w:p>
    <w:p w:rsidR="003E7391" w:rsidRDefault="006C4F68">
      <w:r>
        <w:t>Εφαρμόστηκε ο αλγόριθμος K-Means για τον ομαδοποίηση των tokens σε ομ</w:t>
      </w:r>
      <w:r>
        <w:t>άδες με παρόμοια συμπεριφορά. Η βέλτιστη τιμή βρέθηκε στο k=7, υποδεικνύοντας επτά διακριτές κατηγορίες DeFi έργων – από τα σταθερά 'blue-chip' tokens όπως τα BTC και ETH έως τα μικρότερα, πιο ριψοκίνδυνα projects. Τα clusters 3 και 4 παρουσίασαν τις καλύτ</w:t>
      </w:r>
      <w:r>
        <w:t>ερες επιδόσεις με δείκτες Sharpe μεταξύ 1.0 και 1.5, ενώ τα clusters 2 και 6 είχαν χαμηλότερες επιδόσεις λόγω χαμηλής ρευστότητας και υψηλού ειδικού κινδύνου.</w:t>
      </w:r>
    </w:p>
    <w:p w:rsidR="003E7391" w:rsidRDefault="006C4F68">
      <w:pPr>
        <w:pStyle w:val="21"/>
      </w:pPr>
      <w:r>
        <w:t>5. Δημιουργία Χαρτοφυλακίου</w:t>
      </w:r>
    </w:p>
    <w:p w:rsidR="003E7391" w:rsidRDefault="006C4F68">
      <w:r>
        <w:t xml:space="preserve">Με βάση τα αποτελέσματα των clusters, δημιουργήθηκε ένα χαρτοφυλάκιο </w:t>
      </w:r>
      <w:r>
        <w:t>με δύο tokens από κάθε ομάδα, επιλεγμένα με βάση τον δείκτη Sharpe. Το χαρτοφυλάκιο περιλαμβάνει 14 tokens, με ίση στάθμιση ανά asset. Η συνολική απόδοση ήταν εντυπωσιακή: Sharpe Ratio = 2.5, σε σύγκριση με 0.34 του ίσου βάρους χαρτοφυλακίου, ενώ η μεταβλη</w:t>
      </w:r>
      <w:r>
        <w:t>τότητα ήταν 75% χαμηλότερη από τον μέσο όρο της αγοράς. Αυτό αποδεικνύει ότι η στατιστική διαφοροποίηση και η επιλογή βάσει κινδύνου οδηγούν σε σαφώς ανώτερη επενδυτική απόδοση.</w:t>
      </w:r>
    </w:p>
    <w:p w:rsidR="003E7391" w:rsidRDefault="006C4F68">
      <w:pPr>
        <w:pStyle w:val="21"/>
      </w:pPr>
      <w:r>
        <w:lastRenderedPageBreak/>
        <w:t>6. Επενδυτικές Συστάσεις</w:t>
      </w:r>
    </w:p>
    <w:p w:rsidR="003E7391" w:rsidRDefault="006C4F68">
      <w:r>
        <w:t>Τα αποτελέσματα δείχνουν ότι τα Clusters 1 και 3 (BTC</w:t>
      </w:r>
      <w:r>
        <w:t xml:space="preserve">, ETH, BNB, SOL) πρέπει να αποτελούν τον πυρήνα του χαρτοφυλακίου (40–55%), καθώς προσφέρουν σταθερές αποδόσεις και υψηλή ρευστότητα. Τα Clusters 4 και 0 (ZEC, TRX, AAVE, XLM) μπορούν να αποτελέσουν το αναπτυξιακό τμήμα (20–25%), ενώ τα υπόλοιπα (Clusters </w:t>
      </w:r>
      <w:r>
        <w:t>2, 5, 6) συμβάλλουν κυρίως στη διαφοροποίηση. Προτείνεται μηνιαίο rebalancing ή σε απόκλιση &gt;5% και τακτική παρακολούθηση της συσχέτισης με το Ethereum και του sentiment. Η στρατηγική αυτή επιτυγχάνει ισορροπία μεταξύ σταθερότητας και δυναμικής απόδοσης.</w:t>
      </w:r>
    </w:p>
    <w:p w:rsidR="003E7391" w:rsidRDefault="006C4F68">
      <w:pPr>
        <w:pStyle w:val="21"/>
      </w:pPr>
      <w:r>
        <w:t>7</w:t>
      </w:r>
      <w:r>
        <w:t>. Περιορισμοί και Παρατηρήσεις</w:t>
      </w:r>
    </w:p>
    <w:p w:rsidR="003E7391" w:rsidRDefault="006C4F68">
      <w:r>
        <w:t>Παρά την αξιοπιστία των αποτελεσμάτων, υπάρχουν ορισμένοι περιορισμοί. Τα δεδομένα προέρχονται από δευτερογενείς πηγές και μπορεί να περιέχουν αποκλίσεις, ενώ η περίοδος δείγματος (περίπου 2 έτη) ενδέχεται να μην αντικατοπτρί</w:t>
      </w:r>
      <w:r>
        <w:t>ζει διαφορετικές συνθήκες αγοράς. Οι μέθοδοι PCA και K-Means βασίζονται σε γραμμικές υποθέσεις, ενώ η DeFi αγορά έχει συχνά μη γραμμική συμπεριφορά. Η πολυσυγγραμμικότητα μεταξύ Market Cap, TVL και Volume μπορεί να επηρέασε τα αποτελέσματα, ενώ ορισμένες υ</w:t>
      </w:r>
      <w:r>
        <w:t>περβολικές αποδόσεις (όπως Sharpe=2.5 ή annualized returns &gt;10000%) πρέπει να ερμηνευτούν συγκριτικά και όχι κυριολεκτικά. Για μελλοντική έρευνα προτείνεται rolling PCA/Clustering, ενσωμάτωση on-chain δεδομένων και χρήση πιο εξελιγμένων αλγορίθμων όπως Gau</w:t>
      </w:r>
      <w:r>
        <w:t>ssian Mixture Models ή UMAP για πιο ρεαλιστική αποτύπωση της αγοράς.</w:t>
      </w:r>
    </w:p>
    <w:p w:rsidR="003E7391" w:rsidRDefault="006C4F68">
      <w:pPr>
        <w:pStyle w:val="21"/>
      </w:pPr>
      <w:r>
        <w:t>8. Συμπέρασμα</w:t>
      </w:r>
    </w:p>
    <w:p w:rsidR="003E7391" w:rsidRDefault="006C4F68">
      <w:r>
        <w:t>Η μελέτη αυτή ανέδειξε μια ολοκληρωμένη προσέγγιση ανάλυσης της αγοράς DeFi, συνδυάζοντας στατιστικά εργαλεία και μεθόδους μηχανικής μάθησης για την κατανόηση της συμπεριφορ</w:t>
      </w:r>
      <w:r>
        <w:t xml:space="preserve">άς των tokens. Η ανάλυση PCA και Factor Analysis αποκάλυψαν τους κύριους παράγοντες που καθορίζουν την αγορά, ενώ η ανάλυση Clustering επέτρεψε τη δημιουργία ενός διαφοροποιημένου χαρτοφυλακίου με εντυπωσιακή σχέση απόδοσης–κινδύνου. Το αποτέλεσμα δείχνει </w:t>
      </w:r>
      <w:r>
        <w:t>πώς η ποσοτική ανάλυση μπορεί να μετατραπεί σε πρακτικό εργαλείο για επενδυτικές αποφάσεις ακόμη και σε μια τόσο δυναμική αγορά όπως το DeFi.</w:t>
      </w:r>
    </w:p>
    <w:sectPr w:rsidR="003E7391"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useFELayout/>
  </w:compat>
  <w:rsids>
    <w:rsidRoot w:val="00B47730"/>
    <w:rsid w:val="00034616"/>
    <w:rsid w:val="0006063C"/>
    <w:rsid w:val="0015074B"/>
    <w:rsid w:val="0029639D"/>
    <w:rsid w:val="00326F90"/>
    <w:rsid w:val="003E7391"/>
    <w:rsid w:val="006C4F68"/>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εισαγωγικό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670</Words>
  <Characters>3823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User</cp:lastModifiedBy>
  <cp:revision>2</cp:revision>
  <dcterms:created xsi:type="dcterms:W3CDTF">2025-11-09T18:48:00Z</dcterms:created>
  <dcterms:modified xsi:type="dcterms:W3CDTF">2025-11-09T18:48:00Z</dcterms:modified>
</cp:coreProperties>
</file>