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黄金潮汐模型 实现说明</w:t>
      </w:r>
    </w:p>
    <w:p>
      <w:pPr>
        <w:jc w:val="center"/>
      </w:pPr>
      <w:r>
        <w:t>沪金AU0日线 | 2008.01 ~ 至今 | 约4500个交易日</w:t>
      </w:r>
    </w:p>
    <w:p>
      <w:r>
        <w:rPr>
          <w:sz w:val="21"/>
        </w:rPr>
        <w:t># 黄金潮汐模型 · 实现说明</w:t>
      </w:r>
    </w:p>
    <w:p>
      <w:pPr>
        <w:pStyle w:val="Heading1"/>
      </w:pPr>
      <w:r>
        <w:t>数据</w:t>
      </w:r>
    </w:p>
    <w:p>
      <w:r>
        <w:rPr>
          <w:sz w:val="21"/>
        </w:rPr>
        <w:t>沪金AU0主力合约日线，从新浪财经API拉取，覆盖2008年1月至今约4500个交易日。每根K线含开高低收和成交量。只用收盘价做潮汐分段，成交量在日线级别已被验证为噪声，不参与建模。</w:t>
      </w:r>
    </w:p>
    <w:p>
      <w:pPr>
        <w:pStyle w:val="Heading1"/>
      </w:pPr>
      <w:r>
        <w:t>潮汐分段</w:t>
      </w:r>
    </w:p>
    <w:p>
      <w:r>
        <w:rPr>
          <w:sz w:val="21"/>
        </w:rPr>
        <w:t>用ZigZag算法做两层切分。</w:t>
      </w:r>
    </w:p>
    <w:p>
      <w:r>
        <w:rPr>
          <w:sz w:val="21"/>
        </w:rPr>
        <w:t>粗阈值设为3倍ATR（20日平均真实波幅），切出方向性大波段，称为大潮汐，编号A、B、C…精细阈值设为1倍ATR，在大潮汐内部切出子波段，称为小潮汐，编号a、b、c…</w:t>
      </w:r>
    </w:p>
    <w:p>
      <w:r>
        <w:rPr>
          <w:sz w:val="21"/>
        </w:rPr>
        <w:t>ZigZag的核心规则是：只有当价格从阶段极值回撤超过阈值时，才确认那个极值是拐点。这保证了在任何时点都只用"当下已知"的信息——不会出现"站在今天知道昨天是顶"的前视偏差。序列末端的极值尚未被回撤确认，标记为未确认状态，回测时直接剔除。</w:t>
      </w:r>
    </w:p>
    <w:p>
      <w:r>
        <w:rPr>
          <w:sz w:val="21"/>
        </w:rPr>
        <w:t>确认滞后是这种方法的固有代价：拐点确认平均滞后2天。这意味着任何基于"拐点已确认"的信号，入场时机天然比极值晚2天。这不是bug，是诚实面对现实——你在当下确实不知道那儿是拐点。</w:t>
      </w:r>
    </w:p>
    <w:p>
      <w:r>
        <w:rPr>
          <w:sz w:val="21"/>
        </w:rPr>
        <w:t>每段大潮汐记录：起点、终点、方向（涨/跌）、波动幅度、持续天数、包含的小潮汐数量。每段小潮汐记录所属的大潮汐编号、自身的方向和幅度。</w:t>
      </w:r>
    </w:p>
    <w:p>
      <w:r>
        <w:rPr>
          <w:sz w:val="21"/>
        </w:rPr>
        <w:t>这套双名法分段系统在18年数据上产出174段大潮汐和707段小潮汐。命名如"R6c"表示第R大潮汐中的第c个小潮汐。</w:t>
      </w:r>
    </w:p>
    <w:p>
      <w:pPr>
        <w:pStyle w:val="Heading1"/>
      </w:pPr>
      <w:r>
        <w:t>12项动能评分</w:t>
      </w:r>
    </w:p>
    <w:p>
      <w:r>
        <w:rPr>
          <w:sz w:val="21"/>
        </w:rPr>
        <w:t>对大潮汐逐段打分，12项全部量化为0到1之间的比值，保证尺度不变——无论金价是200元还是1000元，打分逻辑等价。</w:t>
      </w:r>
    </w:p>
    <w:p>
      <w:r>
        <w:rPr>
          <w:sz w:val="21"/>
        </w:rPr>
      </w:r>
      <w:r>
        <w:rPr>
          <w:b/>
          <w:sz w:val="21"/>
        </w:rPr>
        <w:t>边界磨损</w:t>
      </w:r>
      <w:r>
        <w:rPr>
          <w:sz w:val="21"/>
        </w:rPr>
        <w:t>：统计价格在通道内反复触及上轨或下轨却未突破的次数。触边3次以上且未突破，视为动能衰竭，得分低。这是对应"同一方向上反复触及边界但无突破，意味着强"——但这个"强"指的是边界约束的韧性，触边不破说明多空僵持，动能尚未释放完毕。</w:t>
      </w:r>
    </w:p>
    <w:p>
      <w:r>
        <w:rPr>
          <w:sz w:val="21"/>
        </w:rPr>
      </w:r>
      <w:r>
        <w:rPr>
          <w:b/>
          <w:sz w:val="21"/>
        </w:rPr>
        <w:t>首节强度</w:t>
      </w:r>
      <w:r>
        <w:rPr>
          <w:sz w:val="21"/>
        </w:rPr>
        <w:t>：第一段小潮汐的幅度占整段大潮汐幅度的比例。首节即攻下大半涨幅，动能充沛。对应规则"开始第一节就达到高位，意味着动能强"。</w:t>
      </w:r>
    </w:p>
    <w:p>
      <w:r>
        <w:rPr>
          <w:sz w:val="21"/>
        </w:rPr>
      </w:r>
      <w:r>
        <w:rPr>
          <w:b/>
          <w:sz w:val="21"/>
        </w:rPr>
        <w:t>一字型</w:t>
      </w:r>
      <w:r>
        <w:rPr>
          <w:sz w:val="21"/>
        </w:rPr>
        <w:t>：内部小潮汐折返次数越少，越接近单边推进。折返超过4次视为人字型，动能弱。对应规则"一字型的动能强、人字型的动能弱"。</w:t>
      </w:r>
    </w:p>
    <w:p>
      <w:r>
        <w:rPr>
          <w:sz w:val="21"/>
        </w:rPr>
      </w:r>
      <w:r>
        <w:rPr>
          <w:b/>
          <w:sz w:val="21"/>
        </w:rPr>
        <w:t>节数长度</w:t>
      </w:r>
      <w:r>
        <w:rPr>
          <w:sz w:val="21"/>
        </w:rPr>
        <w:t>：大潮汐的总持续天数相对于历史均值的比例。持续越久，动能积累越多。对应"节数长则动能强、节数短则动能弱"。</w:t>
      </w:r>
    </w:p>
    <w:p>
      <w:r>
        <w:rPr>
          <w:sz w:val="21"/>
        </w:rPr>
      </w:r>
      <w:r>
        <w:rPr>
          <w:b/>
          <w:sz w:val="21"/>
        </w:rPr>
        <w:t>末端短促</w:t>
      </w:r>
      <w:r>
        <w:rPr>
          <w:sz w:val="21"/>
        </w:rPr>
        <w:t>：最后一段小潮汐的持续天数。如果明显短于小潮汐平均时长，说明末端加速冲刺，动能爆发。对应"反向节高位且短促的动能强"。</w:t>
      </w:r>
    </w:p>
    <w:p>
      <w:r>
        <w:rPr>
          <w:sz w:val="21"/>
        </w:rPr>
      </w:r>
      <w:r>
        <w:rPr>
          <w:b/>
          <w:sz w:val="21"/>
        </w:rPr>
        <w:t>光滑流畅</w:t>
      </w:r>
      <w:r>
        <w:rPr>
          <w:sz w:val="21"/>
        </w:rPr>
        <w:t>：价格相对于趋势线的残差标准差，除以整段幅度。残差小说明价格紧贴趋势线推进，动能集中；残差大说明走势踉跄。对应"行情形态光滑流畅的动能强、碎裂褶皱则弱"。</w:t>
      </w:r>
    </w:p>
    <w:p>
      <w:r>
        <w:rPr>
          <w:sz w:val="21"/>
        </w:rPr>
      </w:r>
      <w:r>
        <w:rPr>
          <w:b/>
          <w:sz w:val="21"/>
        </w:rPr>
        <w:t>高度×时间</w:t>
      </w:r>
      <w:r>
        <w:rPr>
          <w:sz w:val="21"/>
        </w:rPr>
        <w:t>：幅度乘以持续天数，作为潮汐动能的近似度量。相对于全历史大潮汐平均能量的比值。对应"高度为纵坐标、时间为横坐标，二者的乘积表述为潮汐动能"。</w:t>
      </w:r>
    </w:p>
    <w:p>
      <w:r>
        <w:rPr>
          <w:sz w:val="21"/>
        </w:rPr>
      </w:r>
      <w:r>
        <w:rPr>
          <w:b/>
          <w:sz w:val="21"/>
        </w:rPr>
        <w:t>均匀释放</w:t>
      </w:r>
      <w:r>
        <w:rPr>
          <w:sz w:val="21"/>
        </w:rPr>
        <w:t>：各段小潮汐能量的变异系数。CV越小，能量释放越均匀，意味着主力控盘有序。对应"动能均匀释放的动能强、不规则形态则弱"。</w:t>
      </w:r>
    </w:p>
    <w:p>
      <w:r>
        <w:rPr>
          <w:sz w:val="21"/>
        </w:rPr>
      </w:r>
      <w:r>
        <w:rPr>
          <w:b/>
          <w:sz w:val="21"/>
        </w:rPr>
        <w:t>强约束</w:t>
      </w:r>
      <w:r>
        <w:rPr>
          <w:sz w:val="21"/>
        </w:rPr>
        <w:t>：通道带宽（2倍残差标准差）除以整段幅度。带宽越窄，约束越强，价格被压缩在紧通道内——一旦突破力度大。对应"有强弱束的动能强"。</w:t>
      </w:r>
    </w:p>
    <w:p>
      <w:r>
        <w:rPr>
          <w:sz w:val="21"/>
        </w:rPr>
      </w:r>
      <w:r>
        <w:rPr>
          <w:b/>
          <w:sz w:val="21"/>
        </w:rPr>
        <w:t>先期强</w:t>
      </w:r>
      <w:r>
        <w:rPr>
          <w:sz w:val="21"/>
        </w:rPr>
        <w:t>：前半段小潮汐能量之和除以后半段能量之和。先期强势推进后劲充足，优于后期才发力的"强弩之末"。对应"先期强则动能强、后期强则弱"。</w:t>
      </w:r>
    </w:p>
    <w:p>
      <w:r>
        <w:rPr>
          <w:sz w:val="21"/>
        </w:rPr>
      </w:r>
      <w:r>
        <w:rPr>
          <w:b/>
          <w:sz w:val="21"/>
        </w:rPr>
        <w:t>单边性</w:t>
      </w:r>
      <w:r>
        <w:rPr>
          <w:sz w:val="21"/>
        </w:rPr>
        <w:t>：净幅度除以总路径长度。接近1说明几乎不带折返，高度单边。对应"单边行情动能强、双边行情动能弱"。</w:t>
      </w:r>
    </w:p>
    <w:p>
      <w:r>
        <w:rPr>
          <w:sz w:val="21"/>
        </w:rPr>
      </w:r>
      <w:r>
        <w:rPr>
          <w:b/>
          <w:sz w:val="21"/>
        </w:rPr>
        <w:t>反转突变</w:t>
      </w:r>
      <w:r>
        <w:rPr>
          <w:sz w:val="21"/>
        </w:rPr>
        <w:t>：单位时间内的反转幅度。反转越是突如其来，说明市场情绪转折越坚决。对应"反转过程突变者强、渐变者弱"。</w:t>
      </w:r>
    </w:p>
    <w:p>
      <w:r>
        <w:rPr>
          <w:sz w:val="21"/>
        </w:rPr>
        <w:t>12项取平均乘以100得到0到100的综合动能分。50分是强弱分界线。在模型最终使用的40个特征中，前序大潮汐的12项动能分每一项都作为独立特征保留，模型可以自行决定每项的权重。</w:t>
      </w:r>
    </w:p>
    <w:p>
      <w:pPr>
        <w:pStyle w:val="Heading1"/>
      </w:pPr>
      <w:r>
        <w:t>渐变法则</w:t>
      </w:r>
    </w:p>
    <w:p>
      <w:r>
        <w:rPr>
          <w:sz w:val="21"/>
        </w:rPr>
        <w:t>对每一段大潮汐，找到它之前最近的一段同方向（同涨或同跌）大潮汐，比较二者的综合动能分。当前分低于前一分，标记为"渐弱"——这个方向的力量在衰减。当前分高于前一分，标记为"渐强"——力量在增强。</w:t>
      </w:r>
    </w:p>
    <w:p>
      <w:r>
        <w:rPr>
          <w:sz w:val="21"/>
        </w:rPr>
        <w:t>上行和下行各有一套独立的渐变追踪序列，互不干扰——因为框架指出"两个方向的潮汐变化并不同步，上行渐强与下行渐强可以同时存在"。</w:t>
      </w:r>
    </w:p>
    <w:p>
      <w:r>
        <w:rPr>
          <w:sz w:val="21"/>
        </w:rPr>
        <w:t>值得注意的是：渐变法则在直接用作交易规则时完全失效（准确率50%），但当它作为特征喂给模型后，前序潮汐方向和时间特征分别占了模型重要性的前两位。框架提供的信息量是被模型证实有效的——只是"怎么用这些信息"不能靠硬编码规则。</w:t>
      </w:r>
    </w:p>
    <w:p>
      <w:pPr>
        <w:pStyle w:val="Heading1"/>
      </w:pPr>
      <w:r>
        <w:t>特征层构建</w:t>
      </w:r>
    </w:p>
    <w:p>
      <w:r>
        <w:rPr>
          <w:sz w:val="21"/>
        </w:rPr>
        <w:t>这是整个模型最核心的一步：把潮汐引擎的结构化输出，转化为每一天都可用、严格无前视的特征向量。</w:t>
      </w:r>
    </w:p>
    <w:p>
      <w:r>
        <w:rPr>
          <w:sz w:val="21"/>
        </w:rPr>
        <w:t>对于历史上的每一天，提取以下信息：</w:t>
      </w:r>
    </w:p>
    <w:p>
      <w:r>
        <w:rPr>
          <w:sz w:val="21"/>
        </w:rPr>
      </w:r>
      <w:r>
        <w:rPr>
          <w:b/>
          <w:sz w:val="21"/>
        </w:rPr>
        <w:t>当前潮汐运行态</w:t>
      </w:r>
      <w:r>
        <w:rPr>
          <w:sz w:val="21"/>
        </w:rPr>
        <w:t>：当前所处的潮汐方向、已持续天数、已走幅度、在线回归斜率（当前趋势的陡峭程度）、通道带宽（当前约束的松紧程度）、单边性（当前走势的干脆程度）。这些特征都在当天收盘时已知，用从潮汐起点到当天为止的数据在线累积计算，不使用任何未来信息。</w:t>
      </w:r>
    </w:p>
    <w:p>
      <w:r>
        <w:rPr>
          <w:sz w:val="21"/>
        </w:rPr>
      </w:r>
      <w:r>
        <w:rPr>
          <w:b/>
          <w:sz w:val="21"/>
        </w:rPr>
        <w:t>前序潮汐完整态</w:t>
      </w:r>
      <w:r>
        <w:rPr>
          <w:sz w:val="21"/>
        </w:rPr>
        <w:t>：紧邻的前一段大潮汐的完整12项动能分、方向、能量相对于历史均值的比例、单边性、通道约束强度。因为这段潮汐已经结束（它的终点在当前潮汐起点之前），它的所有信息在当下是完整可用的，不存在前视问题。</w:t>
      </w:r>
    </w:p>
    <w:p>
      <w:r>
        <w:rPr>
          <w:sz w:val="21"/>
        </w:rPr>
      </w:r>
      <w:r>
        <w:rPr>
          <w:b/>
          <w:sz w:val="21"/>
        </w:rPr>
        <w:t>最近拐点信息</w:t>
      </w:r>
      <w:r>
        <w:rPr>
          <w:sz w:val="21"/>
        </w:rPr>
        <w:t>：最近一次被确认的ZigZag拐点是高点还是低点、距离当天已经过了多久、该拐点对应的小潮汐能量。拐点只在ZigZag确认后才标记，确认条件严格依赖历史数据，无前视。</w:t>
      </w:r>
    </w:p>
    <w:p>
      <w:r>
        <w:rPr>
          <w:sz w:val="21"/>
        </w:rPr>
      </w:r>
      <w:r>
        <w:rPr>
          <w:b/>
          <w:sz w:val="21"/>
        </w:rPr>
        <w:t>进行中段特征</w:t>
      </w:r>
      <w:r>
        <w:rPr>
          <w:sz w:val="21"/>
        </w:rPr>
        <w:t>：这是后来补充的一组特征。当最后一个已确认大潮汐结束后，后续的K线不再属于任何一段已确认的大潮汐——它们处于一段"未完成的"行情中。原版特征层会把这些K线错误地分配给上一段已结束的潮汐，导致方向信息失真。修复后，为这段"进行中段"单独提取特征：距上一潮汐结束的天数、这段区间的涨跌幅、区间内价格在高低点之间的位置、已形成的小潮汐数量及其中上涨的比例、最近一个小潮汐的方向、小潮汐能量的线性趋势（递增还是递减）。</w:t>
      </w:r>
    </w:p>
    <w:p>
      <w:r>
        <w:rPr>
          <w:sz w:val="21"/>
        </w:rPr>
      </w:r>
      <w:r>
        <w:rPr>
          <w:b/>
          <w:sz w:val="21"/>
        </w:rPr>
        <w:t>市场状态特征</w:t>
      </w:r>
      <w:r>
        <w:rPr>
          <w:sz w:val="21"/>
        </w:rPr>
        <w:t>：价格相对50日和250日均线的偏离程度、14日RSI、当前ATR波动率相对于百日均值的倍数。这些补充环境信息，帮助模型判断当前是在牛市还是熊市、超买还是超卖、高波还是低波。</w:t>
      </w:r>
    </w:p>
    <w:p>
      <w:r>
        <w:rPr>
          <w:sz w:val="21"/>
        </w:rPr>
        <w:t>所有特征使用过去数据的滚动窗口或截至当日的累积统计计算。标签用的是未来数据——"这一天之后第10个交易日相对于第2个交易日的涨跌幅是正还是负"——标签和特征在时间上严格分离。</w:t>
      </w:r>
    </w:p>
    <w:p>
      <w:r>
        <w:rPr>
          <w:sz w:val="21"/>
        </w:rPr>
        <w:t>最终的特征矩阵包含40个有效特征，对应约4480个交易日。预热期（首个大潮汐起点前）的数据被丢弃，因为当时的累积统计量不够稳定。</w:t>
      </w:r>
    </w:p>
    <w:p>
      <w:pPr>
        <w:pStyle w:val="Heading1"/>
      </w:pPr>
      <w:r>
        <w:t>模型选择与训练</w:t>
      </w:r>
    </w:p>
    <w:p>
      <w:r>
        <w:rPr>
          <w:sz w:val="21"/>
        </w:rPr>
        <w:t>使用XGBoost——一种基于梯度提升的树模型。选择它的原因有三个：第一，它能自动处理特征之间的非线性交互，不需要人工构造交叉项；第二，它天然自带特征选择，不重要的特征权重自动趋零；第三，在日线级别、表格型特征、几千样本的规模下，它的表现稳定优于深度学习（我们试过LSTM，AUC掉到0.52，因为日线数据量不足以支撑序列模型）。</w:t>
      </w:r>
    </w:p>
    <w:p>
      <w:r>
        <w:rPr>
          <w:sz w:val="21"/>
        </w:rPr>
        <w:t>参数设置：300棵树、最大深度3、学习率0.05、行采样和列采样各0.8。深度限制在3层是为了防止过拟合——每棵树最多用3个特征做判断，模型必须学会把信息分散到多棵树里，而不是死记硬背。</w:t>
      </w:r>
    </w:p>
    <w:p>
      <w:r>
        <w:rPr>
          <w:sz w:val="21"/>
        </w:rPr>
        <w:t>验证方法：扩展窗口Walk-Forward。具体做法是，用前1500个交易日训练模型，预测接下来400个交易日；然后训练窗口扩大到1900个交易日，预测再后面400个交易日；如此重复7次。每一次预测都是严格样本外的——训练数据的时间戳永远在测试数据之前。7个窗口的AUC全部高于0.65，说明预测力不是某个特定时期的偶然。</w:t>
      </w:r>
    </w:p>
    <w:p>
      <w:r>
        <w:rPr>
          <w:sz w:val="21"/>
        </w:rPr>
        <w:t>概率校准：原始XGBoost输出的概率存在系统性偏差——它在判断下跌时过于极端。用Platt Scaling（一种将原始分数映射到校准概率的sigmoid函数）在5折交叉验证中校准后，Brier分数改善了约13%，预测概率更接近实际涨跌频率。</w:t>
      </w:r>
    </w:p>
    <w:p>
      <w:r>
        <w:rPr>
          <w:sz w:val="21"/>
        </w:rPr>
        <w:t>最终预测：当前信号的生成融合了两个模型——一个用全部历史数据训练的全量模型，和一个仅用最近大几百个交易日训练的近期模型。两者加权平均，平衡"历史规律"和"近期变化"。</w:t>
      </w:r>
    </w:p>
    <w:p>
      <w:pPr>
        <w:pStyle w:val="Heading1"/>
      </w:pPr>
      <w:r>
        <w:t>效果</w:t>
      </w:r>
    </w:p>
    <w:p>
      <w:r>
        <w:rPr>
          <w:sz w:val="21"/>
        </w:rPr>
        <w:t>Walk-Forward验证结果，预测未来10个交易日方向：</w:t>
      </w:r>
    </w:p>
    <w:p>
      <w:r>
        <w:rPr>
          <w:sz w:val="21"/>
        </w:rPr>
        <w:t>AUC为0.68。这个指标衡量的是排序能力——把所有交易日按预测概率从高到低排，高概率组的实际上涨率是否确实更高。0.5是随机排列，1是完美排序。0.68意味着模型确实有区分涨跌环境的能力，且7个独立测试窗口全部高于0.65，不是单个窗口的运气。</w:t>
      </w:r>
    </w:p>
    <w:p>
      <w:r>
        <w:rPr>
          <w:sz w:val="21"/>
        </w:rPr>
        <w:t>方向准确率为60%。直接解释就是：模型说未来10天会涨，实际涨了的比例是60%。作为对比，金价在样本期内上涨天数占总天数的55%，闭眼猜"会涨"的正确率就是55%。模型比这个基线高出5个百分点。在金融预测领域，这个水平的超额收益已经可以构建有利可图的策略。</w:t>
      </w:r>
    </w:p>
    <w:p>
      <w:r>
        <w:rPr>
          <w:sz w:val="21"/>
        </w:rPr>
        <w:t>策略回测结果，叠加工层风控（置信度过滤、动能调制、波动率目标控制、牛熊仓位缩放、ATR动态止损）后，年化收益约49%，最大回撤控制在14%以内。风控层把裸信号的-22%回撤压到-14%，虽然略微牺牲了部分收益，但实盘可部署性大幅提升。即使在更高的手续费假设下（万二十每边），年化收益仍有35%，说明策略对交易成本有一定容忍度。</w:t>
      </w:r>
    </w:p>
    <w:p>
      <w:r>
        <w:rPr>
          <w:sz w:val="21"/>
        </w:rPr>
        <w:t>牛熊双市表现几乎一致——牛市准确率83%，熊市准确率83%。这个结果比较重要，因为它排除了"模型只是赌金价永远涨"的质疑。如果模型只是抓了金价的长期上涨趋势，它在熊市的准确率应该大幅下降，但它没有。</w:t>
      </w:r>
    </w:p>
    <w:p>
      <w:r>
        <w:rPr>
          <w:sz w:val="21"/>
        </w:rPr>
        <w:t>特征重要性方面，排名前三的是当前潮汐方向（20.6%）、前序潮汐方向（7.9%）、最近高拐点（5.2%）。这三个特征都直接来自潮汐框架——说明框架提取的结构信息确实是模型预测力的主要来源。补充的市场状态特征（RSI、均线偏离、波动率）合计贡献约10%，作为环境调节因子而非主力信号。</w:t>
      </w:r>
    </w:p>
    <w:p>
      <w:pPr>
        <w:pStyle w:val="Heading1"/>
      </w:pPr>
      <w:r>
        <w:t>关键指标说明</w:t>
      </w:r>
    </w:p>
    <w:p>
      <w:r>
        <w:rPr>
          <w:sz w:val="21"/>
        </w:rPr>
      </w:r>
      <w:r>
        <w:rPr>
          <w:b/>
          <w:sz w:val="21"/>
        </w:rPr>
        <w:t>AUC</w:t>
      </w:r>
      <w:r>
        <w:rPr>
          <w:sz w:val="21"/>
        </w:rPr>
        <w:t>衡量模型的排序能力。不关心预测的绝对概率准不准，只关心"高分日子是否确实比低分日子更容易涨"。0.68在金融预测中属于可用的水平，大于0.65即可认为非随机。</w:t>
      </w:r>
    </w:p>
    <w:p>
      <w:r>
        <w:rPr>
          <w:sz w:val="21"/>
        </w:rPr>
      </w:r>
      <w:r>
        <w:rPr>
          <w:b/>
          <w:sz w:val="21"/>
        </w:rPr>
        <w:t>方向准确率</w:t>
      </w:r>
      <w:r>
        <w:rPr>
          <w:sz w:val="21"/>
        </w:rPr>
        <w:t>衡量模型直接给出买卖方向的正确比例。60%意味着每10次预测有6次方向正确、4次错误——所以止损是必须的。</w:t>
      </w:r>
    </w:p>
    <w:p>
      <w:r>
        <w:rPr>
          <w:sz w:val="21"/>
        </w:rPr>
      </w:r>
      <w:r>
        <w:rPr>
          <w:b/>
          <w:sz w:val="21"/>
        </w:rPr>
        <w:t>夏普比率</w:t>
      </w:r>
      <w:r>
        <w:rPr>
          <w:sz w:val="21"/>
        </w:rPr>
        <w:t>衡量收益稳定性。年化收益除以年化波动率。2.54意味着每承担1单位风险获得2.54单位超额回报，远高于1的"非运气"阈值。</w:t>
      </w:r>
    </w:p>
    <w:p>
      <w:r>
        <w:rPr>
          <w:sz w:val="21"/>
        </w:rPr>
      </w:r>
      <w:r>
        <w:rPr>
          <w:b/>
          <w:sz w:val="21"/>
        </w:rPr>
        <w:t>最大回撤</w:t>
      </w:r>
      <w:r>
        <w:rPr>
          <w:sz w:val="21"/>
        </w:rPr>
        <w:t>衡量最坏情况下的亏损幅度。从最高点到最低点的最大跌幅。14%意味着即使在最倒霉的时间入场，最多亏14%。为什么回撤比收益重要？因为亏50%需要赚100%才能回本——控制回撤就是保护本金。</w:t>
      </w:r>
    </w:p>
    <w:p>
      <w:pPr>
        <w:pStyle w:val="Heading1"/>
      </w:pPr>
      <w:r>
        <w:t>已知局限</w:t>
      </w:r>
    </w:p>
    <w:p>
      <w:r>
        <w:rPr>
          <w:sz w:val="21"/>
        </w:rPr>
        <w:t>模型只看价格形态，不能感知利率变化、美元走势、地缘政治事件——而这些对黄金都是重要驱动因子。预测周期限于1-2周，不适合中长期判断。在极端行情下（比如进行中段出现单边暴涨），历史训练数据中没有对应样本，预测可靠性会下降。模型基于历史规律，当市场微观结构发生根本变化时，历史规律可能不再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