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123c32769abb434f" /><Relationship Type="http://schemas.openxmlformats.org/package/2006/relationships/metadata/core-properties" Target="/docProps/core.xml" Id="R55df622087654613" /><Relationship Type="http://schemas.openxmlformats.org/officeDocument/2006/relationships/extended-properties" Target="/docProps/app.xml" Id="R4d1170fdbe4f4aca" /><Relationship Type="http://schemas.openxmlformats.org/officeDocument/2006/relationships/custom-properties" Target="/docProps/custom.xml" Id="R7847110bc66f446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Walmart Sales Analytics Dashboard</w:t>
      </w:r>
    </w:p>
    <w:p w14:paraId="00100002" w14:textId="00100003">
      <w:pPr>
        <w:pStyle w:val="Normal"/>
        <w:spacing w:after="80"/>
        <w:jc w:val="center"/>
      </w:pPr>
      <w:r>
        <w:rPr>
          <w:color w:val="57606A"/>
          <w:sz w:val="26"/>
        </w:rPr>
        <w:t xml:space="preserve">Project Report — Python Full-Stack Analytics Application</w:t>
      </w:r>
    </w:p>
    <w:p w14:paraId="00100004" w14:textId="00100005">
      <w:pPr>
        <w:pStyle w:val="Normal"/>
        <w:spacing w:after="360"/>
        <w:jc w:val="center"/>
      </w:pPr>
      <w:r>
        <w:rPr>
          <w:color w:val="57606A"/>
          <w:sz w:val="20"/>
        </w:rPr>
        <w:t xml:space="preserve">Dataset: Walmart_Sales.csv  |  Stores: 45  |  Period: Feb 2010 – Oct 2012  |  Records: 6,435</w:t>
      </w:r>
    </w:p>
    <w:p w14:paraId="00100006" w14:textId="00100007">
      <w:pPr>
        <w:pStyle w:val="Heading1"/>
        <w:spacing w:after="120"/>
      </w:pPr>
      <w:r>
        <w:rPr>
          <w:b/>
          <w:sz w:val="32"/>
        </w:rPr>
        <w:t xml:space="preserve">Table of Contents</w:t>
      </w:r>
    </w:p>
    <w:p w14:paraId="00100008" w14:textId="00100009">
      <w:pPr>
        <w:pStyle w:val="Normal"/>
        <w:spacing w:after="60"/>
      </w:pPr>
      <w:r>
        <w:rPr>
          <w:sz w:val="22"/>
        </w:rPr>
        <w:t xml:space="preserve">1. Executive Summary</w:t>
      </w:r>
    </w:p>
    <w:p w14:paraId="0010000A" w14:textId="0010000B">
      <w:pPr>
        <w:pStyle w:val="Normal"/>
        <w:spacing w:after="60"/>
      </w:pPr>
      <w:r>
        <w:rPr>
          <w:sz w:val="22"/>
        </w:rPr>
        <w:t xml:space="preserve">2. Project Overview &amp; Architecture</w:t>
      </w:r>
    </w:p>
    <w:p w14:paraId="0010000C" w14:textId="0010000D">
      <w:pPr>
        <w:pStyle w:val="Normal"/>
        <w:spacing w:after="60"/>
      </w:pPr>
      <w:r>
        <w:rPr>
          <w:sz w:val="22"/>
        </w:rPr>
        <w:t xml:space="preserve">3. Dataset Description</w:t>
      </w:r>
    </w:p>
    <w:p w14:paraId="0010000E" w14:textId="0010000F">
      <w:pPr>
        <w:pStyle w:val="Normal"/>
        <w:spacing w:after="60"/>
      </w:pPr>
      <w:r>
        <w:rPr>
          <w:sz w:val="22"/>
        </w:rPr>
        <w:t xml:space="preserve">4. Key Performance Indicators</w:t>
      </w:r>
    </w:p>
    <w:p w14:paraId="00100010" w14:textId="00100011">
      <w:pPr>
        <w:pStyle w:val="Normal"/>
        <w:spacing w:after="60"/>
      </w:pPr>
      <w:r>
        <w:rPr>
          <w:sz w:val="22"/>
        </w:rPr>
        <w:t xml:space="preserve">5. Sales Trend Analysis</w:t>
      </w:r>
    </w:p>
    <w:p w14:paraId="00100012" w14:textId="00100013">
      <w:pPr>
        <w:pStyle w:val="Normal"/>
        <w:spacing w:after="60"/>
      </w:pPr>
      <w:r>
        <w:rPr>
          <w:sz w:val="22"/>
        </w:rPr>
        <w:t xml:space="preserve">6. Store Performance Comparison</w:t>
      </w:r>
    </w:p>
    <w:p w14:paraId="00100014" w14:textId="00100015">
      <w:pPr>
        <w:pStyle w:val="Normal"/>
        <w:spacing w:after="60"/>
      </w:pPr>
      <w:r>
        <w:rPr>
          <w:sz w:val="22"/>
        </w:rPr>
        <w:t xml:space="preserve">7. Holiday Impact Analysis</w:t>
      </w:r>
    </w:p>
    <w:p w14:paraId="00100016" w14:textId="00100017">
      <w:pPr>
        <w:pStyle w:val="Normal"/>
        <w:spacing w:after="60"/>
      </w:pPr>
      <w:r>
        <w:rPr>
          <w:sz w:val="22"/>
        </w:rPr>
        <w:t xml:space="preserve">8. Correlation &amp; Feature Analysis</w:t>
      </w:r>
    </w:p>
    <w:p w14:paraId="00100018" w14:textId="00100019">
      <w:pPr>
        <w:pStyle w:val="Normal"/>
        <w:spacing w:after="60"/>
      </w:pPr>
      <w:r>
        <w:rPr>
          <w:sz w:val="22"/>
        </w:rPr>
        <w:t xml:space="preserve">9. Sales Forecast (Machine Learning)</w:t>
      </w:r>
    </w:p>
    <w:p w14:paraId="0010001A" w14:textId="0010001B">
      <w:pPr>
        <w:pStyle w:val="Normal"/>
        <w:spacing w:after="60"/>
      </w:pPr>
      <w:r>
        <w:rPr>
          <w:sz w:val="22"/>
        </w:rPr>
        <w:t xml:space="preserve">10. Dashboard UI Screenshots &amp; Features</w:t>
      </w:r>
    </w:p>
    <w:p w14:paraId="0010001C" w14:textId="0010001D">
      <w:pPr>
        <w:pStyle w:val="Normal"/>
        <w:spacing w:after="60"/>
      </w:pPr>
      <w:r>
        <w:rPr>
          <w:sz w:val="22"/>
        </w:rPr>
        <w:t xml:space="preserve">11. Technology Stack</w:t>
      </w:r>
    </w:p>
    <w:p w14:paraId="0010001E" w14:textId="0010001F">
      <w:pPr>
        <w:pStyle w:val="Normal"/>
        <w:spacing w:after="360"/>
      </w:pPr>
      <w:r>
        <w:rPr>
          <w:sz w:val="22"/>
        </w:rPr>
        <w:t xml:space="preserve">12. Conclusions &amp; Recommendations</w:t>
      </w:r>
    </w:p>
    <w:p w14:paraId="00100020" w14:textId="00100021">
      <w:pPr>
        <w:pStyle w:val="Heading1"/>
        <w:spacing w:before="240" w:after="160"/>
      </w:pPr>
      <w:r>
        <w:rPr>
          <w:b/>
          <w:sz w:val="36"/>
        </w:rPr>
        <w:t xml:space="preserve">1. Executive Summary</w:t>
      </w:r>
    </w:p>
    <w:p w14:paraId="00100022" w14:textId="00100023">
      <w:pPr>
        <w:pStyle w:val="Normal"/>
        <w:spacing w:after="160"/>
      </w:pPr>
      <w:r>
        <w:rPr>
          <w:sz w:val="22"/>
        </w:rPr>
        <w:t xml:space="preserve">This report presents the design, implementation, and analytical findings of the Walmart Sales Analytics Dashboard — a full-stack Python application built to explore, visualise, and forecast retail sales performance across 45 Walmart stores over a 143-week period from February 2010 to October 2012.</w:t>
      </w:r>
    </w:p>
    <w:p w14:paraId="00100024" w14:textId="00100025">
      <w:pPr>
        <w:pStyle w:val="Normal"/>
        <w:spacing w:after="160"/>
      </w:pPr>
      <w:r>
        <w:rPr>
          <w:sz w:val="22"/>
        </w:rPr>
        <w:t xml:space="preserve">The application is composed of a FastAPI REST backend exposing structured analytics endpoints and a Streamlit interactive frontend with six analytical pages. Data processing is handled entirely in Python using Pandas and NumPy, while visualisations are powered by Plotly. A linear regression forecasting model (scikit-learn) provides forward-looking sales predictions.</w:t>
      </w:r>
    </w:p>
    <w:p w14:paraId="00100026" w14:textId="00100027">
      <w:pPr>
        <w:pStyle w:val="Normal"/>
        <w:spacing w:after="360"/>
      </w:pPr>
      <w:r>
        <w:rPr>
          <w:sz w:val="22"/>
        </w:rPr>
        <w:t xml:space="preserve">Key findings: Total revenue across all stores and weeks reached $6.74 billion. Store 20 was the top performer with $301.4 million in cumulative sales. Holiday weeks generated 7.84% higher average weekly sales than non-holiday weeks. Unemployment showed the strongest (negative) correlation with sales at -0.106.</w:t>
      </w:r>
    </w:p>
    <w:p w14:paraId="00100028" w14:textId="00100029">
      <w:pPr>
        <w:pStyle w:val="Heading1"/>
        <w:spacing w:before="240" w:after="160"/>
      </w:pPr>
      <w:r>
        <w:rPr>
          <w:b/>
          <w:sz w:val="36"/>
        </w:rPr>
        <w:t xml:space="preserve">2. Project Overview &amp; Architecture</w:t>
      </w:r>
    </w:p>
    <w:p w14:paraId="0010002A" w14:textId="0010002B">
      <w:pPr>
        <w:pStyle w:val="Normal"/>
        <w:spacing w:after="160"/>
      </w:pPr>
      <w:r>
        <w:rPr>
          <w:sz w:val="22"/>
        </w:rPr>
        <w:t xml:space="preserve">The project follows a clean separation-of-concerns architecture with a dedicated backend service and a standalone frontend application communicating over a local REST API.</w:t>
      </w:r>
    </w:p>
    <w:p w14:paraId="0010002C" w14:textId="0010002D">
      <w:pPr>
        <w:pStyle w:val="Heading2"/>
        <w:spacing w:before="160" w:after="120"/>
      </w:pPr>
      <w:r>
        <w:rPr>
          <w:b/>
          <w:sz w:val="28"/>
        </w:rPr>
        <w:t xml:space="preserve">Project Directory Structure</w:t>
      </w:r>
    </w:p>
    <w:p w14:paraId="0010002E" w14:textId="0010002F">
      <w:pPr>
        <w:pStyle w:val="Normal"/>
        <w:spacing w:after="160"/>
      </w:pPr>
      <w:r>
        <w:rPr>
          <w:sz w:val="20"/>
        </w:rPr>
        <w:t xml:space="preserve">walmart_sales/</w:t>
      </w:r>
    </w:p>
    <w:p w14:paraId="00100030" w14:textId="00100031">
      <w:pPr>
        <w:pStyle w:val="Normal"/>
        <w:spacing w:after="160"/>
      </w:pPr>
      <w:r>
        <w:rPr>
          <w:sz w:val="20"/>
        </w:rPr>
        <w:t xml:space="preserve">  Walmart_Sales.csv        Source dataset (6,435 records)</w:t>
      </w:r>
    </w:p>
    <w:p w14:paraId="00100032" w14:textId="00100033">
      <w:pPr>
        <w:pStyle w:val="Normal"/>
        <w:spacing w:after="160"/>
      </w:pPr>
      <w:r>
        <w:rPr>
          <w:sz w:val="20"/>
        </w:rPr>
        <w:t xml:space="preserve">  requirements.txt         Python dependencies</w:t>
      </w:r>
    </w:p>
    <w:p w14:paraId="00100034" w14:textId="00100035">
      <w:pPr>
        <w:pStyle w:val="Normal"/>
        <w:spacing w:after="160"/>
      </w:pPr>
      <w:r>
        <w:rPr>
          <w:sz w:val="20"/>
        </w:rPr>
        <w:t xml:space="preserve">  run.py                   Single launcher (starts both servers)</w:t>
      </w:r>
    </w:p>
    <w:p w14:paraId="00100036" w14:textId="00100037">
      <w:pPr>
        <w:pStyle w:val="Normal"/>
        <w:spacing w:after="160"/>
      </w:pPr>
      <w:r>
        <w:rPr>
          <w:sz w:val="20"/>
        </w:rPr>
        <w:t xml:space="preserve">  backend/</w:t>
      </w:r>
    </w:p>
    <w:p w14:paraId="00100038" w14:textId="00100039">
      <w:pPr>
        <w:pStyle w:val="Normal"/>
        <w:spacing w:after="160"/>
      </w:pPr>
      <w:r>
        <w:rPr>
          <w:sz w:val="20"/>
        </w:rPr>
        <w:t xml:space="preserve">    __init__.py</w:t>
      </w:r>
    </w:p>
    <w:p w14:paraId="0010003A" w14:textId="0010003B">
      <w:pPr>
        <w:pStyle w:val="Normal"/>
        <w:spacing w:after="160"/>
      </w:pPr>
      <w:r>
        <w:rPr>
          <w:sz w:val="20"/>
        </w:rPr>
        <w:t xml:space="preserve">    data_loader.py         Pandas data processing layer</w:t>
      </w:r>
    </w:p>
    <w:p w14:paraId="0010003C" w14:textId="0010003D">
      <w:pPr>
        <w:pStyle w:val="Normal"/>
        <w:spacing w:after="160"/>
      </w:pPr>
      <w:r>
        <w:rPr>
          <w:sz w:val="20"/>
        </w:rPr>
        <w:t xml:space="preserve">    models.py              Pydantic response schemas</w:t>
      </w:r>
    </w:p>
    <w:p w14:paraId="0010003E" w14:textId="0010003F">
      <w:pPr>
        <w:pStyle w:val="Normal"/>
        <w:spacing w:after="160"/>
      </w:pPr>
      <w:r>
        <w:rPr>
          <w:sz w:val="20"/>
        </w:rPr>
        <w:t xml:space="preserve">    main.py                FastAPI REST API (8 endpoints)</w:t>
      </w:r>
    </w:p>
    <w:p w14:paraId="00100040" w14:textId="00100041">
      <w:pPr>
        <w:pStyle w:val="Normal"/>
        <w:spacing w:after="160"/>
      </w:pPr>
      <w:r>
        <w:rPr>
          <w:sz w:val="20"/>
        </w:rPr>
        <w:t xml:space="preserve">  frontend/</w:t>
      </w:r>
    </w:p>
    <w:p w14:paraId="00100042" w14:textId="00100043">
      <w:pPr>
        <w:pStyle w:val="Normal"/>
        <w:spacing w:after="160"/>
      </w:pPr>
      <w:r>
        <w:rPr>
          <w:sz w:val="20"/>
        </w:rPr>
        <w:t xml:space="preserve">    app.py                 Streamlit dashboard (6 pages)</w:t>
      </w:r>
    </w:p>
    <w:p w14:paraId="00100044" w14:textId="00100045">
      <w:pPr>
        <w:pStyle w:val="Heading2"/>
        <w:spacing w:before="160" w:after="120"/>
      </w:pPr>
      <w:r>
        <w:rPr>
          <w:b/>
          <w:sz w:val="28"/>
        </w:rPr>
        <w:t xml:space="preserve">Communication Flow</w:t>
      </w:r>
    </w:p>
    <w:p w14:paraId="00100046" w14:textId="00100047">
      <w:pPr>
        <w:pStyle w:val="Normal"/>
        <w:spacing w:after="360"/>
      </w:pPr>
      <w:r>
        <w:rPr>
          <w:sz w:val="22"/>
        </w:rPr>
        <w:t xml:space="preserve">The Streamlit frontend makes HTTP GET requests to the FastAPI backend (port 8000) using the httpx library. Results are returned as JSON, parsed into Pandas DataFrames, and rendered as interactive Plotly charts. All data is cached in Streamlit for 5-minute TTL to avoid redundant API calls.</w:t>
      </w:r>
    </w:p>
    <w:p w14:paraId="00100048" w14:textId="00100049">
      <w:pPr>
        <w:pStyle w:val="Heading1"/>
        <w:spacing w:before="240" w:after="160"/>
      </w:pPr>
      <w:r>
        <w:rPr>
          <w:b/>
          <w:sz w:val="36"/>
        </w:rPr>
        <w:t xml:space="preserve">3. Dataset Description</w:t>
      </w:r>
    </w:p>
    <w:p w14:paraId="0010004A" w14:textId="0010004B">
      <w:pPr>
        <w:pStyle w:val="Normal"/>
        <w:spacing w:after="160"/>
      </w:pPr>
      <w:r>
        <w:rPr>
          <w:sz w:val="22"/>
        </w:rPr>
        <w:t xml:space="preserve">The dataset (Walmart_Sales.csv) contains historical weekly sales data for 45 Walmart stores along with external economic indicators recorded on a per-week basis.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C" w14:textId="0010004D">
            <w:r>
              <w:t xml:space="preserve">Column</w:t>
            </w:r>
          </w:p>
        </w:tc>
        <w:tc>
          <w:p w14:paraId="0010004E" w14:textId="0010004F">
            <w:r>
              <w:t xml:space="preserve">Type</w:t>
            </w:r>
          </w:p>
        </w:tc>
        <w:tc>
          <w:p w14:paraId="00100050" w14:textId="00100051">
            <w:r>
              <w:t xml:space="preserve">Description</w:t>
            </w:r>
          </w:p>
        </w:tc>
      </w:tr>
      <w:tr>
        <w:trPr/>
        <w:tc>
          <w:p w14:paraId="00100052" w14:textId="00100053">
            <w:r>
              <w:t xml:space="preserve">Store</w:t>
            </w:r>
          </w:p>
        </w:tc>
        <w:tc>
          <w:p w14:paraId="00100054" w14:textId="00100055">
            <w:r>
              <w:t xml:space="preserve">Integer</w:t>
            </w:r>
          </w:p>
        </w:tc>
        <w:tc>
          <w:p w14:paraId="00100056" w14:textId="00100057">
            <w:r>
              <w:t xml:space="preserve">Store identifier (1–45)</w:t>
            </w:r>
          </w:p>
        </w:tc>
      </w:tr>
      <w:tr>
        <w:trPr/>
        <w:tc>
          <w:p w14:paraId="00100058" w14:textId="00100059">
            <w:r>
              <w:t xml:space="preserve">Date</w:t>
            </w:r>
          </w:p>
        </w:tc>
        <w:tc>
          <w:p w14:paraId="0010005A" w14:textId="0010005B">
            <w:r>
              <w:t xml:space="preserve">Date (DD-MM-YYYY)</w:t>
            </w:r>
          </w:p>
        </w:tc>
        <w:tc>
          <w:p w14:paraId="0010005C" w14:textId="0010005D">
            <w:r>
              <w:t xml:space="preserve">Week ending date</w:t>
            </w:r>
          </w:p>
        </w:tc>
      </w:tr>
      <w:tr>
        <w:trPr/>
        <w:tc>
          <w:p w14:paraId="0010005E" w14:textId="0010005F">
            <w:r>
              <w:t xml:space="preserve">Weekly_Sales</w:t>
            </w:r>
          </w:p>
        </w:tc>
        <w:tc>
          <w:p w14:paraId="00100060" w14:textId="00100061">
            <w:r>
              <w:t xml:space="preserve">Float</w:t>
            </w:r>
          </w:p>
        </w:tc>
        <w:tc>
          <w:p w14:paraId="00100062" w14:textId="00100063">
            <w:r>
              <w:t xml:space="preserve">Total sales in USD for the store-week</w:t>
            </w:r>
          </w:p>
        </w:tc>
      </w:tr>
      <w:tr>
        <w:trPr/>
        <w:tc>
          <w:p w14:paraId="00100064" w14:textId="00100065">
            <w:r>
              <w:t xml:space="preserve">Holiday_Flag</w:t>
            </w:r>
          </w:p>
        </w:tc>
        <w:tc>
          <w:p w14:paraId="00100066" w14:textId="00100067">
            <w:r>
              <w:t xml:space="preserve">Binary (0/1)</w:t>
            </w:r>
          </w:p>
        </w:tc>
        <w:tc>
          <w:p w14:paraId="00100068" w14:textId="00100069">
            <w:r>
              <w:t xml:space="preserve">1 = holiday week (Super Bowl, Labour Day, Thanksgiving, Christmas)</w:t>
            </w:r>
          </w:p>
        </w:tc>
      </w:tr>
      <w:tr>
        <w:trPr/>
        <w:tc>
          <w:p w14:paraId="0010006A" w14:textId="0010006B">
            <w:r>
              <w:t xml:space="preserve">Temperature</w:t>
            </w:r>
          </w:p>
        </w:tc>
        <w:tc>
          <w:p w14:paraId="0010006C" w14:textId="0010006D">
            <w:r>
              <w:t xml:space="preserve">Float (°F)</w:t>
            </w:r>
          </w:p>
        </w:tc>
        <w:tc>
          <w:p w14:paraId="0010006E" w14:textId="0010006F">
            <w:r>
              <w:t xml:space="preserve">Average temperature at the store location for the week</w:t>
            </w:r>
          </w:p>
        </w:tc>
      </w:tr>
      <w:tr>
        <w:trPr/>
        <w:tc>
          <w:p w14:paraId="00100070" w14:textId="00100071">
            <w:r>
              <w:t xml:space="preserve">Fuel_Price</w:t>
            </w:r>
          </w:p>
        </w:tc>
        <w:tc>
          <w:p w14:paraId="00100072" w14:textId="00100073">
            <w:r>
              <w:t xml:space="preserve">Float ($/gallon)</w:t>
            </w:r>
          </w:p>
        </w:tc>
        <w:tc>
          <w:p w14:paraId="00100074" w14:textId="00100075">
            <w:r>
              <w:t xml:space="preserve">Cost of fuel in the store region</w:t>
            </w:r>
          </w:p>
        </w:tc>
      </w:tr>
      <w:tr>
        <w:trPr/>
        <w:tc>
          <w:p w14:paraId="00100076" w14:textId="00100077">
            <w:r>
              <w:t xml:space="preserve">CPI</w:t>
            </w:r>
          </w:p>
        </w:tc>
        <w:tc>
          <w:p w14:paraId="00100078" w14:textId="00100079">
            <w:r>
              <w:t xml:space="preserve">Float</w:t>
            </w:r>
          </w:p>
        </w:tc>
        <w:tc>
          <w:p w14:paraId="0010007A" w14:textId="0010007B">
            <w:r>
              <w:t xml:space="preserve">Consumer Price Index — measure of purchasing power</w:t>
            </w:r>
          </w:p>
        </w:tc>
      </w:tr>
      <w:tr>
        <w:trPr/>
        <w:tc>
          <w:p w14:paraId="0010007C" w14:textId="0010007D">
            <w:r>
              <w:t xml:space="preserve">Unemployment</w:t>
            </w:r>
          </w:p>
        </w:tc>
        <w:tc>
          <w:p w14:paraId="0010007E" w14:textId="0010007F">
            <w:r>
              <w:t xml:space="preserve">Float (%)</w:t>
            </w:r>
          </w:p>
        </w:tc>
        <w:tc>
          <w:p w14:paraId="00100080" w14:textId="00100081">
            <w:r>
              <w:t xml:space="preserve">Regional unemployment rate</w:t>
            </w:r>
          </w:p>
        </w:tc>
      </w:tr>
    </w:tbl>
    <w:p w14:paraId="00100082" w14:textId="00100083">
      <w:pPr>
        <w:pStyle w:val="Normal"/>
        <w:spacing w:before="160" w:after="360"/>
      </w:pPr>
      <w:r>
        <w:rPr>
          <w:sz w:val="22"/>
        </w:rPr>
        <w:t xml:space="preserve">Dataset Statistics: 6,435 total records across 45 stores and 143 weekly periods. No missing values were detected. Date range spans February 5, 2010 to October 26, 2012.</w:t>
      </w:r>
    </w:p>
    <w:p w14:paraId="00100084" w14:textId="00100085">
      <w:pPr>
        <w:pStyle w:val="Heading1"/>
        <w:spacing w:before="240" w:after="160"/>
      </w:pPr>
      <w:r>
        <w:rPr>
          <w:b/>
          <w:sz w:val="36"/>
        </w:rPr>
        <w:t xml:space="preserve">4. Key Performance Indicators</w:t>
      </w:r>
    </w:p>
    <w:p w14:paraId="00100086" w14:textId="00100087">
      <w:pPr>
        <w:pStyle w:val="Normal"/>
        <w:spacing w:after="160"/>
      </w:pPr>
      <w:r>
        <w:rPr>
          <w:sz w:val="22"/>
        </w:rPr>
        <w:t xml:space="preserve">The following KPIs were computed from the full dataset and are displayed on the Overview page of the dashboard.</w:t>
      </w:r>
    </w:p>
    <w:p w14:paraId="001002B4" w14:textId="001002B5">
      <w:pPr>
        <w:pStyle w:val="Normal"/>
        <w:spacing w:after="200"/>
        <w:jc w:val="center"/>
      </w:pPr>
      <w:r>
        <w:rPr>
          <w:color w:val="57606A"/>
          <w:sz w:val="18"/>
        </w:rPr>
        <w:t xml:space="preserve">Figure 1: KPI Dashboard — Total Revenue, Avg Weekly Sales, Top Store, Holiday Uplift</w:t>
      </w:r>
    </w:p>
    <w:p w14:paraId="001002B2" w14:textId="001002B3">
      <w:pPr>
        <w:spacing w:line="240" w:lineRule="auto"/>
      </w:pPr>
      <w:r>
        <w:rPr/>
        <w:drawing>
          <wp:inline distT="0" distB="0" distL="0" distR="0">
            <wp:extent cx="5760000" cy="1330071"/>
            <wp:effectExtent l="0" t="0" r="0" b="0"/>
            <wp:docPr id="1" name="chart_kpi.png" descr=""/>
            <wp:cNvGraphicFramePr>
              <a:graphicFrameLocks noChangeAspect="1"/>
            </wp:cNvGraphicFramePr>
            <a:graphic>
              <a:graphicData uri="http://schemas.openxmlformats.org/drawingml/2006/picture">
                <pic:pic>
                  <pic:nvPicPr>
                    <pic:cNvPr id="1" name="chart_kpi.png"/>
                    <pic:cNvPicPr/>
                  </pic:nvPicPr>
                  <pic:blipFill>
                    <a:blip r:embed="Re38c72f1b90346b4" cstate="print"/>
                    <a:stretch>
                      <a:fillRect/>
                    </a:stretch>
                  </pic:blipFill>
                  <pic:spPr>
                    <a:xfrm>
                      <a:off x="0" y="0"/>
                      <a:ext cx="5760000" cy="1330071"/>
                    </a:xfrm>
                    <a:prstGeom prst="rect">
                      <a:avLst/>
                    </a:prstGeom>
                  </pic:spPr>
                </pic:pic>
              </a:graphicData>
            </a:graphic>
          </wp:inline>
        </w:drawing>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88" w14:textId="00100089">
            <w:r>
              <w:t xml:space="preserve">KPI</w:t>
            </w:r>
          </w:p>
        </w:tc>
        <w:tc>
          <w:p w14:paraId="0010008A" w14:textId="0010008B">
            <w:r>
              <w:t xml:space="preserve">Value</w:t>
            </w:r>
          </w:p>
        </w:tc>
        <w:tc>
          <w:p w14:paraId="0010008C" w14:textId="0010008D">
            <w:r>
              <w:t xml:space="preserve">Notes</w:t>
            </w:r>
          </w:p>
        </w:tc>
      </w:tr>
      <w:tr>
        <w:trPr/>
        <w:tc>
          <w:p w14:paraId="0010008E" w14:textId="0010008F">
            <w:r>
              <w:t xml:space="preserve">Total Revenue (All Stores)</w:t>
            </w:r>
          </w:p>
        </w:tc>
        <w:tc>
          <w:p w14:paraId="00100090" w14:textId="00100091">
            <w:r>
              <w:t xml:space="preserve">$6,737,218,987</w:t>
            </w:r>
          </w:p>
        </w:tc>
        <w:tc>
          <w:p w14:paraId="00100092" w14:textId="00100093">
            <w:r>
              <w:t xml:space="preserve">Sum of all weekly_sales across 45 stores, 143 weeks</w:t>
            </w:r>
          </w:p>
        </w:tc>
      </w:tr>
      <w:tr>
        <w:trPr/>
        <w:tc>
          <w:p w14:paraId="00100094" w14:textId="00100095">
            <w:r>
              <w:t xml:space="preserve">Average Weekly Sales</w:t>
            </w:r>
          </w:p>
        </w:tc>
        <w:tc>
          <w:p w14:paraId="00100096" w14:textId="00100097">
            <w:r>
              <w:t xml:space="preserve">$1,046,965</w:t>
            </w:r>
          </w:p>
        </w:tc>
        <w:tc>
          <w:p w14:paraId="00100098" w14:textId="00100099">
            <w:r>
              <w:t xml:space="preserve">Per store-week observation</w:t>
            </w:r>
          </w:p>
        </w:tc>
      </w:tr>
      <w:tr>
        <w:trPr/>
        <w:tc>
          <w:p w14:paraId="0010009A" w14:textId="0010009B">
            <w:r>
              <w:t xml:space="preserve">Top Performing Store</w:t>
            </w:r>
          </w:p>
        </w:tc>
        <w:tc>
          <w:p w14:paraId="0010009C" w14:textId="0010009D">
            <w:r>
              <w:t xml:space="preserve">Store 20</w:t>
            </w:r>
          </w:p>
        </w:tc>
        <w:tc>
          <w:p w14:paraId="0010009E" w14:textId="0010009F">
            <w:r>
              <w:t xml:space="preserve">$301,397,792 cumulative sales</w:t>
            </w:r>
          </w:p>
        </w:tc>
      </w:tr>
      <w:tr>
        <w:trPr/>
        <w:tc>
          <w:p w14:paraId="001000A0" w14:textId="001000A1">
            <w:r>
              <w:t xml:space="preserve">Lowest Performing Store</w:t>
            </w:r>
          </w:p>
        </w:tc>
        <w:tc>
          <w:p w14:paraId="001000A2" w14:textId="001000A3">
            <w:r>
              <w:t xml:space="preserve">Store 33</w:t>
            </w:r>
          </w:p>
        </w:tc>
        <w:tc>
          <w:p w14:paraId="001000A4" w14:textId="001000A5">
            <w:r>
              <w:t xml:space="preserve">$37,160,222 cumulative sales</w:t>
            </w:r>
          </w:p>
        </w:tc>
      </w:tr>
      <w:tr>
        <w:trPr/>
        <w:tc>
          <w:p w14:paraId="001000A6" w14:textId="001000A7">
            <w:r>
              <w:t xml:space="preserve">Total Number of Stores</w:t>
            </w:r>
          </w:p>
        </w:tc>
        <w:tc>
          <w:p w14:paraId="001000A8" w14:textId="001000A9">
            <w:r>
              <w:t xml:space="preserve">45</w:t>
            </w:r>
          </w:p>
        </w:tc>
        <w:tc>
          <w:p w14:paraId="001000AA" w14:textId="001000AB">
            <w:r>
              <w:t xml:space="preserve">Covering multiple US regions</w:t>
            </w:r>
          </w:p>
        </w:tc>
      </w:tr>
      <w:tr>
        <w:trPr/>
        <w:tc>
          <w:p w14:paraId="001000AC" w14:textId="001000AD">
            <w:r>
              <w:t xml:space="preserve">Total Weeks Recorded</w:t>
            </w:r>
          </w:p>
        </w:tc>
        <w:tc>
          <w:p w14:paraId="001000AE" w14:textId="001000AF">
            <w:r>
              <w:t xml:space="preserve">143</w:t>
            </w:r>
          </w:p>
        </w:tc>
        <w:tc>
          <w:p w14:paraId="001000B0" w14:textId="001000B1">
            <w:r>
              <w:t xml:space="preserve">Feb 2010 – Oct 2012</w:t>
            </w:r>
          </w:p>
        </w:tc>
      </w:tr>
      <w:tr>
        <w:trPr/>
        <w:tc>
          <w:p w14:paraId="001000B2" w14:textId="001000B3">
            <w:r>
              <w:t xml:space="preserve">Holiday Weeks</w:t>
            </w:r>
          </w:p>
        </w:tc>
        <w:tc>
          <w:p w14:paraId="001000B4" w14:textId="001000B5">
            <w:r>
              <w:t xml:space="preserve">450 records (7%)</w:t>
            </w:r>
          </w:p>
        </w:tc>
        <w:tc>
          <w:p w14:paraId="001000B6" w14:textId="001000B7">
            <w:r>
              <w:t xml:space="preserve">Super Bowl, Labour Day, Thanksgiving, Christmas</w:t>
            </w:r>
          </w:p>
        </w:tc>
      </w:tr>
    </w:tbl>
    <w:p w14:paraId="001000B8" w14:textId="001000B9">
      <w:pPr>
        <w:pStyle w:val="Heading2"/>
        <w:spacing w:before="200" w:after="120"/>
      </w:pPr>
      <w:r>
        <w:rPr>
          <w:b/>
          <w:sz w:val="28"/>
        </w:rPr>
        <w:t xml:space="preserve">Year-over-Year Sales Summary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BA" w14:textId="001000BB">
            <w:r>
              <w:t xml:space="preserve">Year</w:t>
            </w:r>
          </w:p>
        </w:tc>
        <w:tc>
          <w:p w14:paraId="001000BC" w14:textId="001000BD">
            <w:r>
              <w:t xml:space="preserve">Total Sales</w:t>
            </w:r>
          </w:p>
        </w:tc>
        <w:tc>
          <w:p w14:paraId="001000BE" w14:textId="001000BF">
            <w:r>
              <w:t xml:space="preserve">Average Weekly Sales/Store</w:t>
            </w:r>
          </w:p>
        </w:tc>
      </w:tr>
      <w:tr>
        <w:trPr/>
        <w:tc>
          <w:p w14:paraId="001000C0" w14:textId="001000C1">
            <w:r>
              <w:t xml:space="preserve">2010</w:t>
            </w:r>
          </w:p>
        </w:tc>
        <w:tc>
          <w:p w14:paraId="001000C2" w14:textId="001000C3">
            <w:r>
              <w:t xml:space="preserve">$2,288,886,120</w:t>
            </w:r>
          </w:p>
        </w:tc>
        <w:tc>
          <w:p w14:paraId="001000C4" w14:textId="001000C5">
            <w:r>
              <w:t xml:space="preserve">$1,059,670</w:t>
            </w:r>
          </w:p>
        </w:tc>
      </w:tr>
      <w:tr>
        <w:trPr/>
        <w:tc>
          <w:p w14:paraId="001000C6" w14:textId="001000C7">
            <w:r>
              <w:t xml:space="preserve">2011</w:t>
            </w:r>
          </w:p>
        </w:tc>
        <w:tc>
          <w:p w14:paraId="001000C8" w14:textId="001000C9">
            <w:r>
              <w:t xml:space="preserve">$2,448,200,007</w:t>
            </w:r>
          </w:p>
        </w:tc>
        <w:tc>
          <w:p w14:paraId="001000CA" w14:textId="001000CB">
            <w:r>
              <w:t xml:space="preserve">$1,046,239</w:t>
            </w:r>
          </w:p>
        </w:tc>
      </w:tr>
      <w:tr>
        <w:trPr/>
        <w:tc>
          <w:p w14:paraId="001000CC" w14:textId="001000CD">
            <w:r>
              <w:t xml:space="preserve">2012 (partial)</w:t>
            </w:r>
          </w:p>
        </w:tc>
        <w:tc>
          <w:p w14:paraId="001000CE" w14:textId="001000CF">
            <w:r>
              <w:t xml:space="preserve">$2,000,132,859</w:t>
            </w:r>
          </w:p>
        </w:tc>
        <w:tc>
          <w:p w14:paraId="001000D0" w14:textId="001000D1">
            <w:r>
              <w:t xml:space="preserve">$1,033,660</w:t>
            </w:r>
          </w:p>
        </w:tc>
      </w:tr>
    </w:tbl>
    <w:p w14:paraId="001000D2" w14:textId="001000D3">
      <w:pPr>
        <w:pStyle w:val="Normal"/>
        <w:spacing w:before="120" w:after="360"/>
      </w:pPr>
      <w:r>
        <w:rPr>
          <w:color w:val="57606A"/>
          <w:sz w:val="20"/>
        </w:rPr>
        <w:t xml:space="preserve">Note: 2012 data is partial (Jan–Oct only), hence the lower total. Average weekly sales show a modest declining trend from 2010 to 2012, suggesting market saturation or macroeconomic headwinds.</w:t>
      </w:r>
    </w:p>
    <w:p w14:paraId="001000D4" w14:textId="001000D5">
      <w:pPr>
        <w:pStyle w:val="Heading1"/>
        <w:spacing w:before="240" w:after="160"/>
      </w:pPr>
      <w:r>
        <w:rPr>
          <w:b/>
          <w:sz w:val="36"/>
        </w:rPr>
        <w:t xml:space="preserve">5. Sales Trend Analysis</w:t>
      </w:r>
    </w:p>
    <w:p w14:paraId="001002B8" w14:textId="001002B9">
      <w:pPr>
        <w:spacing w:line="240" w:lineRule="auto"/>
      </w:pPr>
      <w:r>
        <w:rPr/>
        <w:drawing>
          <wp:inline distT="0" distB="0" distL="0" distR="0">
            <wp:extent cx="4320000" cy="2435744"/>
            <wp:effectExtent l="0" t="0" r="0" b="0"/>
            <wp:docPr id="2" name="chart_yoy.png" descr=""/>
            <wp:cNvGraphicFramePr>
              <a:graphicFrameLocks noChangeAspect="1"/>
            </wp:cNvGraphicFramePr>
            <a:graphic>
              <a:graphicData uri="http://schemas.openxmlformats.org/drawingml/2006/picture">
                <pic:pic>
                  <pic:nvPicPr>
                    <pic:cNvPr id="2" name="chart_yoy.png"/>
                    <pic:cNvPicPr/>
                  </pic:nvPicPr>
                  <pic:blipFill>
                    <a:blip r:embed="R49655c25487b4f5a" cstate="print"/>
                    <a:stretch>
                      <a:fillRect/>
                    </a:stretch>
                  </pic:blipFill>
                  <pic:spPr>
                    <a:xfrm>
                      <a:off x="0" y="0"/>
                      <a:ext cx="4320000" cy="2435744"/>
                    </a:xfrm>
                    <a:prstGeom prst="rect">
                      <a:avLst/>
                    </a:prstGeom>
                  </pic:spPr>
                </pic:pic>
              </a:graphicData>
            </a:graphic>
          </wp:inline>
        </w:drawing>
      </w:r>
    </w:p>
    <w:p w14:paraId="001002B6" w14:textId="001002B7">
      <w:pPr>
        <w:pStyle w:val="Normal"/>
        <w:spacing w:after="200"/>
        <w:jc w:val="center"/>
      </w:pPr>
      <w:r>
        <w:rPr>
          <w:color w:val="57606A"/>
          <w:sz w:val="18"/>
        </w:rPr>
        <w:t xml:space="preserve">Figure 2: Year-over-Year Total Sales — 2010 ($2.29B), 2011 ($2.45B), 2012 partial ($2.00B)</w:t>
      </w:r>
    </w:p>
    <w:p w14:paraId="001000D6" w14:textId="001000D7">
      <w:pPr>
        <w:pStyle w:val="Normal"/>
        <w:spacing w:after="160"/>
      </w:pPr>
      <w:r>
        <w:rPr>
          <w:sz w:val="22"/>
        </w:rPr>
        <w:t xml:space="preserve">The Sales Trends page of the dashboard allows filtering by individual store or viewing the aggregated all-store weekly sales. A 4-week rolling average overlay smooths short-term volatility to reveal underlying patterns.</w:t>
      </w:r>
    </w:p>
    <w:p w14:paraId="001000D8" w14:textId="001000D9">
      <w:pPr>
        <w:pStyle w:val="Heading2"/>
        <w:spacing w:before="120" w:after="120"/>
      </w:pPr>
      <w:r>
        <w:rPr>
          <w:b/>
          <w:sz w:val="28"/>
        </w:rPr>
        <w:t xml:space="preserve">Key Observations</w:t>
      </w:r>
    </w:p>
    <w:p w14:paraId="001000DA" w14:textId="001000DB">
      <w:pPr>
        <w:pStyle w:val="Normal"/>
        <w:spacing w:after="160"/>
      </w:pPr>
      <w:r>
        <w:rPr>
          <w:sz w:val="22"/>
        </w:rPr>
        <w:t xml:space="preserve">• Seasonal spikes are clearly visible around November-December each year, corresponding to the Thanksgiving and Christmas holiday windows.</w:t>
      </w:r>
    </w:p>
    <w:p w14:paraId="001000DC" w14:textId="001000DD">
      <w:pPr>
        <w:pStyle w:val="Normal"/>
        <w:spacing w:after="160"/>
      </w:pPr>
      <w:r>
        <w:rPr>
          <w:sz w:val="22"/>
        </w:rPr>
        <w:t xml:space="preserve">• A secondary spike occurs in late Q1 each year (Super Bowl week).</w:t>
      </w:r>
    </w:p>
    <w:p w14:paraId="001000DE" w14:textId="001000DF">
      <w:pPr>
        <w:pStyle w:val="Normal"/>
        <w:spacing w:after="160"/>
      </w:pPr>
      <w:r>
        <w:rPr>
          <w:sz w:val="22"/>
        </w:rPr>
        <w:t xml:space="preserve">• The overall all-store weekly sales range between approximately $38M and $60M per week in aggregated form.</w:t>
      </w:r>
    </w:p>
    <w:p w14:paraId="001000E0" w14:textId="001000E1">
      <w:pPr>
        <w:pStyle w:val="Normal"/>
        <w:spacing w:after="160"/>
      </w:pPr>
      <w:r>
        <w:rPr>
          <w:sz w:val="22"/>
        </w:rPr>
        <w:t xml:space="preserve">• Individual store sales range from under $200K/week (Store 33) to over $3M/week (Store 20).</w:t>
      </w:r>
    </w:p>
    <w:p w14:paraId="001000E2" w14:textId="001000E3">
      <w:pPr>
        <w:pStyle w:val="Normal"/>
        <w:spacing w:after="160"/>
      </w:pPr>
      <w:r>
        <w:rPr>
          <w:sz w:val="22"/>
        </w:rPr>
        <w:t xml:space="preserve">• 2011 was the highest revenue year at $2.45B total, with 2010 close behind at $2.29B.</w:t>
      </w:r>
    </w:p>
    <w:p w14:paraId="001000E4" w14:textId="001000E5">
      <w:pPr>
        <w:pStyle w:val="Normal"/>
        <w:spacing w:after="360"/>
      </w:pPr>
      <w:r>
        <w:rPr>
          <w:sz w:val="22"/>
        </w:rPr>
        <w:t xml:space="preserve">The monthly bar chart further confirms that November and December consistently outperform other months, with Q3 (July-September) being the relative trough period.</w:t>
      </w:r>
    </w:p>
    <w:p w14:paraId="001002BC" w14:textId="001002BD">
      <w:pPr>
        <w:pStyle w:val="Normal"/>
        <w:spacing w:after="200"/>
        <w:jc w:val="center"/>
      </w:pPr>
      <w:r>
        <w:rPr>
          <w:color w:val="57606A"/>
          <w:sz w:val="18"/>
        </w:rPr>
        <w:t xml:space="preserve">Figure 3: All-Store Weekly Sales Trend (Feb 2010 – Oct 2012) — blue area = actual sales, dashed yellow = 4-week rolling average, red dots = holiday weeks</w:t>
      </w:r>
    </w:p>
    <w:p w14:paraId="001002BA" w14:textId="001002BB">
      <w:pPr>
        <w:spacing w:line="240" w:lineRule="auto"/>
      </w:pPr>
      <w:r>
        <w:rPr/>
        <w:drawing>
          <wp:inline distT="0" distB="0" distL="0" distR="0">
            <wp:extent cx="5760000" cy="1953753"/>
            <wp:effectExtent l="0" t="0" r="0" b="0"/>
            <wp:docPr id="3" name="chart_trend.png" descr=""/>
            <wp:cNvGraphicFramePr>
              <a:graphicFrameLocks noChangeAspect="1"/>
            </wp:cNvGraphicFramePr>
            <a:graphic>
              <a:graphicData uri="http://schemas.openxmlformats.org/drawingml/2006/picture">
                <pic:pic>
                  <pic:nvPicPr>
                    <pic:cNvPr id="3" name="chart_trend.png"/>
                    <pic:cNvPicPr/>
                  </pic:nvPicPr>
                  <pic:blipFill>
                    <a:blip r:embed="R073e7cf3b64f48dc" cstate="print"/>
                    <a:stretch>
                      <a:fillRect/>
                    </a:stretch>
                  </pic:blipFill>
                  <pic:spPr>
                    <a:xfrm>
                      <a:off x="0" y="0"/>
                      <a:ext cx="5760000" cy="1953753"/>
                    </a:xfrm>
                    <a:prstGeom prst="rect">
                      <a:avLst/>
                    </a:prstGeom>
                  </pic:spPr>
                </pic:pic>
              </a:graphicData>
            </a:graphic>
          </wp:inline>
        </w:drawing>
      </w:r>
    </w:p>
    <w:p w14:paraId="001000E6" w14:textId="001000E7">
      <w:pPr>
        <w:pStyle w:val="Heading1"/>
        <w:spacing w:before="240" w:after="160"/>
      </w:pPr>
      <w:r>
        <w:rPr>
          <w:b/>
          <w:sz w:val="36"/>
        </w:rPr>
        <w:t xml:space="preserve">6. Store Performance Comparison</w:t>
      </w:r>
    </w:p>
    <w:p w14:paraId="001000E8" w14:textId="001000E9">
      <w:pPr>
        <w:pStyle w:val="Normal"/>
        <w:spacing w:after="160"/>
      </w:pPr>
      <w:r>
        <w:rPr>
          <w:sz w:val="22"/>
        </w:rPr>
        <w:t xml:space="preserve">The Store Comparison page ranks all 45 stores by total sales and average weekly sales. The performance spread across stores is significant, with a roughly 8:1 ratio between the best and worst performers.</w:t>
      </w:r>
    </w:p>
    <w:p w14:paraId="001000EA" w14:textId="001000EB">
      <w:pPr>
        <w:pStyle w:val="Heading2"/>
        <w:spacing w:before="120" w:after="120"/>
      </w:pPr>
      <w:r>
        <w:rPr>
          <w:b/>
          <w:sz w:val="28"/>
        </w:rPr>
        <w:t xml:space="preserve">Top 10 Stores by Total Sales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EC" w14:textId="001000ED">
            <w:r>
              <w:t xml:space="preserve">Rank</w:t>
            </w:r>
          </w:p>
        </w:tc>
        <w:tc>
          <w:p w14:paraId="001000EE" w14:textId="001000EF">
            <w:r>
              <w:t xml:space="preserve">Store ID</w:t>
            </w:r>
          </w:p>
        </w:tc>
        <w:tc>
          <w:p w14:paraId="001000F0" w14:textId="001000F1">
            <w:r>
              <w:t xml:space="preserve">Total Sales</w:t>
            </w:r>
          </w:p>
        </w:tc>
        <w:tc>
          <w:p w14:paraId="001000F2" w14:textId="001000F3">
            <w:r>
              <w:t xml:space="preserve">Avg Weekly Sales</w:t>
            </w:r>
          </w:p>
        </w:tc>
      </w:tr>
      <w:tr>
        <w:trPr/>
        <w:tc>
          <w:p w14:paraId="001000F4" w14:textId="001000F5">
            <w:r>
              <w:t xml:space="preserve">1</w:t>
            </w:r>
          </w:p>
        </w:tc>
        <w:tc>
          <w:p w14:paraId="001000F6" w14:textId="001000F7">
            <w:r>
              <w:t xml:space="preserve">Store 20</w:t>
            </w:r>
          </w:p>
        </w:tc>
        <w:tc>
          <w:p w14:paraId="001000F8" w14:textId="001000F9">
            <w:r>
              <w:t xml:space="preserve">$301,397,792</w:t>
            </w:r>
          </w:p>
        </w:tc>
        <w:tc>
          <w:p w14:paraId="001000FA" w14:textId="001000FB">
            <w:r>
              <w:t xml:space="preserve">$2,107,677</w:t>
            </w:r>
          </w:p>
        </w:tc>
      </w:tr>
      <w:tr>
        <w:trPr/>
        <w:tc>
          <w:p w14:paraId="001000FC" w14:textId="001000FD">
            <w:r>
              <w:t xml:space="preserve">2</w:t>
            </w:r>
          </w:p>
        </w:tc>
        <w:tc>
          <w:p w14:paraId="001000FE" w14:textId="001000FF">
            <w:r>
              <w:t xml:space="preserve">Store 4</w:t>
            </w:r>
          </w:p>
        </w:tc>
        <w:tc>
          <w:p w14:paraId="00100100" w14:textId="00100101">
            <w:r>
              <w:t xml:space="preserve">$299,543,953</w:t>
            </w:r>
          </w:p>
        </w:tc>
        <w:tc>
          <w:p w14:paraId="00100102" w14:textId="00100103">
            <w:r>
              <w:t xml:space="preserve">$2,094,713</w:t>
            </w:r>
          </w:p>
        </w:tc>
      </w:tr>
      <w:tr>
        <w:trPr/>
        <w:tc>
          <w:p w14:paraId="00100104" w14:textId="00100105">
            <w:r>
              <w:t xml:space="preserve">3</w:t>
            </w:r>
          </w:p>
        </w:tc>
        <w:tc>
          <w:p w14:paraId="00100106" w14:textId="00100107">
            <w:r>
              <w:t xml:space="preserve">Store 14</w:t>
            </w:r>
          </w:p>
        </w:tc>
        <w:tc>
          <w:p w14:paraId="00100108" w14:textId="00100109">
            <w:r>
              <w:t xml:space="preserve">$288,999,911</w:t>
            </w:r>
          </w:p>
        </w:tc>
        <w:tc>
          <w:p w14:paraId="0010010A" w14:textId="0010010B">
            <w:r>
              <w:t xml:space="preserve">$2,020,978</w:t>
            </w:r>
          </w:p>
        </w:tc>
      </w:tr>
      <w:tr>
        <w:trPr/>
        <w:tc>
          <w:p w14:paraId="0010010C" w14:textId="0010010D">
            <w:r>
              <w:t xml:space="preserve">4</w:t>
            </w:r>
          </w:p>
        </w:tc>
        <w:tc>
          <w:p w14:paraId="0010010E" w14:textId="0010010F">
            <w:r>
              <w:t xml:space="preserve">Store 13</w:t>
            </w:r>
          </w:p>
        </w:tc>
        <w:tc>
          <w:p w14:paraId="00100110" w14:textId="00100111">
            <w:r>
              <w:t xml:space="preserve">$286,517,704</w:t>
            </w:r>
          </w:p>
        </w:tc>
        <w:tc>
          <w:p w14:paraId="00100112" w14:textId="00100113">
            <w:r>
              <w:t xml:space="preserve">$2,003,620</w:t>
            </w:r>
          </w:p>
        </w:tc>
      </w:tr>
      <w:tr>
        <w:trPr/>
        <w:tc>
          <w:p w14:paraId="00100114" w14:textId="00100115">
            <w:r>
              <w:t xml:space="preserve">5</w:t>
            </w:r>
          </w:p>
        </w:tc>
        <w:tc>
          <w:p w14:paraId="00100116" w14:textId="00100117">
            <w:r>
              <w:t xml:space="preserve">Store 2</w:t>
            </w:r>
          </w:p>
        </w:tc>
        <w:tc>
          <w:p w14:paraId="00100118" w14:textId="00100119">
            <w:r>
              <w:t xml:space="preserve">$275,382,441</w:t>
            </w:r>
          </w:p>
        </w:tc>
        <w:tc>
          <w:p w14:paraId="0010011A" w14:textId="0010011B">
            <w:r>
              <w:t xml:space="preserve">$1,925,751</w:t>
            </w:r>
          </w:p>
        </w:tc>
      </w:tr>
      <w:tr>
        <w:trPr/>
        <w:tc>
          <w:p w14:paraId="0010011C" w14:textId="0010011D">
            <w:r>
              <w:t xml:space="preserve">6</w:t>
            </w:r>
          </w:p>
        </w:tc>
        <w:tc>
          <w:p w14:paraId="0010011E" w14:textId="0010011F">
            <w:r>
              <w:t xml:space="preserve">Store 10</w:t>
            </w:r>
          </w:p>
        </w:tc>
        <w:tc>
          <w:p w14:paraId="00100120" w14:textId="00100121">
            <w:r>
              <w:t xml:space="preserve">$271,617,714</w:t>
            </w:r>
          </w:p>
        </w:tc>
        <w:tc>
          <w:p w14:paraId="00100122" w14:textId="00100123">
            <w:r>
              <w:t xml:space="preserve">$1,899,425</w:t>
            </w:r>
          </w:p>
        </w:tc>
      </w:tr>
      <w:tr>
        <w:trPr/>
        <w:tc>
          <w:p w14:paraId="00100124" w14:textId="00100125">
            <w:r>
              <w:t xml:space="preserve">7</w:t>
            </w:r>
          </w:p>
        </w:tc>
        <w:tc>
          <w:p w14:paraId="00100126" w14:textId="00100127">
            <w:r>
              <w:t xml:space="preserve">Store 27</w:t>
            </w:r>
          </w:p>
        </w:tc>
        <w:tc>
          <w:p w14:paraId="00100128" w14:textId="00100129">
            <w:r>
              <w:t xml:space="preserve">$253,855,917</w:t>
            </w:r>
          </w:p>
        </w:tc>
        <w:tc>
          <w:p w14:paraId="0010012A" w14:textId="0010012B">
            <w:r>
              <w:t xml:space="preserve">$1,775,216</w:t>
            </w:r>
          </w:p>
        </w:tc>
      </w:tr>
      <w:tr>
        <w:trPr/>
        <w:tc>
          <w:p w14:paraId="0010012C" w14:textId="0010012D">
            <w:r>
              <w:t xml:space="preserve">8</w:t>
            </w:r>
          </w:p>
        </w:tc>
        <w:tc>
          <w:p w14:paraId="0010012E" w14:textId="0010012F">
            <w:r>
              <w:t xml:space="preserve">Store 6</w:t>
            </w:r>
          </w:p>
        </w:tc>
        <w:tc>
          <w:p w14:paraId="00100130" w14:textId="00100131">
            <w:r>
              <w:t xml:space="preserve">$223,756,131</w:t>
            </w:r>
          </w:p>
        </w:tc>
        <w:tc>
          <w:p w14:paraId="00100132" w14:textId="00100133">
            <w:r>
              <w:t xml:space="preserve">$1,564,728</w:t>
            </w:r>
          </w:p>
        </w:tc>
      </w:tr>
      <w:tr>
        <w:trPr/>
        <w:tc>
          <w:p w14:paraId="00100134" w14:textId="00100135">
            <w:r>
              <w:t xml:space="preserve">9</w:t>
            </w:r>
          </w:p>
        </w:tc>
        <w:tc>
          <w:p w14:paraId="00100136" w14:textId="00100137">
            <w:r>
              <w:t xml:space="preserve">Store 1</w:t>
            </w:r>
          </w:p>
        </w:tc>
        <w:tc>
          <w:p w14:paraId="00100138" w14:textId="00100139">
            <w:r>
              <w:t xml:space="preserve">$222,402,809</w:t>
            </w:r>
          </w:p>
        </w:tc>
        <w:tc>
          <w:p w14:paraId="0010013A" w14:textId="0010013B">
            <w:r>
              <w:t xml:space="preserve">$1,555,264</w:t>
            </w:r>
          </w:p>
        </w:tc>
      </w:tr>
      <w:tr>
        <w:trPr/>
        <w:tc>
          <w:p w14:paraId="0010013C" w14:textId="0010013D">
            <w:r>
              <w:t xml:space="preserve">10</w:t>
            </w:r>
          </w:p>
        </w:tc>
        <w:tc>
          <w:p w14:paraId="0010013E" w14:textId="0010013F">
            <w:r>
              <w:t xml:space="preserve">Store 39</w:t>
            </w:r>
          </w:p>
        </w:tc>
        <w:tc>
          <w:p w14:paraId="00100140" w14:textId="00100141">
            <w:r>
              <w:t xml:space="preserve">$207,445,542</w:t>
            </w:r>
          </w:p>
        </w:tc>
        <w:tc>
          <w:p w14:paraId="00100142" w14:textId="00100143">
            <w:r>
              <w:t xml:space="preserve">$1,450,668</w:t>
            </w:r>
          </w:p>
        </w:tc>
      </w:tr>
    </w:tbl>
    <w:p w14:paraId="00100144" w14:textId="00100145">
      <w:pPr>
        <w:pStyle w:val="Heading2"/>
        <w:spacing w:before="200" w:after="120"/>
      </w:pPr>
      <w:r>
        <w:rPr>
          <w:b/>
          <w:sz w:val="28"/>
        </w:rPr>
        <w:t xml:space="preserve">Bottom 5 Stores by Total Sales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46" w14:textId="00100147">
            <w:r>
              <w:t xml:space="preserve">Rank</w:t>
            </w:r>
          </w:p>
        </w:tc>
        <w:tc>
          <w:p w14:paraId="00100148" w14:textId="00100149">
            <w:r>
              <w:t xml:space="preserve">Store ID</w:t>
            </w:r>
          </w:p>
        </w:tc>
        <w:tc>
          <w:p w14:paraId="0010014A" w14:textId="0010014B">
            <w:r>
              <w:t xml:space="preserve">Total Sales</w:t>
            </w:r>
          </w:p>
        </w:tc>
        <w:tc>
          <w:p w14:paraId="0010014C" w14:textId="0010014D">
            <w:r>
              <w:t xml:space="preserve">Avg Weekly Sales</w:t>
            </w:r>
          </w:p>
        </w:tc>
      </w:tr>
      <w:tr>
        <w:trPr/>
        <w:tc>
          <w:p w14:paraId="0010014E" w14:textId="0010014F">
            <w:r>
              <w:t xml:space="preserve">41</w:t>
            </w:r>
          </w:p>
        </w:tc>
        <w:tc>
          <w:p w14:paraId="00100150" w14:textId="00100151">
            <w:r>
              <w:t xml:space="preserve">Store 38</w:t>
            </w:r>
          </w:p>
        </w:tc>
        <w:tc>
          <w:p w14:paraId="00100152" w14:textId="00100153">
            <w:r>
              <w:t xml:space="preserve">$55,159,626</w:t>
            </w:r>
          </w:p>
        </w:tc>
        <w:tc>
          <w:p w14:paraId="00100154" w14:textId="00100155">
            <w:r>
              <w:t xml:space="preserve">$385,732</w:t>
            </w:r>
          </w:p>
        </w:tc>
      </w:tr>
      <w:tr>
        <w:trPr/>
        <w:tc>
          <w:p w14:paraId="00100156" w14:textId="00100157">
            <w:r>
              <w:t xml:space="preserve">42</w:t>
            </w:r>
          </w:p>
        </w:tc>
        <w:tc>
          <w:p w14:paraId="00100158" w14:textId="00100159">
            <w:r>
              <w:t xml:space="preserve">Store 36</w:t>
            </w:r>
          </w:p>
        </w:tc>
        <w:tc>
          <w:p w14:paraId="0010015A" w14:textId="0010015B">
            <w:r>
              <w:t xml:space="preserve">$53,412,215</w:t>
            </w:r>
          </w:p>
        </w:tc>
        <w:tc>
          <w:p w14:paraId="0010015C" w14:textId="0010015D">
            <w:r>
              <w:t xml:space="preserve">$373,512</w:t>
            </w:r>
          </w:p>
        </w:tc>
      </w:tr>
      <w:tr>
        <w:trPr/>
        <w:tc>
          <w:p w14:paraId="0010015E" w14:textId="0010015F">
            <w:r>
              <w:t xml:space="preserve">43</w:t>
            </w:r>
          </w:p>
        </w:tc>
        <w:tc>
          <w:p w14:paraId="00100160" w14:textId="00100161">
            <w:r>
              <w:t xml:space="preserve">Store 5</w:t>
            </w:r>
          </w:p>
        </w:tc>
        <w:tc>
          <w:p w14:paraId="00100162" w14:textId="00100163">
            <w:r>
              <w:t xml:space="preserve">$45,475,689</w:t>
            </w:r>
          </w:p>
        </w:tc>
        <w:tc>
          <w:p w14:paraId="00100164" w14:textId="00100165">
            <w:r>
              <w:t xml:space="preserve">$318,012</w:t>
            </w:r>
          </w:p>
        </w:tc>
      </w:tr>
      <w:tr>
        <w:trPr/>
        <w:tc>
          <w:p w14:paraId="00100166" w14:textId="00100167">
            <w:r>
              <w:t xml:space="preserve">44</w:t>
            </w:r>
          </w:p>
        </w:tc>
        <w:tc>
          <w:p w14:paraId="00100168" w14:textId="00100169">
            <w:r>
              <w:t xml:space="preserve">Store 44</w:t>
            </w:r>
          </w:p>
        </w:tc>
        <w:tc>
          <w:p w14:paraId="0010016A" w14:textId="0010016B">
            <w:r>
              <w:t xml:space="preserve">$43,293,088</w:t>
            </w:r>
          </w:p>
        </w:tc>
        <w:tc>
          <w:p w14:paraId="0010016C" w14:textId="0010016D">
            <w:r>
              <w:t xml:space="preserve">$302,749</w:t>
            </w:r>
          </w:p>
        </w:tc>
      </w:tr>
      <w:tr>
        <w:trPr/>
        <w:tc>
          <w:p w14:paraId="0010016E" w14:textId="0010016F">
            <w:r>
              <w:t xml:space="preserve">45</w:t>
            </w:r>
          </w:p>
        </w:tc>
        <w:tc>
          <w:p w14:paraId="00100170" w14:textId="00100171">
            <w:r>
              <w:t xml:space="preserve">Store 33</w:t>
            </w:r>
          </w:p>
        </w:tc>
        <w:tc>
          <w:p w14:paraId="00100172" w14:textId="00100173">
            <w:r>
              <w:t xml:space="preserve">$37,160,222</w:t>
            </w:r>
          </w:p>
        </w:tc>
        <w:tc>
          <w:p w14:paraId="00100174" w14:textId="00100175">
            <w:r>
              <w:t xml:space="preserve">$259,862</w:t>
            </w:r>
          </w:p>
        </w:tc>
      </w:tr>
    </w:tbl>
    <w:p w14:paraId="00100176" w14:textId="00100177">
      <w:pPr>
        <w:pStyle w:val="Normal"/>
        <w:spacing w:before="160" w:after="360"/>
      </w:pPr>
      <w:r>
        <w:rPr>
          <w:sz w:val="22"/>
        </w:rPr>
        <w:t xml:space="preserve">The 8:1 revenue gap between Store 20 and Store 33 indicates that store size, location, and market demographics play a dominant role in performance. This analysis can inform resource allocation, inventory planning, and marketing investment decisions.</w:t>
      </w:r>
    </w:p>
    <w:p w14:paraId="001002C4" w14:textId="001002C5">
      <w:pPr>
        <w:pStyle w:val="Normal"/>
        <w:spacing w:after="200"/>
        <w:jc w:val="center"/>
      </w:pPr>
      <w:r>
        <w:rPr>
          <w:color w:val="57606A"/>
          <w:sz w:val="18"/>
        </w:rPr>
        <w:t xml:space="preserve">Figure 5: Average Weekly Sales Heatmap by Store x Month (Top 15 Stores). November–December months show the highest sales intensity across all top stores.</w:t>
      </w:r>
    </w:p>
    <w:p w14:paraId="001002C2" w14:textId="001002C3">
      <w:pPr>
        <w:spacing w:line="240" w:lineRule="auto"/>
      </w:pPr>
      <w:r>
        <w:rPr/>
        <w:drawing>
          <wp:inline distT="0" distB="0" distL="0" distR="0">
            <wp:extent cx="5760000" cy="2624397"/>
            <wp:effectExtent l="0" t="0" r="0" b="0"/>
            <wp:docPr id="5" name="chart_heatmap_store_month.png" descr=""/>
            <wp:cNvGraphicFramePr>
              <a:graphicFrameLocks noChangeAspect="1"/>
            </wp:cNvGraphicFramePr>
            <a:graphic>
              <a:graphicData uri="http://schemas.openxmlformats.org/drawingml/2006/picture">
                <pic:pic>
                  <pic:nvPicPr>
                    <pic:cNvPr id="5" name="chart_heatmap_store_month.png"/>
                    <pic:cNvPicPr/>
                  </pic:nvPicPr>
                  <pic:blipFill>
                    <a:blip r:embed="R652a4016567043c6" cstate="print"/>
                    <a:stretch>
                      <a:fillRect/>
                    </a:stretch>
                  </pic:blipFill>
                  <pic:spPr>
                    <a:xfrm>
                      <a:off x="0" y="0"/>
                      <a:ext cx="5760000" cy="2624397"/>
                    </a:xfrm>
                    <a:prstGeom prst="rect">
                      <a:avLst/>
                    </a:prstGeom>
                  </pic:spPr>
                </pic:pic>
              </a:graphicData>
            </a:graphic>
          </wp:inline>
        </w:drawing>
      </w:r>
    </w:p>
    <w:p w14:paraId="001002C0" w14:textId="001002C1">
      <w:pPr>
        <w:pStyle w:val="Normal"/>
        <w:spacing w:after="120"/>
        <w:jc w:val="center"/>
      </w:pPr>
      <w:r>
        <w:rPr>
          <w:color w:val="57606A"/>
          <w:sz w:val="18"/>
        </w:rPr>
        <w:t xml:space="preserve">Figure 4: Store Performance — Top 10 stores (blue, left) vs Bottom 5 stores (red, right). Store 20 leads at $301.4M; Store 33 is lowest at $37.2M.</w:t>
      </w:r>
    </w:p>
    <w:p w14:paraId="001002BE" w14:textId="001002BF">
      <w:pPr>
        <w:spacing w:line="240" w:lineRule="auto"/>
      </w:pPr>
      <w:r>
        <w:rPr/>
        <w:drawing>
          <wp:inline distT="0" distB="0" distL="0" distR="0">
            <wp:extent cx="5760000" cy="2112923"/>
            <wp:effectExtent l="0" t="0" r="0" b="0"/>
            <wp:docPr id="4" name="chart_stores.png" descr=""/>
            <wp:cNvGraphicFramePr>
              <a:graphicFrameLocks noChangeAspect="1"/>
            </wp:cNvGraphicFramePr>
            <a:graphic>
              <a:graphicData uri="http://schemas.openxmlformats.org/drawingml/2006/picture">
                <pic:pic>
                  <pic:nvPicPr>
                    <pic:cNvPr id="4" name="chart_stores.png"/>
                    <pic:cNvPicPr/>
                  </pic:nvPicPr>
                  <pic:blipFill>
                    <a:blip r:embed="R5bb0f4e85f5b475f" cstate="print"/>
                    <a:stretch>
                      <a:fillRect/>
                    </a:stretch>
                  </pic:blipFill>
                  <pic:spPr>
                    <a:xfrm>
                      <a:off x="0" y="0"/>
                      <a:ext cx="5760000" cy="2112923"/>
                    </a:xfrm>
                    <a:prstGeom prst="rect">
                      <a:avLst/>
                    </a:prstGeom>
                  </pic:spPr>
                </pic:pic>
              </a:graphicData>
            </a:graphic>
          </wp:inline>
        </w:drawing>
      </w:r>
    </w:p>
    <w:p w14:paraId="00100178" w14:textId="00100179">
      <w:pPr>
        <w:pStyle w:val="Heading1"/>
        <w:spacing w:before="240" w:after="160"/>
      </w:pPr>
      <w:r>
        <w:rPr>
          <w:b/>
          <w:sz w:val="36"/>
        </w:rPr>
        <w:t xml:space="preserve">7. Holiday Impact Analysis</w:t>
      </w:r>
    </w:p>
    <w:p w14:paraId="0010017A" w14:textId="0010017B">
      <w:pPr>
        <w:pStyle w:val="Normal"/>
        <w:spacing w:after="160"/>
      </w:pPr>
      <w:r>
        <w:rPr>
          <w:sz w:val="22"/>
        </w:rPr>
        <w:t xml:space="preserve">The Holiday Impact page compares average and total weekly sales between holiday weeks (450 records, 7% of data) and non-holiday weeks (5,985 records, 93% of data). Four holiday types are flagged: Super Bowl, Labour Day, Thanksgiving, and Christmas.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7C" w14:textId="0010017D">
            <w:r>
              <w:t xml:space="preserve">Type</w:t>
            </w:r>
          </w:p>
        </w:tc>
        <w:tc>
          <w:p w14:paraId="0010017E" w14:textId="0010017F">
            <w:r>
              <w:t xml:space="preserve">Avg Weekly Sales</w:t>
            </w:r>
          </w:p>
        </w:tc>
        <w:tc>
          <w:p w14:paraId="00100180" w14:textId="00100181">
            <w:r>
              <w:t xml:space="preserve">Total Sales</w:t>
            </w:r>
          </w:p>
        </w:tc>
        <w:tc>
          <w:p w14:paraId="00100182" w14:textId="00100183">
            <w:r>
              <w:t xml:space="preserve">Weeks Count</w:t>
            </w:r>
          </w:p>
        </w:tc>
      </w:tr>
      <w:tr>
        <w:trPr/>
        <w:tc>
          <w:p w14:paraId="00100184" w14:textId="00100185">
            <w:r>
              <w:t xml:space="preserve">Holiday Weeks</w:t>
            </w:r>
          </w:p>
        </w:tc>
        <w:tc>
          <w:p w14:paraId="00100186" w14:textId="00100187">
            <w:r>
              <w:t xml:space="preserve">$1,122,888</w:t>
            </w:r>
          </w:p>
        </w:tc>
        <w:tc>
          <w:p w14:paraId="00100188" w14:textId="00100189">
            <w:r>
              <w:t xml:space="preserve">$505,299,552</w:t>
            </w:r>
          </w:p>
        </w:tc>
        <w:tc>
          <w:p w14:paraId="0010018A" w14:textId="0010018B">
            <w:r>
              <w:t xml:space="preserve">450</w:t>
            </w:r>
          </w:p>
        </w:tc>
      </w:tr>
      <w:tr>
        <w:trPr/>
        <w:tc>
          <w:p w14:paraId="0010018C" w14:textId="0010018D">
            <w:r>
              <w:t xml:space="preserve">Non-Holiday Weeks</w:t>
            </w:r>
          </w:p>
        </w:tc>
        <w:tc>
          <w:p w14:paraId="0010018E" w14:textId="0010018F">
            <w:r>
              <w:t xml:space="preserve">$1,041,256</w:t>
            </w:r>
          </w:p>
        </w:tc>
        <w:tc>
          <w:p w14:paraId="00100190" w14:textId="00100191">
            <w:r>
              <w:t xml:space="preserve">$6,231,919,436</w:t>
            </w:r>
          </w:p>
        </w:tc>
        <w:tc>
          <w:p w14:paraId="00100192" w14:textId="00100193">
            <w:r>
              <w:t xml:space="preserve">5,985</w:t>
            </w:r>
          </w:p>
        </w:tc>
      </w:tr>
      <w:tr>
        <w:trPr/>
        <w:tc>
          <w:p w14:paraId="00100194" w14:textId="00100195">
            <w:r>
              <w:t xml:space="preserve">Difference</w:t>
            </w:r>
          </w:p>
        </w:tc>
        <w:tc>
          <w:p w14:paraId="00100196" w14:textId="00100197">
            <w:r>
              <w:t xml:space="preserve">+$81,632 (+7.84%)</w:t>
            </w:r>
          </w:p>
        </w:tc>
        <w:tc>
          <w:p w14:paraId="00100198" w14:textId="00100199">
            <w:r>
              <w:t xml:space="preserve">—</w:t>
            </w:r>
          </w:p>
        </w:tc>
        <w:tc>
          <w:p w14:paraId="0010019A" w14:textId="0010019B">
            <w:r>
              <w:t xml:space="preserve">—</w:t>
            </w:r>
          </w:p>
        </w:tc>
      </w:tr>
    </w:tbl>
    <w:p w14:paraId="0010019C" w14:textId="0010019D">
      <w:pPr>
        <w:pStyle w:val="Normal"/>
        <w:spacing w:before="160" w:after="360"/>
      </w:pPr>
      <w:r>
        <w:rPr>
          <w:sz w:val="22"/>
        </w:rPr>
        <w:t xml:space="preserve">Finding: Holiday weeks generate 7.84% higher average weekly sales than non-holiday weeks. While holiday weeks represent only 7% of all observations, they contribute disproportionately to annual sales, particularly the Thanksgiving-Christmas window (November-December). Retailers should ensure full inventory readiness and staffing during these periods.</w:t>
      </w:r>
    </w:p>
    <w:p w14:paraId="001002C8" w14:textId="001002C9">
      <w:pPr>
        <w:pStyle w:val="Normal"/>
        <w:spacing w:after="200"/>
        <w:jc w:val="center"/>
      </w:pPr>
      <w:r>
        <w:rPr>
          <w:color w:val="57606A"/>
          <w:sz w:val="18"/>
        </w:rPr>
        <w:t xml:space="preserve">Figure 6: Holiday Impact — Bar chart (left) shows Holiday weeks average $1.122M vs Non-Holiday $1.041M (+7.84%). Donut chart (right) shows Holiday weeks account for 6.99% of total sales.</w:t>
      </w:r>
    </w:p>
    <w:p w14:paraId="001002C6" w14:textId="001002C7">
      <w:pPr>
        <w:spacing w:line="240" w:lineRule="auto"/>
      </w:pPr>
      <w:r>
        <w:rPr/>
        <w:drawing>
          <wp:inline distT="0" distB="0" distL="0" distR="0">
            <wp:extent cx="5400000" cy="2400768"/>
            <wp:effectExtent l="0" t="0" r="0" b="0"/>
            <wp:docPr id="6" name="chart_holiday.png" descr=""/>
            <wp:cNvGraphicFramePr>
              <a:graphicFrameLocks noChangeAspect="1"/>
            </wp:cNvGraphicFramePr>
            <a:graphic>
              <a:graphicData uri="http://schemas.openxmlformats.org/drawingml/2006/picture">
                <pic:pic>
                  <pic:nvPicPr>
                    <pic:cNvPr id="6" name="chart_holiday.png"/>
                    <pic:cNvPicPr/>
                  </pic:nvPicPr>
                  <pic:blipFill>
                    <a:blip r:embed="R0fe21771d5c043c2" cstate="print"/>
                    <a:stretch>
                      <a:fillRect/>
                    </a:stretch>
                  </pic:blipFill>
                  <pic:spPr>
                    <a:xfrm>
                      <a:off x="0" y="0"/>
                      <a:ext cx="5400000" cy="2400768"/>
                    </a:xfrm>
                    <a:prstGeom prst="rect">
                      <a:avLst/>
                    </a:prstGeom>
                  </pic:spPr>
                </pic:pic>
              </a:graphicData>
            </a:graphic>
          </wp:inline>
        </w:drawing>
      </w:r>
    </w:p>
    <w:p w14:paraId="0010019E" w14:textId="0010019F">
      <w:pPr>
        <w:pStyle w:val="Heading1"/>
        <w:spacing w:before="240" w:after="160"/>
      </w:pPr>
      <w:r>
        <w:rPr>
          <w:b/>
          <w:sz w:val="36"/>
        </w:rPr>
        <w:t xml:space="preserve">8. Correlation &amp; Feature Analysis</w:t>
      </w:r>
    </w:p>
    <w:p w14:paraId="001001A0" w14:textId="001001A1">
      <w:pPr>
        <w:pStyle w:val="Normal"/>
        <w:spacing w:after="160"/>
      </w:pPr>
      <w:r>
        <w:rPr>
          <w:sz w:val="22"/>
        </w:rPr>
        <w:t xml:space="preserve">The Correlation page provides a Pearson correlation heatmap between all numeric features and individual scatter plots with OLS trendlines. This reveals the relationship between external economic/environmental factors and retail sales.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A2" w14:textId="001001A3">
            <w:r>
              <w:t xml:space="preserve">Feature</w:t>
            </w:r>
          </w:p>
        </w:tc>
        <w:tc>
          <w:p w14:paraId="001001A4" w14:textId="001001A5">
            <w:r>
              <w:t xml:space="preserve">Correlation with Weekly_Sales</w:t>
            </w:r>
          </w:p>
        </w:tc>
        <w:tc>
          <w:p w14:paraId="001001A6" w14:textId="001001A7">
            <w:r>
              <w:t xml:space="preserve">Strength</w:t>
            </w:r>
          </w:p>
        </w:tc>
        <w:tc>
          <w:p w14:paraId="001001A8" w14:textId="001001A9">
            <w:r>
              <w:t xml:space="preserve">Interpretation</w:t>
            </w:r>
          </w:p>
        </w:tc>
      </w:tr>
      <w:tr>
        <w:trPr/>
        <w:tc>
          <w:p w14:paraId="001001AA" w14:textId="001001AB">
            <w:r>
              <w:t xml:space="preserve">Temperature</w:t>
            </w:r>
          </w:p>
        </w:tc>
        <w:tc>
          <w:p w14:paraId="001001AC" w14:textId="001001AD">
            <w:r>
              <w:t xml:space="preserve">-0.064</w:t>
            </w:r>
          </w:p>
        </w:tc>
        <w:tc>
          <w:p w14:paraId="001001AE" w14:textId="001001AF">
            <w:r>
              <w:t xml:space="preserve">Very Weak Negative</w:t>
            </w:r>
          </w:p>
        </w:tc>
        <w:tc>
          <w:p w14:paraId="001001B0" w14:textId="001001B1">
            <w:r>
              <w:t xml:space="preserve">Slightly lower sales in warmer weeks</w:t>
            </w:r>
          </w:p>
        </w:tc>
      </w:tr>
      <w:tr>
        <w:trPr/>
        <w:tc>
          <w:p w14:paraId="001001B2" w14:textId="001001B3">
            <w:r>
              <w:t xml:space="preserve">Fuel_Price</w:t>
            </w:r>
          </w:p>
        </w:tc>
        <w:tc>
          <w:p w14:paraId="001001B4" w14:textId="001001B5">
            <w:r>
              <w:t xml:space="preserve">+0.010</w:t>
            </w:r>
          </w:p>
        </w:tc>
        <w:tc>
          <w:p w14:paraId="001001B6" w14:textId="001001B7">
            <w:r>
              <w:t xml:space="preserve">Negligible</w:t>
            </w:r>
          </w:p>
        </w:tc>
        <w:tc>
          <w:p w14:paraId="001001B8" w14:textId="001001B9">
            <w:r>
              <w:t xml:space="preserve">No meaningful relationship</w:t>
            </w:r>
          </w:p>
        </w:tc>
      </w:tr>
      <w:tr>
        <w:trPr/>
        <w:tc>
          <w:p w14:paraId="001001BA" w14:textId="001001BB">
            <w:r>
              <w:t xml:space="preserve">CPI</w:t>
            </w:r>
          </w:p>
        </w:tc>
        <w:tc>
          <w:p w14:paraId="001001BC" w14:textId="001001BD">
            <w:r>
              <w:t xml:space="preserve">-0.073</w:t>
            </w:r>
          </w:p>
        </w:tc>
        <w:tc>
          <w:p w14:paraId="001001BE" w14:textId="001001BF">
            <w:r>
              <w:t xml:space="preserve">Very Weak Negative</w:t>
            </w:r>
          </w:p>
        </w:tc>
        <w:tc>
          <w:p w14:paraId="001001C0" w14:textId="001001C1">
            <w:r>
              <w:t xml:space="preserve">Rising prices slightly deflate real consumer spending</w:t>
            </w:r>
          </w:p>
        </w:tc>
      </w:tr>
      <w:tr>
        <w:trPr/>
        <w:tc>
          <w:p w14:paraId="001001C2" w14:textId="001001C3">
            <w:r>
              <w:t xml:space="preserve">Unemployment</w:t>
            </w:r>
          </w:p>
        </w:tc>
        <w:tc>
          <w:p w14:paraId="001001C4" w14:textId="001001C5">
            <w:r>
              <w:t xml:space="preserve">-0.106</w:t>
            </w:r>
          </w:p>
        </w:tc>
        <w:tc>
          <w:p w14:paraId="001001C6" w14:textId="001001C7">
            <w:r>
              <w:t xml:space="preserve">Weak Negative</w:t>
            </w:r>
          </w:p>
        </w:tc>
        <w:tc>
          <w:p w14:paraId="001001C8" w14:textId="001001C9">
            <w:r>
              <w:t xml:space="preserve">Strongest external predictor — higher joblessness reduces discretionary spend</w:t>
            </w:r>
          </w:p>
        </w:tc>
      </w:tr>
      <w:tr>
        <w:trPr/>
        <w:tc>
          <w:p w14:paraId="001001CA" w14:textId="001001CB">
            <w:r>
              <w:t xml:space="preserve">Holiday_Flag</w:t>
            </w:r>
          </w:p>
        </w:tc>
        <w:tc>
          <w:p w14:paraId="001001CC" w14:textId="001001CD">
            <w:r>
              <w:t xml:space="preserve">+0.062</w:t>
            </w:r>
          </w:p>
        </w:tc>
        <w:tc>
          <w:p w14:paraId="001001CE" w14:textId="001001CF">
            <w:r>
              <w:t xml:space="preserve">Very Weak Positive</w:t>
            </w:r>
          </w:p>
        </w:tc>
        <w:tc>
          <w:p w14:paraId="001001D0" w14:textId="001001D1">
            <w:r>
              <w:t xml:space="preserve">Holiday weeks modestly boost per-store weekly sales</w:t>
            </w:r>
          </w:p>
        </w:tc>
      </w:tr>
    </w:tbl>
    <w:p w14:paraId="001001D2" w14:textId="001001D3">
      <w:pPr>
        <w:pStyle w:val="Normal"/>
        <w:spacing w:before="160" w:after="360"/>
      </w:pPr>
      <w:r>
        <w:rPr>
          <w:sz w:val="22"/>
        </w:rPr>
        <w:t xml:space="preserve">Overall, external economic factors explain very little of the variance in weekly sales (all |r| &lt; 0.11). This suggests that store-intrinsic factors (size, location, product mix) are the dominant drivers of sales variation, while macroeconomic indicators play a minor modulating role.</w:t>
      </w:r>
    </w:p>
    <w:p w14:paraId="001002D0" w14:textId="001002D1">
      <w:pPr>
        <w:pStyle w:val="Normal"/>
        <w:spacing w:after="200"/>
        <w:jc w:val="center"/>
      </w:pPr>
      <w:r>
        <w:rPr>
          <w:color w:val="57606A"/>
          <w:sz w:val="18"/>
        </w:rPr>
        <w:t xml:space="preserve">Figure 8: Scatter Analysis — Unemployment vs Sales (r = -0.106, left) and Temperature vs Sales (r = -0.064, right) with OLS trendlines. Both show slight negative trends.</w:t>
      </w:r>
    </w:p>
    <w:p w14:paraId="001002CE" w14:textId="001002CF">
      <w:pPr>
        <w:spacing w:line="240" w:lineRule="auto"/>
      </w:pPr>
      <w:r>
        <w:rPr/>
        <w:drawing>
          <wp:inline distT="0" distB="0" distL="0" distR="0">
            <wp:extent cx="5760000" cy="2063950"/>
            <wp:effectExtent l="0" t="0" r="0" b="0"/>
            <wp:docPr id="8" name="chart_scatter.png" descr=""/>
            <wp:cNvGraphicFramePr>
              <a:graphicFrameLocks noChangeAspect="1"/>
            </wp:cNvGraphicFramePr>
            <a:graphic>
              <a:graphicData uri="http://schemas.openxmlformats.org/drawingml/2006/picture">
                <pic:pic>
                  <pic:nvPicPr>
                    <pic:cNvPr id="8" name="chart_scatter.png"/>
                    <pic:cNvPicPr/>
                  </pic:nvPicPr>
                  <pic:blipFill>
                    <a:blip r:embed="R1a26ceddb9b44250" cstate="print"/>
                    <a:stretch>
                      <a:fillRect/>
                    </a:stretch>
                  </pic:blipFill>
                  <pic:spPr>
                    <a:xfrm>
                      <a:off x="0" y="0"/>
                      <a:ext cx="5760000" cy="2063950"/>
                    </a:xfrm>
                    <a:prstGeom prst="rect">
                      <a:avLst/>
                    </a:prstGeom>
                  </pic:spPr>
                </pic:pic>
              </a:graphicData>
            </a:graphic>
          </wp:inline>
        </w:drawing>
      </w:r>
    </w:p>
    <w:p w14:paraId="001002CC" w14:textId="001002CD">
      <w:pPr>
        <w:pStyle w:val="Normal"/>
        <w:spacing w:after="120"/>
        <w:jc w:val="center"/>
      </w:pPr>
      <w:r>
        <w:rPr>
          <w:color w:val="57606A"/>
          <w:sz w:val="18"/>
        </w:rPr>
        <w:t xml:space="preserve">Figure 7: Pearson Correlation Heatmap — Unemployment shows the strongest negative correlation with sales (r = -0.106). All external factors have |r| &lt; 0.11.</w:t>
      </w:r>
    </w:p>
    <w:p w14:paraId="001002CA" w14:textId="001002CB">
      <w:pPr>
        <w:spacing w:line="240" w:lineRule="auto"/>
      </w:pPr>
      <w:r>
        <w:rPr/>
        <w:drawing>
          <wp:inline distT="0" distB="0" distL="0" distR="0">
            <wp:extent cx="4320000" cy="3375393"/>
            <wp:effectExtent l="0" t="0" r="0" b="0"/>
            <wp:docPr id="7" name="chart_corr.png" descr=""/>
            <wp:cNvGraphicFramePr>
              <a:graphicFrameLocks noChangeAspect="1"/>
            </wp:cNvGraphicFramePr>
            <a:graphic>
              <a:graphicData uri="http://schemas.openxmlformats.org/drawingml/2006/picture">
                <pic:pic>
                  <pic:nvPicPr>
                    <pic:cNvPr id="7" name="chart_corr.png"/>
                    <pic:cNvPicPr/>
                  </pic:nvPicPr>
                  <pic:blipFill>
                    <a:blip r:embed="R4d243ba956dc48a0" cstate="print"/>
                    <a:stretch>
                      <a:fillRect/>
                    </a:stretch>
                  </pic:blipFill>
                  <pic:spPr>
                    <a:xfrm>
                      <a:off x="0" y="0"/>
                      <a:ext cx="4320000" cy="3375393"/>
                    </a:xfrm>
                    <a:prstGeom prst="rect">
                      <a:avLst/>
                    </a:prstGeom>
                  </pic:spPr>
                </pic:pic>
              </a:graphicData>
            </a:graphic>
          </wp:inline>
        </w:drawing>
      </w:r>
    </w:p>
    <w:p w14:paraId="001001D4" w14:textId="001001D5">
      <w:pPr>
        <w:pStyle w:val="Heading1"/>
        <w:spacing w:before="240" w:after="160"/>
      </w:pPr>
      <w:r>
        <w:rPr>
          <w:b/>
          <w:sz w:val="36"/>
        </w:rPr>
        <w:t xml:space="preserve">9. Sales Forecast (Machine Learning)</w:t>
      </w:r>
    </w:p>
    <w:p w14:paraId="001001D6" w14:textId="001001D7">
      <w:pPr>
        <w:pStyle w:val="Normal"/>
        <w:spacing w:after="160"/>
      </w:pPr>
      <w:r>
        <w:rPr>
          <w:sz w:val="22"/>
        </w:rPr>
        <w:t xml:space="preserve">The Forecast page implements a linear regression model (scikit-learn LinearRegression) trained on historical weekly sales data. The model uses a simple integer time index as the sole predictor to capture the linear trend component of the time series.</w:t>
      </w:r>
    </w:p>
    <w:p w14:paraId="001001D8" w14:textId="001001D9">
      <w:pPr>
        <w:pStyle w:val="Heading2"/>
        <w:spacing w:before="120" w:after="120"/>
      </w:pPr>
      <w:r>
        <w:rPr>
          <w:b/>
          <w:sz w:val="28"/>
        </w:rPr>
        <w:t xml:space="preserve">Model Configuration</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DA" w14:textId="001001DB">
            <w:r>
              <w:t xml:space="preserve">Parameter</w:t>
            </w:r>
          </w:p>
        </w:tc>
        <w:tc>
          <w:p w14:paraId="001001DC" w14:textId="001001DD">
            <w:r>
              <w:t xml:space="preserve">Value</w:t>
            </w:r>
          </w:p>
        </w:tc>
      </w:tr>
      <w:tr>
        <w:trPr/>
        <w:tc>
          <w:p w14:paraId="001001DE" w14:textId="001001DF">
            <w:r>
              <w:t xml:space="preserve">Algorithm</w:t>
            </w:r>
          </w:p>
        </w:tc>
        <w:tc>
          <w:p w14:paraId="001001E0" w14:textId="001001E1">
            <w:r>
              <w:t xml:space="preserve">Ordinary Least Squares Linear Regression</w:t>
            </w:r>
          </w:p>
        </w:tc>
      </w:tr>
      <w:tr>
        <w:trPr/>
        <w:tc>
          <w:p w14:paraId="001001E2" w14:textId="001001E3">
            <w:r>
              <w:t xml:space="preserve">Feature</w:t>
            </w:r>
          </w:p>
        </w:tc>
        <w:tc>
          <w:p w14:paraId="001001E4" w14:textId="001001E5">
            <w:r>
              <w:t xml:space="preserve">Integer time index (t = 0, 1, 2, ..., 142)</w:t>
            </w:r>
          </w:p>
        </w:tc>
      </w:tr>
      <w:tr>
        <w:trPr/>
        <w:tc>
          <w:p w14:paraId="001001E6" w14:textId="001001E7">
            <w:r>
              <w:t xml:space="preserve">Target</w:t>
            </w:r>
          </w:p>
        </w:tc>
        <w:tc>
          <w:p w14:paraId="001001E8" w14:textId="001001E9">
            <w:r>
              <w:t xml:space="preserve">Aggregated Weekly Sales (all-store or per-store sum)</w:t>
            </w:r>
          </w:p>
        </w:tc>
      </w:tr>
      <w:tr>
        <w:trPr/>
        <w:tc>
          <w:p w14:paraId="001001EA" w14:textId="001001EB">
            <w:r>
              <w:t xml:space="preserve">Model R² (all stores)</w:t>
            </w:r>
          </w:p>
        </w:tc>
        <w:tc>
          <w:p w14:paraId="001001EC" w14:textId="001001ED">
            <w:r>
              <w:t xml:space="preserve">0.0011 (very low — sales have high week-to-week variance)</w:t>
            </w:r>
          </w:p>
        </w:tc>
      </w:tr>
    </w:tbl>
    <w:p w14:paraId="001001EE" w14:textId="001001EF">
      <w:pPr>
        <w:pStyle w:val="Heading2"/>
        <w:spacing w:before="200" w:after="120"/>
      </w:pPr>
      <w:r>
        <w:rPr>
          <w:b/>
          <w:sz w:val="28"/>
        </w:rPr>
        <w:t xml:space="preserve">8-Week Forward Forecast (All Stores, from Oct 2012)</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F0" w14:textId="001001F1">
            <w:r>
              <w:t xml:space="preserve">Forecast Date</w:t>
            </w:r>
          </w:p>
        </w:tc>
        <w:tc>
          <w:p w14:paraId="001001F2" w14:textId="001001F3">
            <w:r>
              <w:t xml:space="preserve">Predicted Total Weekly Sales (All Stores)</w:t>
            </w:r>
          </w:p>
        </w:tc>
      </w:tr>
      <w:tr>
        <w:trPr/>
        <w:tc>
          <w:p w14:paraId="001001F4" w14:textId="001001F5">
            <w:r>
              <w:t xml:space="preserve">02-Nov-2012</w:t>
            </w:r>
          </w:p>
        </w:tc>
        <w:tc>
          <w:p w14:paraId="001001F6" w14:textId="001001F7">
            <w:r>
              <w:t xml:space="preserve">$47,421,229</w:t>
            </w:r>
          </w:p>
        </w:tc>
      </w:tr>
      <w:tr>
        <w:trPr/>
        <w:tc>
          <w:p w14:paraId="001001F8" w14:textId="001001F9">
            <w:r>
              <w:t xml:space="preserve">09-Nov-2012</w:t>
            </w:r>
          </w:p>
        </w:tc>
        <w:tc>
          <w:p w14:paraId="001001FA" w14:textId="001001FB">
            <w:r>
              <w:t xml:space="preserve">$47,425,505</w:t>
            </w:r>
          </w:p>
        </w:tc>
      </w:tr>
      <w:tr>
        <w:trPr/>
        <w:tc>
          <w:p w14:paraId="001001FC" w14:textId="001001FD">
            <w:r>
              <w:t xml:space="preserve">16-Nov-2012</w:t>
            </w:r>
          </w:p>
        </w:tc>
        <w:tc>
          <w:p w14:paraId="001001FE" w14:textId="001001FF">
            <w:r>
              <w:t xml:space="preserve">$47,429,780</w:t>
            </w:r>
          </w:p>
        </w:tc>
      </w:tr>
      <w:tr>
        <w:trPr/>
        <w:tc>
          <w:p w14:paraId="00100200" w14:textId="00100201">
            <w:r>
              <w:t xml:space="preserve">23-Nov-2012</w:t>
            </w:r>
          </w:p>
        </w:tc>
        <w:tc>
          <w:p w14:paraId="00100202" w14:textId="00100203">
            <w:r>
              <w:t xml:space="preserve">$47,434,055</w:t>
            </w:r>
          </w:p>
        </w:tc>
      </w:tr>
      <w:tr>
        <w:trPr/>
        <w:tc>
          <w:p w14:paraId="00100204" w14:textId="00100205">
            <w:r>
              <w:t xml:space="preserve">30-Nov-2012</w:t>
            </w:r>
          </w:p>
        </w:tc>
        <w:tc>
          <w:p w14:paraId="00100206" w14:textId="00100207">
            <w:r>
              <w:t xml:space="preserve">$47,438,330</w:t>
            </w:r>
          </w:p>
        </w:tc>
      </w:tr>
      <w:tr>
        <w:trPr/>
        <w:tc>
          <w:p w14:paraId="00100208" w14:textId="00100209">
            <w:r>
              <w:t xml:space="preserve">07-Dec-2012</w:t>
            </w:r>
          </w:p>
        </w:tc>
        <w:tc>
          <w:p w14:paraId="0010020A" w14:textId="0010020B">
            <w:r>
              <w:t xml:space="preserve">$47,442,605</w:t>
            </w:r>
          </w:p>
        </w:tc>
      </w:tr>
      <w:tr>
        <w:trPr/>
        <w:tc>
          <w:p w14:paraId="0010020C" w14:textId="0010020D">
            <w:r>
              <w:t xml:space="preserve">14-Dec-2012</w:t>
            </w:r>
          </w:p>
        </w:tc>
        <w:tc>
          <w:p w14:paraId="0010020E" w14:textId="0010020F">
            <w:r>
              <w:t xml:space="preserve">$47,446,880</w:t>
            </w:r>
          </w:p>
        </w:tc>
      </w:tr>
      <w:tr>
        <w:trPr/>
        <w:tc>
          <w:p w14:paraId="00100210" w14:textId="00100211">
            <w:r>
              <w:t xml:space="preserve">21-Dec-2012</w:t>
            </w:r>
          </w:p>
        </w:tc>
        <w:tc>
          <w:p w14:paraId="00100212" w14:textId="00100213">
            <w:r>
              <w:t xml:space="preserve">$47,451,155</w:t>
            </w:r>
          </w:p>
        </w:tc>
      </w:tr>
    </w:tbl>
    <w:p w14:paraId="00100214" w14:textId="00100215">
      <w:pPr>
        <w:pStyle w:val="Normal"/>
        <w:spacing w:before="160" w:after="360"/>
      </w:pPr>
      <w:r>
        <w:rPr>
          <w:sz w:val="22"/>
        </w:rPr>
        <w:t xml:space="preserve">Model Interpretation: The low R² (0.001) indicates that a simple linear time trend explains almost none of the weekly variance — which is expected given the strong seasonal and store-level heterogeneity. The model is useful as a baseline trend indicator. For production use, a SARIMA, Prophet, or gradient-boosted ensemble model would be recommended.</w:t>
      </w:r>
    </w:p>
    <w:p w14:paraId="001002D4" w14:textId="001002D5">
      <w:pPr>
        <w:pStyle w:val="Normal"/>
        <w:spacing w:after="200"/>
        <w:jc w:val="center"/>
      </w:pPr>
      <w:r>
        <w:rPr>
          <w:color w:val="57606A"/>
          <w:sz w:val="18"/>
        </w:rPr>
        <w:t xml:space="preserve">Figure 9: Sales Forecast — Blue line = actual weekly sales, dotted = linear fit (R²=0.001), dashed amber = 12-week forecast (Nov–Dec 2012). Shaded region marks the forecast window.</w:t>
      </w:r>
    </w:p>
    <w:p w14:paraId="001002D2" w14:textId="001002D3">
      <w:pPr>
        <w:spacing w:line="240" w:lineRule="auto"/>
      </w:pPr>
      <w:r>
        <w:rPr/>
        <w:drawing>
          <wp:inline distT="0" distB="0" distL="0" distR="0">
            <wp:extent cx="5760000" cy="2177125"/>
            <wp:effectExtent l="0" t="0" r="0" b="0"/>
            <wp:docPr id="9" name="chart_forecast.png" descr=""/>
            <wp:cNvGraphicFramePr>
              <a:graphicFrameLocks noChangeAspect="1"/>
            </wp:cNvGraphicFramePr>
            <a:graphic>
              <a:graphicData uri="http://schemas.openxmlformats.org/drawingml/2006/picture">
                <pic:pic>
                  <pic:nvPicPr>
                    <pic:cNvPr id="9" name="chart_forecast.png"/>
                    <pic:cNvPicPr/>
                  </pic:nvPicPr>
                  <pic:blipFill>
                    <a:blip r:embed="R53ae4a6dfd34465d" cstate="print"/>
                    <a:stretch>
                      <a:fillRect/>
                    </a:stretch>
                  </pic:blipFill>
                  <pic:spPr>
                    <a:xfrm>
                      <a:off x="0" y="0"/>
                      <a:ext cx="5760000" cy="2177125"/>
                    </a:xfrm>
                    <a:prstGeom prst="rect">
                      <a:avLst/>
                    </a:prstGeom>
                  </pic:spPr>
                </pic:pic>
              </a:graphicData>
            </a:graphic>
          </wp:inline>
        </w:drawing>
      </w:r>
    </w:p>
    <w:p w14:paraId="00100216" w14:textId="00100217">
      <w:pPr>
        <w:pStyle w:val="Heading1"/>
        <w:spacing w:before="240" w:after="160"/>
      </w:pPr>
      <w:r>
        <w:rPr>
          <w:b/>
          <w:sz w:val="36"/>
        </w:rPr>
        <w:t xml:space="preserve">10. Dashboard UI — Features &amp; Screens</w:t>
      </w:r>
    </w:p>
    <w:p w14:paraId="00100218" w14:textId="00100219">
      <w:pPr>
        <w:pStyle w:val="Normal"/>
        <w:spacing w:after="160"/>
      </w:pPr>
      <w:r>
        <w:rPr>
          <w:sz w:val="22"/>
        </w:rPr>
        <w:t xml:space="preserve">The Streamlit dashboard is accessible at http://localhost:8501 and consists of six navigable pages via a left sidebar. The following section describes each page's layout, charts, and interactive controls.</w:t>
      </w:r>
    </w:p>
    <w:p w14:paraId="0010021A" w14:textId="0010021B">
      <w:pPr>
        <w:pStyle w:val="Heading2"/>
        <w:spacing w:before="120" w:after="80"/>
      </w:pPr>
      <w:r>
        <w:rPr>
          <w:b/>
          <w:sz w:val="28"/>
        </w:rPr>
        <w:t xml:space="preserve">Page 1 — Overview</w:t>
      </w:r>
    </w:p>
    <w:p w14:paraId="0010021C" w14:textId="0010021D">
      <w:pPr>
        <w:pStyle w:val="Normal"/>
        <w:spacing w:after="160"/>
      </w:pPr>
      <w:r>
        <w:rPr>
          <w:sz w:val="22"/>
        </w:rPr>
        <w:t xml:space="preserve">Layout: 4 KPI metric cards across the top (Total Sales, Avg Weekly Sales, Top Store, Total Stores). Below, a two-column layout contains: (left) a horizontal bar chart of Top 10 Stores by Total Sales, color-coded by value; (right) an area chart of all-store aggregated Weekly Sales over time. Three info cards below show Date Range, Total Records, and Top Store Revenue.</w:t>
      </w:r>
    </w:p>
    <w:p w14:paraId="0010021E" w14:textId="0010021F">
      <w:pPr>
        <w:pStyle w:val="Heading2"/>
        <w:spacing w:before="120" w:after="80"/>
      </w:pPr>
      <w:r>
        <w:rPr>
          <w:b/>
          <w:sz w:val="28"/>
        </w:rPr>
        <w:t xml:space="preserve">Page 2 — Sales Trends</w:t>
      </w:r>
    </w:p>
    <w:p w14:paraId="00100220" w14:textId="00100221">
      <w:pPr>
        <w:pStyle w:val="Normal"/>
        <w:spacing w:after="160"/>
      </w:pPr>
      <w:r>
        <w:rPr>
          <w:sz w:val="22"/>
        </w:rPr>
        <w:t xml:space="preserve">Layout: A store selector dropdown (All Stores or Store 1–45) with a live total/avg weekly metric beside it. Below, a full-width interactive line chart with area fill shows actual weekly sales and a dashed 4-week rolling average overlay. A monthly aggregated bar chart below provides a higher-level temporal view.</w:t>
      </w:r>
    </w:p>
    <w:p w14:paraId="00100222" w14:textId="00100223">
      <w:pPr>
        <w:pStyle w:val="Heading2"/>
        <w:spacing w:before="120" w:after="80"/>
      </w:pPr>
      <w:r>
        <w:rPr>
          <w:b/>
          <w:sz w:val="28"/>
        </w:rPr>
        <w:t xml:space="preserve">Page 3 — Store Comparison</w:t>
      </w:r>
    </w:p>
    <w:p w14:paraId="00100224" w14:textId="00100225">
      <w:pPr>
        <w:pStyle w:val="Normal"/>
        <w:spacing w:after="160"/>
      </w:pPr>
      <w:r>
        <w:rPr>
          <w:sz w:val="22"/>
        </w:rPr>
        <w:t xml:space="preserve">Layout: Three tabs — (1) Total Sales bar chart for all 45 stores sorted by descending total; (2) Average Weekly Sales bar chart in green color scale; (3) Full data table showing formatted sales figures for all stores.</w:t>
      </w:r>
    </w:p>
    <w:p w14:paraId="00100226" w14:textId="00100227">
      <w:pPr>
        <w:pStyle w:val="Heading2"/>
        <w:spacing w:before="120" w:after="80"/>
      </w:pPr>
      <w:r>
        <w:rPr>
          <w:b/>
          <w:sz w:val="28"/>
        </w:rPr>
        <w:t xml:space="preserve">Page 4 — Holiday Impact</w:t>
      </w:r>
    </w:p>
    <w:p w14:paraId="00100228" w14:textId="00100229">
      <w:pPr>
        <w:pStyle w:val="Normal"/>
        <w:spacing w:after="160"/>
      </w:pPr>
      <w:r>
        <w:rPr>
          <w:sz w:val="22"/>
        </w:rPr>
        <w:t xml:space="preserve">Layout: Two columns — (left) vertical bar chart comparing average weekly sales for Holiday vs Non-Holiday weeks; (right) donut chart showing share of total sales. Below, metric cards show the numeric difference (+7.84%) between holiday and non-holiday averages.</w:t>
      </w:r>
    </w:p>
    <w:p w14:paraId="0010022A" w14:textId="0010022B">
      <w:pPr>
        <w:pStyle w:val="Heading2"/>
        <w:spacing w:before="120" w:after="80"/>
      </w:pPr>
      <w:r>
        <w:rPr>
          <w:b/>
          <w:sz w:val="28"/>
        </w:rPr>
        <w:t xml:space="preserve">Page 5 — Correlation</w:t>
      </w:r>
    </w:p>
    <w:p w14:paraId="0010022C" w14:textId="0010022D">
      <w:pPr>
        <w:pStyle w:val="Normal"/>
        <w:spacing w:after="160"/>
      </w:pPr>
      <w:r>
        <w:rPr>
          <w:sz w:val="22"/>
        </w:rPr>
        <w:t xml:space="preserve">Layout: Two columns — (left) a 5×5 Pearson correlation heatmap with annotated values and red-blue diverging colorscale (RdBu, midpoint=0); (right) a feature selector dropdown with OLS scatter plot showing the selected feature against Weekly_Sales, with a golden OLS trendline. An interpretation table below explains each correlation result.</w:t>
      </w:r>
    </w:p>
    <w:p w14:paraId="0010022E" w14:textId="0010022F">
      <w:pPr>
        <w:pStyle w:val="Heading2"/>
        <w:spacing w:before="120" w:after="80"/>
      </w:pPr>
      <w:r>
        <w:rPr>
          <w:b/>
          <w:sz w:val="28"/>
        </w:rPr>
        <w:t xml:space="preserve">Page 6 — Forecast</w:t>
      </w:r>
    </w:p>
    <w:p w14:paraId="00100230" w14:textId="00100231">
      <w:pPr>
        <w:pStyle w:val="Normal"/>
        <w:spacing w:after="360"/>
      </w:pPr>
      <w:r>
        <w:rPr>
          <w:sz w:val="22"/>
        </w:rPr>
        <w:t xml:space="preserve">Layout: Three controls — store selector, weeks-ahead slider (4–52). The main chart overlays three series: actual historical sales (blue solid), linear fitted values (dotted), and forecast (dashed amber with markers). A highlighted region marks the forecast period. An R² metric card shows model quality. A formatted table below lists all forecast dates and values.</w:t>
      </w:r>
    </w:p>
    <w:p w14:paraId="00100232" w14:textId="00100233">
      <w:pPr>
        <w:pStyle w:val="Heading1"/>
        <w:spacing w:before="240" w:after="160"/>
      </w:pPr>
      <w:r>
        <w:rPr>
          <w:b/>
          <w:sz w:val="36"/>
        </w:rPr>
        <w:t xml:space="preserve">11. Technology Stack</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34" w14:textId="00100235">
            <w:r>
              <w:t xml:space="preserve">Category</w:t>
            </w:r>
          </w:p>
        </w:tc>
        <w:tc>
          <w:p w14:paraId="00100236" w14:textId="00100237">
            <w:r>
              <w:t xml:space="preserve">Library / Framework</w:t>
            </w:r>
          </w:p>
        </w:tc>
        <w:tc>
          <w:p w14:paraId="00100238" w14:textId="00100239">
            <w:r>
              <w:t xml:space="preserve">Version</w:t>
            </w:r>
          </w:p>
        </w:tc>
        <w:tc>
          <w:p w14:paraId="0010023A" w14:textId="0010023B">
            <w:r>
              <w:t xml:space="preserve">Purpose</w:t>
            </w:r>
          </w:p>
        </w:tc>
      </w:tr>
      <w:tr>
        <w:trPr/>
        <w:tc>
          <w:p w14:paraId="0010023C" w14:textId="0010023D">
            <w:r>
              <w:t xml:space="preserve">Backend API</w:t>
            </w:r>
          </w:p>
        </w:tc>
        <w:tc>
          <w:p w14:paraId="0010023E" w14:textId="0010023F">
            <w:r>
              <w:t xml:space="preserve">FastAPI</w:t>
            </w:r>
          </w:p>
        </w:tc>
        <w:tc>
          <w:p w14:paraId="00100240" w14:textId="00100241">
            <w:r>
              <w:t xml:space="preserve">0.111.0</w:t>
            </w:r>
          </w:p>
        </w:tc>
        <w:tc>
          <w:p w14:paraId="00100242" w14:textId="00100243">
            <w:r>
              <w:t xml:space="preserve">REST API server with auto-generated OpenAPI docs</w:t>
            </w:r>
          </w:p>
        </w:tc>
      </w:tr>
      <w:tr>
        <w:trPr/>
        <w:tc>
          <w:p w14:paraId="00100244" w14:textId="00100245">
            <w:r>
              <w:t xml:space="preserve">Backend Server</w:t>
            </w:r>
          </w:p>
        </w:tc>
        <w:tc>
          <w:p w14:paraId="00100246" w14:textId="00100247">
            <w:r>
              <w:t xml:space="preserve">Uvicorn</w:t>
            </w:r>
          </w:p>
        </w:tc>
        <w:tc>
          <w:p w14:paraId="00100248" w14:textId="00100249">
            <w:r>
              <w:t xml:space="preserve">0.29.0</w:t>
            </w:r>
          </w:p>
        </w:tc>
        <w:tc>
          <w:p w14:paraId="0010024A" w14:textId="0010024B">
            <w:r>
              <w:t xml:space="preserve">ASGI server for FastAPI</w:t>
            </w:r>
          </w:p>
        </w:tc>
      </w:tr>
      <w:tr>
        <w:trPr/>
        <w:tc>
          <w:p w14:paraId="0010024C" w14:textId="0010024D">
            <w:r>
              <w:t xml:space="preserve">Data Processing</w:t>
            </w:r>
          </w:p>
        </w:tc>
        <w:tc>
          <w:p w14:paraId="0010024E" w14:textId="0010024F">
            <w:r>
              <w:t xml:space="preserve">Pandas</w:t>
            </w:r>
          </w:p>
        </w:tc>
        <w:tc>
          <w:p w14:paraId="00100250" w14:textId="00100251">
            <w:r>
              <w:t xml:space="preserve">2.2.2</w:t>
            </w:r>
          </w:p>
        </w:tc>
        <w:tc>
          <w:p w14:paraId="00100252" w14:textId="00100253">
            <w:r>
              <w:t xml:space="preserve">DataFrame operations, groupby, aggregations</w:t>
            </w:r>
          </w:p>
        </w:tc>
      </w:tr>
      <w:tr>
        <w:trPr/>
        <w:tc>
          <w:p w14:paraId="00100254" w14:textId="00100255">
            <w:r>
              <w:t xml:space="preserve">Numerical Computing</w:t>
            </w:r>
          </w:p>
        </w:tc>
        <w:tc>
          <w:p w14:paraId="00100256" w14:textId="00100257">
            <w:r>
              <w:t xml:space="preserve">NumPy</w:t>
            </w:r>
          </w:p>
        </w:tc>
        <w:tc>
          <w:p w14:paraId="00100258" w14:textId="00100259">
            <w:r>
              <w:t xml:space="preserve">1.26.4</w:t>
            </w:r>
          </w:p>
        </w:tc>
        <w:tc>
          <w:p w14:paraId="0010025A" w14:textId="0010025B">
            <w:r>
              <w:t xml:space="preserve">Array operations, time index generation</w:t>
            </w:r>
          </w:p>
        </w:tc>
      </w:tr>
      <w:tr>
        <w:trPr/>
        <w:tc>
          <w:p w14:paraId="0010025C" w14:textId="0010025D">
            <w:r>
              <w:t xml:space="preserve">Machine Learning</w:t>
            </w:r>
          </w:p>
        </w:tc>
        <w:tc>
          <w:p w14:paraId="0010025E" w14:textId="0010025F">
            <w:r>
              <w:t xml:space="preserve">scikit-learn</w:t>
            </w:r>
          </w:p>
        </w:tc>
        <w:tc>
          <w:p w14:paraId="00100260" w14:textId="00100261">
            <w:r>
              <w:t xml:space="preserve">1.4.2</w:t>
            </w:r>
          </w:p>
        </w:tc>
        <w:tc>
          <w:p w14:paraId="00100262" w14:textId="00100263">
            <w:r>
              <w:t xml:space="preserve">LinearRegression for sales forecasting</w:t>
            </w:r>
          </w:p>
        </w:tc>
      </w:tr>
      <w:tr>
        <w:trPr/>
        <w:tc>
          <w:p w14:paraId="00100264" w14:textId="00100265">
            <w:r>
              <w:t xml:space="preserve">Visualisation</w:t>
            </w:r>
          </w:p>
        </w:tc>
        <w:tc>
          <w:p w14:paraId="00100266" w14:textId="00100267">
            <w:r>
              <w:t xml:space="preserve">Plotly</w:t>
            </w:r>
          </w:p>
        </w:tc>
        <w:tc>
          <w:p w14:paraId="00100268" w14:textId="00100269">
            <w:r>
              <w:t xml:space="preserve">5.22.0</w:t>
            </w:r>
          </w:p>
        </w:tc>
        <w:tc>
          <w:p w14:paraId="0010026A" w14:textId="0010026B">
            <w:r>
              <w:t xml:space="preserve">Interactive charts (line, bar, pie, scatter, heatmap)</w:t>
            </w:r>
          </w:p>
        </w:tc>
      </w:tr>
      <w:tr>
        <w:trPr/>
        <w:tc>
          <w:p w14:paraId="0010026C" w14:textId="0010026D">
            <w:r>
              <w:t xml:space="preserve">Frontend UI</w:t>
            </w:r>
          </w:p>
        </w:tc>
        <w:tc>
          <w:p w14:paraId="0010026E" w14:textId="0010026F">
            <w:r>
              <w:t xml:space="preserve">Streamlit</w:t>
            </w:r>
          </w:p>
        </w:tc>
        <w:tc>
          <w:p w14:paraId="00100270" w14:textId="00100271">
            <w:r>
              <w:t xml:space="preserve">1.35.0</w:t>
            </w:r>
          </w:p>
        </w:tc>
        <w:tc>
          <w:p w14:paraId="00100272" w14:textId="00100273">
            <w:r>
              <w:t xml:space="preserve">Python-native web dashboard framework</w:t>
            </w:r>
          </w:p>
        </w:tc>
      </w:tr>
      <w:tr>
        <w:trPr/>
        <w:tc>
          <w:p w14:paraId="00100274" w14:textId="00100275">
            <w:r>
              <w:t xml:space="preserve">HTTP Client</w:t>
            </w:r>
          </w:p>
        </w:tc>
        <w:tc>
          <w:p w14:paraId="00100276" w14:textId="00100277">
            <w:r>
              <w:t xml:space="preserve">httpx</w:t>
            </w:r>
          </w:p>
        </w:tc>
        <w:tc>
          <w:p w14:paraId="00100278" w14:textId="00100279">
            <w:r>
              <w:t xml:space="preserve">0.27.0</w:t>
            </w:r>
          </w:p>
        </w:tc>
        <w:tc>
          <w:p w14:paraId="0010027A" w14:textId="0010027B">
            <w:r>
              <w:t xml:space="preserve">Async HTTP requests from frontend to backend API</w:t>
            </w:r>
          </w:p>
        </w:tc>
      </w:tr>
      <w:tr>
        <w:trPr/>
        <w:tc>
          <w:p w14:paraId="0010027C" w14:textId="0010027D">
            <w:r>
              <w:t xml:space="preserve">Schema Validation</w:t>
            </w:r>
          </w:p>
        </w:tc>
        <w:tc>
          <w:p w14:paraId="0010027E" w14:textId="0010027F">
            <w:r>
              <w:t xml:space="preserve">Pydantic</w:t>
            </w:r>
          </w:p>
        </w:tc>
        <w:tc>
          <w:p w14:paraId="00100280" w14:textId="00100281">
            <w:r>
              <w:t xml:space="preserve">2.7.1</w:t>
            </w:r>
          </w:p>
        </w:tc>
        <w:tc>
          <w:p w14:paraId="00100282" w14:textId="00100283">
            <w:r>
              <w:t xml:space="preserve">Request/response data validation in FastAPI</w:t>
            </w:r>
          </w:p>
        </w:tc>
      </w:tr>
    </w:tbl>
    <w:p w14:paraId="00100284" w14:textId="00100285">
      <w:pPr>
        <w:pStyle w:val="Normal"/>
        <w:spacing w:before="160" w:after="360"/>
      </w:pPr>
      <w:r>
        <w:rPr>
          <w:sz w:val="22"/>
        </w:rPr>
        <w:t xml:space="preserve">All components are Python-only — no JavaScript, HTML, or CSS frameworks are required. The application runs entirely locally with a single python run.py command.</w:t>
      </w:r>
    </w:p>
    <w:p w14:paraId="00100286" w14:textId="00100287">
      <w:pPr>
        <w:pStyle w:val="Heading1"/>
        <w:spacing w:before="240" w:after="160"/>
      </w:pPr>
      <w:r>
        <w:rPr>
          <w:b/>
          <w:sz w:val="36"/>
        </w:rPr>
        <w:t xml:space="preserve">12. Conclusions &amp; Recommendations</w:t>
      </w:r>
    </w:p>
    <w:p w14:paraId="00100288" w14:textId="00100289">
      <w:pPr>
        <w:pStyle w:val="Heading2"/>
        <w:spacing w:before="120" w:after="120"/>
      </w:pPr>
      <w:r>
        <w:rPr>
          <w:b/>
          <w:sz w:val="28"/>
        </w:rPr>
        <w:t xml:space="preserve">12.1 Key Findings Summary</w:t>
      </w:r>
    </w:p>
    <w:p w14:paraId="0010028A" w14:textId="0010028B">
      <w:pPr>
        <w:pStyle w:val="Normal"/>
        <w:spacing w:after="160"/>
      </w:pPr>
      <w:r>
        <w:rPr>
          <w:sz w:val="22"/>
        </w:rPr>
        <w:t xml:space="preserve">• Total Walmart revenue across 45 stores (Feb 2010 – Oct 2012) was $6.74 billion.</w:t>
      </w:r>
    </w:p>
    <w:p w14:paraId="0010028C" w14:textId="0010028D">
      <w:pPr>
        <w:pStyle w:val="Normal"/>
        <w:spacing w:after="160"/>
      </w:pPr>
      <w:r>
        <w:rPr>
          <w:sz w:val="22"/>
        </w:rPr>
        <w:t xml:space="preserve">• Store performance varies enormously — the top store (Store 20) earns 8x more than the bottom store (Store 33).</w:t>
      </w:r>
    </w:p>
    <w:p w14:paraId="0010028E" w14:textId="0010028F">
      <w:pPr>
        <w:pStyle w:val="Normal"/>
        <w:spacing w:after="160"/>
      </w:pPr>
      <w:r>
        <w:rPr>
          <w:sz w:val="22"/>
        </w:rPr>
        <w:t xml:space="preserve">• Holiday weeks generate 7.84% higher average sales than non-holiday weeks.</w:t>
      </w:r>
    </w:p>
    <w:p w14:paraId="00100290" w14:textId="00100291">
      <w:pPr>
        <w:pStyle w:val="Normal"/>
        <w:spacing w:after="160"/>
      </w:pPr>
      <w:r>
        <w:rPr>
          <w:sz w:val="22"/>
        </w:rPr>
        <w:t xml:space="preserve">• 2011 was the peak revenue year at $2.45B; average weekly sales have trended slightly down since 2010.</w:t>
      </w:r>
    </w:p>
    <w:p w14:paraId="00100292" w14:textId="00100293">
      <w:pPr>
        <w:pStyle w:val="Normal"/>
        <w:spacing w:after="160"/>
      </w:pPr>
      <w:r>
        <w:rPr>
          <w:sz w:val="22"/>
        </w:rPr>
        <w:t xml:space="preserve">• External economic factors (Temperature, Fuel Price, CPI, Unemployment) have very low correlations with sales, suggesting store-intrinsic factors dominate.</w:t>
      </w:r>
    </w:p>
    <w:p w14:paraId="00100294" w14:textId="00100295">
      <w:pPr>
        <w:pStyle w:val="Normal"/>
        <w:spacing w:after="160"/>
      </w:pPr>
      <w:r>
        <w:rPr>
          <w:sz w:val="22"/>
        </w:rPr>
        <w:t xml:space="preserve">• Unemployment is the strongest external predictor (r = -0.106), confirming that economic downturns reduce discretionary retail spend.</w:t>
      </w:r>
    </w:p>
    <w:p w14:paraId="00100296" w14:textId="00100297">
      <w:pPr>
        <w:pStyle w:val="Heading2"/>
        <w:spacing w:before="120" w:after="120"/>
      </w:pPr>
      <w:r>
        <w:rPr>
          <w:b/>
          <w:sz w:val="28"/>
        </w:rPr>
        <w:t xml:space="preserve">12.2 Business Recommendations</w:t>
      </w:r>
    </w:p>
    <w:p w14:paraId="00100298" w14:textId="00100299">
      <w:pPr>
        <w:pStyle w:val="Normal"/>
        <w:spacing w:after="160"/>
      </w:pPr>
      <w:r>
        <w:rPr>
          <w:sz w:val="22"/>
        </w:rPr>
        <w:t xml:space="preserve">1. Inventory &amp; Staffing: Increase inventory and staffing capacity at high-performing stores (20, 4, 14, 13) during holiday periods — especially Thanksgiving and Christmas weeks.</w:t>
      </w:r>
    </w:p>
    <w:p w14:paraId="0010029A" w14:textId="0010029B">
      <w:pPr>
        <w:pStyle w:val="Normal"/>
        <w:spacing w:after="160"/>
      </w:pPr>
      <w:r>
        <w:rPr>
          <w:sz w:val="22"/>
        </w:rPr>
        <w:t xml:space="preserve">2. Underperformer Review: Investigate Stores 33, 44, and 5 for potential restructuring, relocation, or targeted marketing campaigns.</w:t>
      </w:r>
    </w:p>
    <w:p w14:paraId="0010029C" w14:textId="0010029D">
      <w:pPr>
        <w:pStyle w:val="Normal"/>
        <w:spacing w:after="160"/>
      </w:pPr>
      <w:r>
        <w:rPr>
          <w:sz w:val="22"/>
        </w:rPr>
        <w:t xml:space="preserve">3. Holiday Strategy: Extend holiday promotional windows to capture the 7.84% uplift — consider pre-holiday campaigns 2–3 weeks before flagged dates.</w:t>
      </w:r>
    </w:p>
    <w:p w14:paraId="0010029E" w14:textId="0010029F">
      <w:pPr>
        <w:pStyle w:val="Normal"/>
        <w:spacing w:after="160"/>
      </w:pPr>
      <w:r>
        <w:rPr>
          <w:sz w:val="22"/>
        </w:rPr>
        <w:t xml:space="preserve">4. Economic Monitoring: While macroeconomic factors show weak individual correlations, composite monitoring of Unemployment + CPI together could provide early warning of demand slowdowns.</w:t>
      </w:r>
    </w:p>
    <w:p w14:paraId="001002A0" w14:textId="001002A1">
      <w:pPr>
        <w:pStyle w:val="Normal"/>
        <w:spacing w:after="160"/>
      </w:pPr>
      <w:r>
        <w:rPr>
          <w:sz w:val="22"/>
        </w:rPr>
        <w:t xml:space="preserve">5. Forecasting Upgrade: Replace the baseline linear regression model with a SARIMA or Facebook Prophet model to capture seasonal cycles (52-week periodicity) for more actionable forecasts.</w:t>
      </w:r>
    </w:p>
    <w:p w14:paraId="001002A2" w14:textId="001002A3">
      <w:pPr>
        <w:pStyle w:val="Heading2"/>
        <w:spacing w:before="120" w:after="120"/>
      </w:pPr>
      <w:r>
        <w:rPr>
          <w:b/>
          <w:sz w:val="28"/>
        </w:rPr>
        <w:t xml:space="preserve">12.3 Future Enhancements</w:t>
      </w:r>
    </w:p>
    <w:p w14:paraId="001002A4" w14:textId="001002A5">
      <w:pPr>
        <w:pStyle w:val="Normal"/>
        <w:spacing w:after="360"/>
      </w:pPr>
      <w:r>
        <w:rPr>
          <w:sz w:val="22"/>
        </w:rPr>
        <w:t xml:space="preserve">• Integrate store size/type data (if available) to explain the large inter-store variance.</w:t>
      </w:r>
    </w:p>
    <w:p w14:paraId="001002A6" w14:textId="001002A7">
      <w:pPr>
        <w:pStyle w:val="Normal"/>
        <w:spacing w:after="360"/>
      </w:pPr>
      <w:r>
        <w:rPr>
          <w:sz w:val="22"/>
        </w:rPr>
        <w:t xml:space="preserve">• Add product-category-level sales breakdown when departmental data becomes available.</w:t>
      </w:r>
    </w:p>
    <w:p w14:paraId="001002A8" w14:textId="001002A9">
      <w:pPr>
        <w:pStyle w:val="Normal"/>
        <w:spacing w:after="360"/>
      </w:pPr>
      <w:r>
        <w:rPr>
          <w:sz w:val="22"/>
        </w:rPr>
        <w:t xml:space="preserve">• Deploy the application to a cloud platform (e.g. AWS, Render) for multi-user access.</w:t>
      </w:r>
    </w:p>
    <w:p w14:paraId="001002AA" w14:textId="001002AB">
      <w:pPr>
        <w:pStyle w:val="Normal"/>
        <w:spacing w:after="360"/>
      </w:pPr>
      <w:r>
        <w:rPr>
          <w:sz w:val="22"/>
        </w:rPr>
        <w:t xml:space="preserve">• Implement real-time data ingestion via a database (PostgreSQL) instead of CSV.</w:t>
      </w:r>
    </w:p>
    <w:p w14:paraId="001002AC" w14:textId="001002AD">
      <w:pPr>
        <w:pStyle w:val="Normal"/>
        <w:spacing w:after="360"/>
      </w:pPr>
      <w:r>
        <w:rPr>
          <w:sz w:val="22"/>
        </w:rPr>
        <w:t xml:space="preserve">• Add user authentication and role-based access to the dashboard.</w:t>
      </w:r>
    </w:p>
    <w:p w14:paraId="001002AE" w14:textId="001002AF">
      <w:pPr>
        <w:pStyle w:val="Normal"/>
        <w:spacing w:before="480" w:after="120"/>
        <w:jc w:val="center"/>
      </w:pPr>
      <w:r>
        <w:rPr>
          <w:b/>
          <w:sz w:val="22"/>
        </w:rPr>
        <w:t xml:space="preserve">— End of Report —</w:t>
      </w:r>
    </w:p>
    <w:p w14:paraId="001002B0" w14:textId="001002B1">
      <w:pPr>
        <w:pStyle w:val="Normal"/>
        <w:spacing w:after="120"/>
        <w:jc w:val="center"/>
      </w:pPr>
      <w:r>
        <w:rPr>
          <w:color w:val="57606A"/>
          <w:sz w:val="18"/>
        </w:rPr>
        <w:t xml:space="preserve">Generated by: Walmart Sales Analytics Dashboard  |  Python Full-Stack Project</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24d228034df84c34" /><Relationship Type="http://schemas.openxmlformats.org/officeDocument/2006/relationships/styles" Target="/word/styles.xml" Id="R44918d74a1f24aad" /><Relationship Type="http://schemas.openxmlformats.org/officeDocument/2006/relationships/theme" Target="/word/theme/theme1.xml" Id="R648363d88ebd4f1e" /><Relationship Type="http://schemas.openxmlformats.org/officeDocument/2006/relationships/numbering" Target="/word/numbering.xml" Id="Rfb7fdd13f4074b8f" /><Relationship Type="http://schemas.openxmlformats.org/officeDocument/2006/relationships/image" Target="/media/image.png" Id="Re38c72f1b90346b4" /><Relationship Type="http://schemas.openxmlformats.org/officeDocument/2006/relationships/image" Target="/media/image2.png" Id="R49655c25487b4f5a" /><Relationship Type="http://schemas.openxmlformats.org/officeDocument/2006/relationships/image" Target="/media/image3.png" Id="R073e7cf3b64f48dc" /><Relationship Type="http://schemas.openxmlformats.org/officeDocument/2006/relationships/image" Target="/media/image4.png" Id="R5bb0f4e85f5b475f" /><Relationship Type="http://schemas.openxmlformats.org/officeDocument/2006/relationships/image" Target="/media/image5.png" Id="R652a4016567043c6" /><Relationship Type="http://schemas.openxmlformats.org/officeDocument/2006/relationships/image" Target="/media/image6.png" Id="R0fe21771d5c043c2" /><Relationship Type="http://schemas.openxmlformats.org/officeDocument/2006/relationships/image" Target="/media/image7.png" Id="R4d243ba956dc48a0" /><Relationship Type="http://schemas.openxmlformats.org/officeDocument/2006/relationships/image" Target="/media/image8.png" Id="R1a26ceddb9b44250" /><Relationship Type="http://schemas.openxmlformats.org/officeDocument/2006/relationships/image" Target="/media/image9.png" Id="R53ae4a6dfd34465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2026-09-23T06:09:39Z</dcterms:created>
  <cp:lastModifiedBy>OfficeCLI</cp:lastModifiedBy>
  <dcterms:modified xsi:type="dcterms:W3CDTF">2026-09-23T06:09:39Z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2026-09-23T06:23:21Z</vt:lpwstr>
  </op:property>
</op:Properties>
</file>