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AIRAVATA DEA — Software Usage Steps</w:t>
      </w:r>
    </w:p>
    <w:p>
      <w:pPr>
        <w:spacing w:before="100" w:after="160"/>
        <w:ind w:left="360" w:right="360"/>
      </w:pPr>
      <w:r>
        <w:rPr>
          <w:b/>
          <w:color w:val="3C465A"/>
        </w:rPr>
        <w:t>Screenshot note:</w:t>
      </w:r>
      <w:r>
        <w:rPr>
          <w:color w:val="3C465A"/>
        </w:rPr>
        <w:t xml:space="preserve"> Screenshots are stored in </w:t>
      </w:r>
      <w:r>
        <w:rPr>
          <w:rFonts w:ascii="Consolas" w:hAnsi="Consolas"/>
          <w:color w:val="3C465A"/>
          <w:sz w:val="18"/>
        </w:rPr>
        <w:t>screenshots/high-res/</w:t>
      </w:r>
      <w:r>
        <w:rPr>
          <w:color w:val="3C465A"/>
        </w:rPr>
        <w:t>. Click any screenshot to open the full-size version when reading this guide.</w:t>
      </w:r>
    </w:p>
    <w:p>
      <w:r>
        <w:br w:type="page"/>
      </w:r>
    </w:p>
    <w:p>
      <w:pPr>
        <w:pStyle w:val="Heading1"/>
      </w:pPr>
      <w:r>
        <w:t>1. Open the application</w:t>
      </w:r>
    </w:p>
    <w:p>
      <w:pPr>
        <w:pStyle w:val="ListNumber"/>
      </w:pPr>
      <w:r>
        <w:t>Open AIRAVATA DEA in the browser or desktop application.</w:t>
      </w:r>
    </w:p>
    <w:p>
      <w:pPr>
        <w:pStyle w:val="ListNumber"/>
      </w:pPr>
      <w:r>
        <w:t>The home page opens on the fixed-width data workflow.</w:t>
      </w:r>
    </w:p>
    <w:p>
      <w:pPr>
        <w:pStyle w:val="ListNumber"/>
      </w:pPr>
      <w:r>
        <w:t>The main process is:</w:t>
      </w:r>
    </w:p>
    <w:p>
      <w:r>
        <w:t xml:space="preserve">   - Upload layout files.</w:t>
      </w:r>
    </w:p>
    <w:p>
      <w:r>
        <w:t xml:space="preserve">   - Assign layouts to fixed-width data files.</w:t>
      </w:r>
    </w:p>
    <w:p>
      <w:r>
        <w:t xml:space="preserve">   - Select columns and anonymise, decrypt, or export the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AIRAVATA DEA home page</w:t>
      </w:r>
    </w:p>
    <w:p>
      <w:pPr>
        <w:pStyle w:val="ScreenshotCaption"/>
      </w:pPr>
      <w:r>
        <w:rPr>
          <w:b/>
        </w:rPr>
        <w:t>Caption:</w:t>
      </w:r>
      <w:r>
        <w:t xml:space="preserve"> AIRAVATA DEA home page showing the layout upload, data file, and process workflow.</w:t>
      </w:r>
    </w:p>
    <w:p>
      <w:r>
        <w:br w:type="page"/>
      </w:r>
    </w:p>
    <w:p>
      <w:pPr>
        <w:pStyle w:val="Heading1"/>
      </w:pPr>
      <w:r>
        <w:t>2. Prepare the input files</w:t>
      </w:r>
    </w:p>
    <w:p>
      <w:r>
        <w:t>Before starting, keep the following files ready:</w:t>
      </w:r>
    </w:p>
    <w:p>
      <w:pPr>
        <w:pStyle w:val="ListBullet"/>
      </w:pPr>
      <w:r>
        <w:t xml:space="preserve">A layout file in </w:t>
      </w:r>
      <w:r>
        <w:rPr>
          <w:rFonts w:ascii="Consolas" w:hAnsi="Consolas"/>
          <w:sz w:val="18"/>
        </w:rPr>
        <w:t>.xlsx</w:t>
      </w:r>
      <w:r>
        <w:t xml:space="preserve">, </w:t>
      </w:r>
      <w:r>
        <w:rPr>
          <w:rFonts w:ascii="Consolas" w:hAnsi="Consolas"/>
          <w:sz w:val="18"/>
        </w:rPr>
        <w:t>.xls</w:t>
      </w:r>
      <w:r>
        <w:t xml:space="preserve">, or </w:t>
      </w:r>
      <w:r>
        <w:rPr>
          <w:rFonts w:ascii="Consolas" w:hAnsi="Consolas"/>
          <w:sz w:val="18"/>
        </w:rPr>
        <w:t>.csv</w:t>
      </w:r>
      <w:r>
        <w:t xml:space="preserve"> format.</w:t>
      </w:r>
    </w:p>
    <w:p>
      <w:pPr>
        <w:pStyle w:val="ListBullet"/>
      </w:pPr>
      <w:r>
        <w:t xml:space="preserve">One or more fixed-width data files in </w:t>
      </w:r>
      <w:r>
        <w:rPr>
          <w:rFonts w:ascii="Consolas" w:hAnsi="Consolas"/>
          <w:sz w:val="18"/>
        </w:rPr>
        <w:t>.txt</w:t>
      </w:r>
      <w:r>
        <w:t xml:space="preserve">, </w:t>
      </w:r>
      <w:r>
        <w:rPr>
          <w:rFonts w:ascii="Consolas" w:hAnsi="Consolas"/>
          <w:sz w:val="18"/>
        </w:rPr>
        <w:t>.dat</w:t>
      </w:r>
      <w:r>
        <w:t xml:space="preserve">, </w:t>
      </w:r>
      <w:r>
        <w:rPr>
          <w:rFonts w:ascii="Consolas" w:hAnsi="Consolas"/>
          <w:sz w:val="18"/>
        </w:rPr>
        <w:t>.fwf</w:t>
      </w:r>
      <w:r>
        <w:t xml:space="preserve">, or </w:t>
      </w:r>
      <w:r>
        <w:rPr>
          <w:rFonts w:ascii="Consolas" w:hAnsi="Consolas"/>
          <w:sz w:val="18"/>
        </w:rPr>
        <w:t>.data</w:t>
      </w:r>
      <w:r>
        <w:t xml:space="preserve"> format.</w:t>
      </w:r>
    </w:p>
    <w:p>
      <w:r>
        <w:t>The layout must define the fields used in each record. For CSV layouts, use columns such as:</w:t>
      </w:r>
    </w:p>
    <w:p>
      <w:pPr>
        <w:pStyle w:val="ListBullet"/>
      </w:pPr>
      <w:r>
        <w:rPr>
          <w:rFonts w:ascii="Consolas" w:hAnsi="Consolas"/>
          <w:sz w:val="18"/>
        </w:rPr>
        <w:t>Field_Name</w:t>
      </w:r>
    </w:p>
    <w:p>
      <w:pPr>
        <w:pStyle w:val="ListBullet"/>
      </w:pPr>
      <w:r>
        <w:rPr>
          <w:rFonts w:ascii="Consolas" w:hAnsi="Consolas"/>
          <w:sz w:val="18"/>
        </w:rPr>
        <w:t>Start</w:t>
      </w:r>
    </w:p>
    <w:p>
      <w:pPr>
        <w:pStyle w:val="ListBullet"/>
      </w:pPr>
      <w:r>
        <w:rPr>
          <w:rFonts w:ascii="Consolas" w:hAnsi="Consolas"/>
          <w:sz w:val="18"/>
        </w:rPr>
        <w:t>End</w:t>
      </w:r>
    </w:p>
    <w:p>
      <w:r>
        <w:t>For Excel layouts:</w:t>
      </w:r>
    </w:p>
    <w:p>
      <w:pPr>
        <w:pStyle w:val="ListBullet"/>
      </w:pPr>
      <w:r>
        <w:t>The workbook may contain one or more sheets.</w:t>
      </w:r>
    </w:p>
    <w:p>
      <w:pPr>
        <w:pStyle w:val="ListBullet"/>
      </w:pPr>
      <w:r>
        <w:t>Multiple tables may be detected on a sheet.</w:t>
      </w:r>
    </w:p>
    <w:p>
      <w:pPr>
        <w:pStyle w:val="ListBullet"/>
      </w:pPr>
      <w:r>
        <w:t>Select only the sheets or tables that should be imported.</w:t>
      </w:r>
    </w:p>
    <w:p>
      <w:pPr>
        <w:pStyle w:val="ListBullet"/>
      </w:pPr>
      <w:r>
        <w:t>If required, enter the manual row range for the layout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epared-input-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Prepared layout and data files</w:t>
      </w:r>
    </w:p>
    <w:p>
      <w:pPr>
        <w:pStyle w:val="ScreenshotCaption"/>
      </w:pPr>
      <w:r>
        <w:rPr>
          <w:b/>
        </w:rPr>
        <w:t>Caption:</w:t>
      </w:r>
      <w:r>
        <w:t xml:space="preserve"> Example layout and fixed-width data files prepared before upload.</w:t>
      </w:r>
    </w:p>
    <w:p>
      <w:r>
        <w:br w:type="page"/>
      </w:r>
    </w:p>
    <w:p>
      <w:pPr>
        <w:pStyle w:val="Heading1"/>
      </w:pPr>
      <w:r>
        <w:t>3. Upload the layout file</w:t>
      </w:r>
    </w:p>
    <w:p>
      <w:pPr>
        <w:pStyle w:val="ListNumber"/>
      </w:pPr>
      <w:r>
        <w:t xml:space="preserve">On the home page, go to </w:t>
      </w:r>
      <w:r>
        <w:rPr>
          <w:b/>
        </w:rPr>
        <w:t>Step 1 — Layout files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Add layout</w:t>
      </w:r>
      <w:r>
        <w:t>, or drag the layout file into the upload area.</w:t>
      </w:r>
    </w:p>
    <w:p>
      <w:pPr>
        <w:pStyle w:val="ListNumber"/>
      </w:pPr>
      <w:r>
        <w:t>Select the Excel or CSV layout file.</w:t>
      </w:r>
    </w:p>
    <w:p>
      <w:pPr>
        <w:pStyle w:val="ListNumber"/>
      </w:pPr>
      <w:r>
        <w:t>If the workbook contains multiple sheets, select the required sheets.</w:t>
      </w:r>
    </w:p>
    <w:p>
      <w:pPr>
        <w:pStyle w:val="ListNumber"/>
      </w:pPr>
      <w:r>
        <w:t>If multiple tables are detected, select the required tables.</w:t>
      </w:r>
    </w:p>
    <w:p>
      <w:pPr>
        <w:pStyle w:val="ListNumber"/>
      </w:pPr>
      <w:r>
        <w:t xml:space="preserve">Click </w:t>
      </w:r>
      <w:r>
        <w:rPr>
          <w:b/>
        </w:rPr>
        <w:t>Use selected tables</w:t>
      </w:r>
      <w:r>
        <w:t xml:space="preserve"> when table selection is complete.</w:t>
      </w:r>
    </w:p>
    <w:p>
      <w:pPr>
        <w:pStyle w:val="ListNumber"/>
      </w:pPr>
      <w:r>
        <w:t>If the application offers automatic detection, review the detected field boundaries.</w:t>
      </w:r>
    </w:p>
    <w:p>
      <w:pPr>
        <w:pStyle w:val="ListNumber"/>
      </w:pPr>
      <w:r>
        <w:t>Use the manual row range controls if the layout has a specific header or data range.</w:t>
      </w:r>
    </w:p>
    <w:p>
      <w:pPr>
        <w:pStyle w:val="ListNumber"/>
      </w:pPr>
      <w:r>
        <w:t>Confirm the layout.</w:t>
      </w:r>
    </w:p>
    <w:p>
      <w:pPr>
        <w:pStyle w:val="ListNumber"/>
      </w:pPr>
      <w:r>
        <w:t>Wait until the layout is marked as ready.</w:t>
      </w:r>
    </w:p>
    <w:p>
      <w:r>
        <w:t>Repeat these steps if different data files require different layouts.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epared-input-fi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Uploaded layout file</w:t>
      </w:r>
    </w:p>
    <w:p>
      <w:pPr>
        <w:pStyle w:val="ScreenshotCaption"/>
      </w:pPr>
      <w:r>
        <w:rPr>
          <w:b/>
        </w:rPr>
        <w:t>Caption:</w:t>
      </w:r>
      <w:r>
        <w:t xml:space="preserve"> Step 1 — Layout files showing an uploaded layout, selected sheet or table, and confirmed field boundaries.</w:t>
      </w:r>
    </w:p>
    <w:p>
      <w:r>
        <w:br w:type="page"/>
      </w:r>
    </w:p>
    <w:p>
      <w:pPr>
        <w:pStyle w:val="Heading1"/>
      </w:pPr>
      <w:r>
        <w:t>4. Upload the fixed-width data file</w:t>
      </w:r>
    </w:p>
    <w:p>
      <w:pPr>
        <w:pStyle w:val="ListNumber"/>
      </w:pPr>
      <w:r>
        <w:t xml:space="preserve">Go to </w:t>
      </w:r>
      <w:r>
        <w:rPr>
          <w:b/>
        </w:rPr>
        <w:t>Step 2 — Data files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Add files</w:t>
      </w:r>
      <w:r>
        <w:t>, or drag the fixed-width file into the upload area.</w:t>
      </w:r>
    </w:p>
    <w:p>
      <w:pPr>
        <w:pStyle w:val="ListNumber"/>
      </w:pPr>
      <w:r>
        <w:t xml:space="preserve">Select one or more </w:t>
      </w:r>
      <w:r>
        <w:rPr>
          <w:rFonts w:ascii="Consolas" w:hAnsi="Consolas"/>
          <w:sz w:val="18"/>
        </w:rPr>
        <w:t>.TXT</w:t>
      </w:r>
      <w:r>
        <w:t xml:space="preserve">, </w:t>
      </w:r>
      <w:r>
        <w:rPr>
          <w:rFonts w:ascii="Consolas" w:hAnsi="Consolas"/>
          <w:sz w:val="18"/>
        </w:rPr>
        <w:t>.DAT</w:t>
      </w:r>
      <w:r>
        <w:t xml:space="preserve">, </w:t>
      </w:r>
      <w:r>
        <w:rPr>
          <w:rFonts w:ascii="Consolas" w:hAnsi="Consolas"/>
          <w:sz w:val="18"/>
        </w:rPr>
        <w:t>.FWF</w:t>
      </w:r>
      <w:r>
        <w:t>, or other fixed-width files.</w:t>
      </w:r>
    </w:p>
    <w:p>
      <w:pPr>
        <w:pStyle w:val="ListNumber"/>
      </w:pPr>
      <w:r>
        <w:t>For each uploaded file, choose the matching layout from the layout selector.</w:t>
      </w:r>
    </w:p>
    <w:p>
      <w:pPr>
        <w:pStyle w:val="ListNumber"/>
      </w:pPr>
      <w:r>
        <w:t>Review the data preview if required.</w:t>
      </w:r>
    </w:p>
    <w:p>
      <w:pPr>
        <w:pStyle w:val="ListNumber"/>
      </w:pPr>
      <w:r>
        <w:t>Click the process or activate option for the file.</w:t>
      </w:r>
    </w:p>
    <w:p>
      <w:pPr>
        <w:pStyle w:val="ListNumber"/>
      </w:pPr>
      <w:r>
        <w:t>Confirm that the displayed record count and column count are correct.</w:t>
      </w:r>
    </w:p>
    <w:p>
      <w:r>
        <w:t>The data file must be assigned to a layout before it can be processed.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pload-data-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Uploaded fixed-width data file</w:t>
      </w:r>
    </w:p>
    <w:p>
      <w:pPr>
        <w:pStyle w:val="ScreenshotCaption"/>
      </w:pPr>
      <w:r>
        <w:rPr>
          <w:b/>
        </w:rPr>
        <w:t>Caption:</w:t>
      </w:r>
      <w:r>
        <w:t xml:space="preserve"> Step 2 — Data files showing an uploaded fixed-width file assigned to a layout.</w:t>
      </w:r>
    </w:p>
    <w:p>
      <w:r>
        <w:br w:type="page"/>
      </w:r>
    </w:p>
    <w:p>
      <w:pPr>
        <w:pStyle w:val="Heading1"/>
      </w:pPr>
      <w:r>
        <w:t>5. Choose the output folder</w:t>
      </w:r>
    </w:p>
    <w:p>
      <w:pPr>
        <w:pStyle w:val="ListNumber"/>
      </w:pPr>
      <w:r>
        <w:t xml:space="preserve">In </w:t>
      </w:r>
      <w:r>
        <w:rPr>
          <w:b/>
        </w:rPr>
        <w:t>Step 3 — 4-Round FPE Anonymize / Decrypt</w:t>
      </w:r>
      <w:r>
        <w:t xml:space="preserve">, click </w:t>
      </w:r>
      <w:r>
        <w:rPr>
          <w:b/>
        </w:rPr>
        <w:t>Choose output folder</w:t>
      </w:r>
      <w:r>
        <w:t>.</w:t>
      </w:r>
    </w:p>
    <w:p>
      <w:pPr>
        <w:pStyle w:val="ListNumber"/>
      </w:pPr>
      <w:r>
        <w:t>Select the folder where generated files should be saved.</w:t>
      </w:r>
    </w:p>
    <w:p>
      <w:pPr>
        <w:pStyle w:val="ListNumber"/>
      </w:pPr>
      <w:r>
        <w:t>If an output folder is not selected, use the normal browser download option when it is available.</w:t>
      </w:r>
    </w:p>
    <w:p>
      <w:r>
        <w:t>For large files, selecting an output folder is recommended because the application can write the result in chunks instead of keeping the complete result in memory.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Choose output folder</w:t>
      </w:r>
    </w:p>
    <w:p>
      <w:pPr>
        <w:pStyle w:val="ScreenshotCaption"/>
      </w:pPr>
      <w:r>
        <w:rPr>
          <w:b/>
        </w:rPr>
        <w:t>Caption:</w:t>
      </w:r>
      <w:r>
        <w:t xml:space="preserve"> Step 3 showing the Choose output folder control and the selected output location.</w:t>
      </w:r>
    </w:p>
    <w:p>
      <w:r>
        <w:br w:type="page"/>
      </w:r>
    </w:p>
    <w:p>
      <w:pPr>
        <w:pStyle w:val="Heading1"/>
      </w:pPr>
      <w:r>
        <w:t>6. Configure the key settings</w:t>
      </w:r>
    </w:p>
    <w:p>
      <w:r>
        <w:t>The same key settings must be used for encryption and later decryption.</w:t>
      </w:r>
    </w:p>
    <w:p>
      <w:r>
        <w:t>Choose one key method:</w:t>
      </w:r>
    </w:p>
    <w:p>
      <w:pPr>
        <w:pStyle w:val="Heading2"/>
      </w:pPr>
      <w:r>
        <w:t>Random seed settings</w:t>
      </w:r>
    </w:p>
    <w:p>
      <w:pPr>
        <w:pStyle w:val="ListNumber"/>
      </w:pPr>
      <w:r>
        <w:t>Select the seed-based key mode.</w:t>
      </w:r>
    </w:p>
    <w:p>
      <w:pPr>
        <w:pStyle w:val="ListNumber"/>
      </w:pPr>
      <w:r>
        <w:t>Enter or keep the required seed values.</w:t>
      </w:r>
    </w:p>
    <w:p>
      <w:pPr>
        <w:pStyle w:val="ListNumber"/>
      </w:pPr>
      <w:r>
        <w:t>Save the generated key material after encryption.</w:t>
      </w:r>
    </w:p>
    <w:p>
      <w:pPr>
        <w:pStyle w:val="Heading2"/>
      </w:pPr>
      <w:r>
        <w:t>Passphrase settings</w:t>
      </w:r>
    </w:p>
    <w:p>
      <w:pPr>
        <w:pStyle w:val="ListNumber"/>
      </w:pPr>
      <w:r>
        <w:t>Select the passphrase or PBKDF2 key mode.</w:t>
      </w:r>
    </w:p>
    <w:p>
      <w:pPr>
        <w:pStyle w:val="ListNumber"/>
      </w:pPr>
      <w:r>
        <w:t>Enter the passphrase.</w:t>
      </w:r>
    </w:p>
    <w:p>
      <w:pPr>
        <w:pStyle w:val="ListNumber"/>
      </w:pPr>
      <w:r>
        <w:t>Keep the PBKDF2 iteration setting unchanged when decrypting.</w:t>
      </w:r>
    </w:p>
    <w:p>
      <w:pPr>
        <w:pStyle w:val="ListNumber"/>
      </w:pPr>
      <w:r>
        <w:t>Use the same passphrase and iteration setting later.</w:t>
      </w:r>
    </w:p>
    <w:p>
      <w:pPr>
        <w:pStyle w:val="Heading2"/>
      </w:pPr>
      <w:r>
        <w:t>Raw hexadecimal key</w:t>
      </w:r>
    </w:p>
    <w:p>
      <w:pPr>
        <w:pStyle w:val="ListNumber"/>
      </w:pPr>
      <w:r>
        <w:t>Select the raw hex key mode.</w:t>
      </w:r>
    </w:p>
    <w:p>
      <w:pPr>
        <w:pStyle w:val="ListNumber"/>
      </w:pPr>
      <w:r>
        <w:t>Enter the complete hexadecimal key.</w:t>
      </w:r>
    </w:p>
    <w:p>
      <w:pPr>
        <w:pStyle w:val="ListNumber"/>
      </w:pPr>
      <w:r>
        <w:t>Keep a secure copy of the key.</w:t>
      </w:r>
    </w:p>
    <w:p>
      <w:r>
        <w:t>Also confirm the following settings:</w:t>
      </w:r>
    </w:p>
    <w:p>
      <w:pPr>
        <w:pStyle w:val="ListBullet"/>
      </w:pPr>
      <w:r>
        <w:rPr>
          <w:b/>
        </w:rPr>
        <w:t>Deterministic mode</w:t>
      </w:r>
      <w:r>
        <w:t>: use the same setting during decryption.</w:t>
      </w:r>
    </w:p>
    <w:p>
      <w:pPr>
        <w:pStyle w:val="ListBullet"/>
      </w:pPr>
      <w:r>
        <w:rPr>
          <w:b/>
        </w:rPr>
        <w:t>Strong whole-value diffusion</w:t>
      </w:r>
      <w:r>
        <w:t>: keep enabled for new files.</w:t>
      </w:r>
    </w:p>
    <w:p>
      <w:pPr>
        <w:pStyle w:val="ListBullet"/>
      </w:pPr>
      <w:r>
        <w:rPr>
          <w:b/>
        </w:rPr>
        <w:t>Alphanumeric output</w:t>
      </w:r>
      <w:r>
        <w:t>: use the same setting when decrypting.</w:t>
      </w:r>
    </w:p>
    <w:p>
      <w:r>
        <w:t>The key, column name, key mode, deterministic setting, alphanumeric setting, and diffusion setting must match for successful decryption.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key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Key settings</w:t>
      </w:r>
    </w:p>
    <w:p>
      <w:pPr>
        <w:pStyle w:val="ScreenshotCaption"/>
      </w:pPr>
      <w:r>
        <w:rPr>
          <w:b/>
        </w:rPr>
        <w:t>Caption:</w:t>
      </w:r>
      <w:r>
        <w:t xml:space="preserve"> Key settings panel showing key mode, deterministic mode, alphanumeric output, and strong whole-value diffusion.</w:t>
      </w:r>
    </w:p>
    <w:p>
      <w:r>
        <w:br w:type="page"/>
      </w:r>
    </w:p>
    <w:p>
      <w:pPr>
        <w:pStyle w:val="Heading1"/>
      </w:pPr>
      <w:r>
        <w:t>7. Anonymise selected columns</w:t>
      </w:r>
    </w:p>
    <w:p>
      <w:pPr>
        <w:pStyle w:val="ListNumber"/>
      </w:pPr>
      <w:r>
        <w:t xml:space="preserve">Set the operation to </w:t>
      </w:r>
      <w:r>
        <w:rPr>
          <w:b/>
        </w:rPr>
        <w:t>Encrypt</w:t>
      </w:r>
      <w:r>
        <w:t>.</w:t>
      </w:r>
    </w:p>
    <w:p>
      <w:pPr>
        <w:pStyle w:val="ListNumber"/>
      </w:pPr>
      <w:r>
        <w:t xml:space="preserve">In the data file card, go to </w:t>
      </w:r>
      <w:r>
        <w:rPr>
          <w:b/>
        </w:rPr>
        <w:t>Columns to encrypt</w:t>
      </w:r>
      <w:r>
        <w:t>.</w:t>
      </w:r>
    </w:p>
    <w:p>
      <w:pPr>
        <w:pStyle w:val="ListNumber"/>
      </w:pPr>
      <w:r>
        <w:t>Select the columns that contain identifying or sensitive values.</w:t>
      </w:r>
    </w:p>
    <w:p>
      <w:pPr>
        <w:pStyle w:val="ListNumber"/>
      </w:pPr>
      <w:r>
        <w:t>Do not select columns that should remain unchanged.</w:t>
      </w:r>
    </w:p>
    <w:p>
      <w:pPr>
        <w:pStyle w:val="ListNumber"/>
      </w:pPr>
      <w:r>
        <w:t xml:space="preserve">Click </w:t>
      </w:r>
      <w:r>
        <w:rPr>
          <w:b/>
        </w:rPr>
        <w:t>Apply 4-round FPE anonymization</w:t>
      </w:r>
      <w:r>
        <w:t>.</w:t>
      </w:r>
    </w:p>
    <w:p>
      <w:pPr>
        <w:pStyle w:val="ListNumber"/>
      </w:pPr>
      <w:r>
        <w:t>Wait for processing to finish.</w:t>
      </w:r>
    </w:p>
    <w:p>
      <w:pPr>
        <w:pStyle w:val="ListNumber"/>
      </w:pPr>
      <w:r>
        <w:t>Review the completion message.</w:t>
      </w:r>
    </w:p>
    <w:p>
      <w:pPr>
        <w:pStyle w:val="ListNumber"/>
      </w:pPr>
      <w:r>
        <w:t>Save the displayed key immediately:</w:t>
      </w:r>
    </w:p>
    <w:p>
      <w:r>
        <w:t xml:space="preserve">   - Click </w:t>
      </w:r>
      <w:r>
        <w:rPr>
          <w:b/>
        </w:rPr>
        <w:t>Copy key</w:t>
      </w:r>
      <w:r>
        <w:t>, or</w:t>
      </w:r>
    </w:p>
    <w:p>
      <w:r>
        <w:t xml:space="preserve">   - Click </w:t>
      </w:r>
      <w:r>
        <w:rPr>
          <w:b/>
        </w:rPr>
        <w:t>Download key</w:t>
      </w:r>
      <w:r>
        <w:t>.</w:t>
      </w:r>
    </w:p>
    <w:p>
      <w:pPr>
        <w:pStyle w:val="ListNumber"/>
      </w:pPr>
      <w:r>
        <w:t>Store the key securely and separately from the anonymised file.</w:t>
      </w:r>
    </w:p>
    <w:p>
      <w:pPr>
        <w:pStyle w:val="ListNumber"/>
      </w:pPr>
      <w:r>
        <w:t>Download the anonymised output in the required format.</w:t>
      </w:r>
    </w:p>
    <w:p>
      <w:r>
        <w:t>The transformation preserves field length and character class while changing the selected values. Large files are processed in chunks.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nonymise-colum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Selected columns for anonymisation</w:t>
      </w:r>
    </w:p>
    <w:p>
      <w:pPr>
        <w:pStyle w:val="ScreenshotCaption"/>
      </w:pPr>
      <w:r>
        <w:rPr>
          <w:b/>
        </w:rPr>
        <w:t>Caption:</w:t>
      </w:r>
      <w:r>
        <w:t xml:space="preserve"> Selected columns and the Apply 4-round FPE anonymization button during processing.</w:t>
      </w:r>
    </w:p>
    <w:p>
      <w:r>
        <w:br w:type="page"/>
      </w:r>
    </w:p>
    <w:p>
      <w:pPr>
        <w:pStyle w:val="Heading1"/>
      </w:pPr>
      <w:r>
        <w:t>8. Review the anonymisation result</w:t>
      </w:r>
    </w:p>
    <w:p>
      <w:r>
        <w:t>After encryption is complete:</w:t>
      </w:r>
    </w:p>
    <w:p>
      <w:pPr>
        <w:pStyle w:val="ListNumber"/>
      </w:pPr>
      <w:r>
        <w:t>Review the anonymised preview.</w:t>
      </w:r>
    </w:p>
    <w:p>
      <w:pPr>
        <w:pStyle w:val="ListNumber"/>
      </w:pPr>
      <w:r>
        <w:t xml:space="preserve">Click </w:t>
      </w:r>
      <w:r>
        <w:rPr>
          <w:b/>
        </w:rPr>
        <w:t>View side by side</w:t>
      </w:r>
      <w:r>
        <w:t xml:space="preserve"> to compare the original and anonymised values.</w:t>
      </w:r>
    </w:p>
    <w:p>
      <w:pPr>
        <w:pStyle w:val="ListNumber"/>
      </w:pPr>
      <w:r>
        <w:t>Confirm that:</w:t>
      </w:r>
    </w:p>
    <w:p>
      <w:r>
        <w:t xml:space="preserve">   - The selected columns changed.</w:t>
      </w:r>
    </w:p>
    <w:p>
      <w:r>
        <w:t xml:space="preserve">   - Unselected columns were preserved.</w:t>
      </w:r>
    </w:p>
    <w:p>
      <w:r>
        <w:t xml:space="preserve">   - The number of records is unchanged.</w:t>
      </w:r>
    </w:p>
    <w:p>
      <w:r>
        <w:t xml:space="preserve">   - The output structure is correct.</w:t>
      </w:r>
    </w:p>
    <w:p>
      <w:pPr>
        <w:pStyle w:val="ListNumber"/>
      </w:pPr>
      <w:r>
        <w:t>Download the original CSV separately if a copy of the converted, non-anonymised data is required.</w:t>
      </w:r>
    </w:p>
    <w:p>
      <w:pPr>
        <w:pStyle w:val="ListNumber"/>
      </w:pPr>
      <w:r>
        <w:t>Download the anonymised file in the required format.</w:t>
      </w:r>
    </w:p>
    <w:p>
      <w:r>
        <w:t>Available export formats may include CSV, Excel, JSON, or other formats shown in the download panel.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nonymisation-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Anonymisation result</w:t>
      </w:r>
    </w:p>
    <w:p>
      <w:pPr>
        <w:pStyle w:val="ScreenshotCaption"/>
      </w:pPr>
      <w:r>
        <w:rPr>
          <w:b/>
        </w:rPr>
        <w:t>Caption:</w:t>
      </w:r>
      <w:r>
        <w:t xml:space="preserve"> Completed anonymisation showing the key panel, download options, and output controls.</w:t>
      </w:r>
    </w:p>
    <w:p>
      <w:r>
        <w:br w:type="page"/>
      </w:r>
    </w:p>
    <w:p>
      <w:pPr>
        <w:pStyle w:val="Heading1"/>
      </w:pPr>
      <w:r>
        <w:t>9. Decrypt an anonymised file using the normal workflow</w:t>
      </w:r>
    </w:p>
    <w:p>
      <w:r>
        <w:t>Use this process when the anonymised file is associated with an uploaded fixed-width data file.</w:t>
      </w:r>
    </w:p>
    <w:p>
      <w:pPr>
        <w:pStyle w:val="ListNumber"/>
      </w:pPr>
      <w:r>
        <w:t>Upload and confirm the matching layout.</w:t>
      </w:r>
    </w:p>
    <w:p>
      <w:pPr>
        <w:pStyle w:val="ListNumber"/>
      </w:pPr>
      <w:r>
        <w:t>Upload and assign the fixed-width data file.</w:t>
      </w:r>
    </w:p>
    <w:p>
      <w:pPr>
        <w:pStyle w:val="ListNumber"/>
      </w:pPr>
      <w:r>
        <w:t xml:space="preserve">Set the operation to </w:t>
      </w:r>
      <w:r>
        <w:rPr>
          <w:b/>
        </w:rPr>
        <w:t>Decrypt</w:t>
      </w:r>
      <w:r>
        <w:t>.</w:t>
      </w:r>
    </w:p>
    <w:p>
      <w:pPr>
        <w:pStyle w:val="ListNumber"/>
      </w:pPr>
      <w:r>
        <w:t>Enter the same key settings that were used during encryption.</w:t>
      </w:r>
    </w:p>
    <w:p>
      <w:pPr>
        <w:pStyle w:val="ListNumber"/>
      </w:pPr>
      <w:r>
        <w:t>Select the columns to decrypt.</w:t>
      </w:r>
    </w:p>
    <w:p>
      <w:pPr>
        <w:pStyle w:val="ListNumber"/>
      </w:pPr>
      <w:r>
        <w:t xml:space="preserve">Click </w:t>
      </w:r>
      <w:r>
        <w:rPr>
          <w:b/>
        </w:rPr>
        <w:t>Apply 4-round FPE decryption</w:t>
      </w:r>
      <w:r>
        <w:t>.</w:t>
      </w:r>
    </w:p>
    <w:p>
      <w:pPr>
        <w:pStyle w:val="ListNumber"/>
      </w:pPr>
      <w:r>
        <w:t>Wait until the process is complete.</w:t>
      </w:r>
    </w:p>
    <w:p>
      <w:pPr>
        <w:pStyle w:val="ListNumber"/>
      </w:pPr>
      <w:r>
        <w:t>Review the decrypted preview.</w:t>
      </w:r>
    </w:p>
    <w:p>
      <w:pPr>
        <w:pStyle w:val="ListNumber"/>
      </w:pPr>
      <w:r>
        <w:t>Download the restored CSV.</w:t>
      </w:r>
    </w:p>
    <w:p>
      <w:pPr>
        <w:pStyle w:val="ListNumber"/>
      </w:pPr>
      <w:r>
        <w:t xml:space="preserve">Use </w:t>
      </w:r>
      <w:r>
        <w:rPr>
          <w:b/>
        </w:rPr>
        <w:t>View side by side</w:t>
      </w:r>
      <w:r>
        <w:t xml:space="preserve"> to compare encrypted and decrypted values if required.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normal-decryp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Normal decryption workflow</w:t>
      </w:r>
    </w:p>
    <w:p>
      <w:pPr>
        <w:pStyle w:val="ScreenshotCaption"/>
      </w:pPr>
      <w:r>
        <w:rPr>
          <w:b/>
        </w:rPr>
        <w:t>Caption:</w:t>
      </w:r>
      <w:r>
        <w:t xml:space="preserve"> Decryption workflow showing the selected columns and the restored output.</w:t>
      </w:r>
    </w:p>
    <w:p>
      <w:r>
        <w:br w:type="page"/>
      </w:r>
    </w:p>
    <w:p>
      <w:pPr>
        <w:pStyle w:val="Heading1"/>
      </w:pPr>
      <w:r>
        <w:t>10. Decrypt a CSV directly without a layout file</w:t>
      </w:r>
    </w:p>
    <w:p>
      <w:r>
        <w:t>Use this option when an AIRAVATA DEA anonymised CSV is already available.</w:t>
      </w:r>
    </w:p>
    <w:p>
      <w:pPr>
        <w:pStyle w:val="ListNumber"/>
      </w:pPr>
      <w:r>
        <w:t xml:space="preserve">On the home page, click </w:t>
      </w:r>
      <w:r>
        <w:rPr>
          <w:b/>
        </w:rPr>
        <w:t>Decrypt a CSV directly</w:t>
      </w:r>
      <w:r>
        <w:t>.</w:t>
      </w:r>
    </w:p>
    <w:p>
      <w:pPr>
        <w:pStyle w:val="ListNumber"/>
      </w:pPr>
      <w:r>
        <w:t xml:space="preserve">In </w:t>
      </w:r>
      <w:r>
        <w:rPr>
          <w:b/>
        </w:rPr>
        <w:t>Direct CSV decryption</w:t>
      </w:r>
      <w:r>
        <w:t>, upload the anonymised CSV.</w:t>
      </w:r>
    </w:p>
    <w:p>
      <w:pPr>
        <w:pStyle w:val="ListNumber"/>
      </w:pPr>
      <w:r>
        <w:t>Enter the exact key settings used during encryption.</w:t>
      </w:r>
    </w:p>
    <w:p>
      <w:pPr>
        <w:pStyle w:val="ListNumber"/>
      </w:pPr>
      <w:r>
        <w:t>Select the columns to decrypt.</w:t>
      </w:r>
    </w:p>
    <w:p>
      <w:pPr>
        <w:pStyle w:val="ListNumber"/>
      </w:pPr>
      <w:r>
        <w:t xml:space="preserve">Click </w:t>
      </w:r>
      <w:r>
        <w:rPr>
          <w:b/>
        </w:rPr>
        <w:t>Apply 4-round FPE decryption</w:t>
      </w:r>
      <w:r>
        <w:t>.</w:t>
      </w:r>
    </w:p>
    <w:p>
      <w:pPr>
        <w:pStyle w:val="ListNumber"/>
      </w:pPr>
      <w:r>
        <w:t>Wait for the process to finish.</w:t>
      </w:r>
    </w:p>
    <w:p>
      <w:pPr>
        <w:pStyle w:val="ListNumber"/>
      </w:pPr>
      <w:r>
        <w:t>Confirm that the message says the original values were restored.</w:t>
      </w:r>
    </w:p>
    <w:p>
      <w:pPr>
        <w:pStyle w:val="ListNumber"/>
      </w:pPr>
      <w:r>
        <w:t xml:space="preserve">Click </w:t>
      </w:r>
      <w:r>
        <w:rPr>
          <w:b/>
        </w:rPr>
        <w:t>Download decrypted CSV</w:t>
      </w:r>
      <w:r>
        <w:t>.</w:t>
      </w:r>
    </w:p>
    <w:p>
      <w:pPr>
        <w:pStyle w:val="ListNumber"/>
      </w:pPr>
      <w:r>
        <w:t xml:space="preserve">Use </w:t>
      </w:r>
      <w:r>
        <w:rPr>
          <w:b/>
        </w:rPr>
        <w:t>View side by side</w:t>
      </w:r>
      <w:r>
        <w:t xml:space="preserve"> to compare encrypted and decrypted values.</w:t>
      </w:r>
    </w:p>
    <w:p>
      <w:r>
        <w:t xml:space="preserve">If the file was created with the legacy compact format, disable </w:t>
      </w:r>
      <w:r>
        <w:rPr>
          <w:b/>
        </w:rPr>
        <w:t>Strong whole-value diffusion</w:t>
      </w:r>
      <w:r>
        <w:t xml:space="preserve"> before decrypting.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key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Direct CSV decryption</w:t>
      </w:r>
    </w:p>
    <w:p>
      <w:pPr>
        <w:pStyle w:val="ScreenshotCaption"/>
      </w:pPr>
      <w:r>
        <w:rPr>
          <w:b/>
        </w:rPr>
        <w:t>Caption:</w:t>
      </w:r>
      <w:r>
        <w:t xml:space="preserve"> Direct CSV decryption panel showing the encrypted CSV and selected columns.</w:t>
      </w:r>
    </w:p>
    <w:p>
      <w:r>
        <w:br w:type="page"/>
      </w:r>
    </w:p>
    <w:p>
      <w:pPr>
        <w:pStyle w:val="Heading1"/>
      </w:pPr>
      <w:r>
        <w:t>11. Assess re-identification risk</w:t>
      </w:r>
    </w:p>
    <w:p>
      <w:r>
        <w:t>Use Risk Assessment to check how easily records can be identified from selected columns.</w:t>
      </w:r>
    </w:p>
    <w:p>
      <w:pPr>
        <w:pStyle w:val="Heading2"/>
      </w:pPr>
      <w:r>
        <w:t>Assess one file</w:t>
      </w:r>
    </w:p>
    <w:p>
      <w:pPr>
        <w:pStyle w:val="ListNumber"/>
      </w:pPr>
      <w:r>
        <w:t xml:space="preserve">From the top navigation, open </w:t>
      </w:r>
      <w:r>
        <w:rPr>
          <w:b/>
        </w:rPr>
        <w:t>Risk Assessment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Original File</w:t>
      </w:r>
      <w:r>
        <w:t xml:space="preserve"> or </w:t>
      </w:r>
      <w:r>
        <w:rPr>
          <w:b/>
        </w:rPr>
        <w:t>Anonymized File</w:t>
      </w:r>
      <w:r>
        <w:t>.</w:t>
      </w:r>
    </w:p>
    <w:p>
      <w:pPr>
        <w:pStyle w:val="ListNumber"/>
      </w:pPr>
      <w:r>
        <w:t>Upload the CSV file.</w:t>
      </w:r>
    </w:p>
    <w:p>
      <w:pPr>
        <w:pStyle w:val="ListNumber"/>
      </w:pPr>
      <w:r>
        <w:t xml:space="preserve">Select the </w:t>
      </w:r>
      <w:r>
        <w:rPr>
          <w:b/>
        </w:rPr>
        <w:t>Quasi-Identifiers</w:t>
      </w:r>
      <w:r>
        <w:t>:</w:t>
      </w:r>
    </w:p>
    <w:p>
      <w:r>
        <w:t xml:space="preserve">   - These are columns that may identify a person when combined.</w:t>
      </w:r>
    </w:p>
    <w:p>
      <w:pPr>
        <w:pStyle w:val="ListNumber"/>
      </w:pPr>
      <w:r>
        <w:t xml:space="preserve">Optionally select </w:t>
      </w:r>
      <w:r>
        <w:rPr>
          <w:b/>
        </w:rPr>
        <w:t>Sensitive Attributes</w:t>
      </w:r>
      <w:r>
        <w:t>:</w:t>
      </w:r>
    </w:p>
    <w:p>
      <w:r>
        <w:t xml:space="preserve">   - These are used for additional privacy checks.</w:t>
      </w:r>
    </w:p>
    <w:p>
      <w:pPr>
        <w:pStyle w:val="ListNumber"/>
      </w:pPr>
      <w:r>
        <w:t>Set the analysis parameters:</w:t>
      </w:r>
    </w:p>
    <w:p>
      <w:r>
        <w:t xml:space="preserve">   - </w:t>
      </w:r>
      <w:r>
        <w:rPr>
          <w:b/>
        </w:rPr>
        <w:t>k-Threshold</w:t>
      </w:r>
      <w:r>
        <w:t>: minimum desired equivalence-class size.</w:t>
      </w:r>
    </w:p>
    <w:p>
      <w:r>
        <w:t xml:space="preserve">   - </w:t>
      </w:r>
      <w:r>
        <w:rPr>
          <w:b/>
        </w:rPr>
        <w:t>l-Threshold</w:t>
      </w:r>
      <w:r>
        <w:t>: minimum distinct sensitive values.</w:t>
      </w:r>
    </w:p>
    <w:p>
      <w:r>
        <w:t xml:space="preserve">   - </w:t>
      </w:r>
      <w:r>
        <w:rPr>
          <w:b/>
        </w:rPr>
        <w:t>t-Threshold</w:t>
      </w:r>
      <w:r>
        <w:t>: maximum allowed distribution difference.</w:t>
      </w:r>
    </w:p>
    <w:p>
      <w:r>
        <w:t xml:space="preserve">   - </w:t>
      </w:r>
      <w:r>
        <w:rPr>
          <w:b/>
        </w:rPr>
        <w:t>Sample %</w:t>
      </w:r>
      <w:r>
        <w:t>: percentage of rows to analyse.</w:t>
      </w:r>
    </w:p>
    <w:p>
      <w:pPr>
        <w:pStyle w:val="ListNumber"/>
      </w:pPr>
      <w:r>
        <w:t xml:space="preserve">Click </w:t>
      </w:r>
      <w:r>
        <w:rPr>
          <w:b/>
        </w:rPr>
        <w:t>Run Prosecutor Attack</w:t>
      </w:r>
      <w:r>
        <w:t>.</w:t>
      </w:r>
    </w:p>
    <w:p>
      <w:pPr>
        <w:pStyle w:val="ListNumber"/>
      </w:pPr>
      <w:r>
        <w:t>Review the risk percentage and protection status.</w:t>
      </w:r>
    </w:p>
    <w:p>
      <w:pPr>
        <w:pStyle w:val="ListNumber"/>
      </w:pPr>
      <w:r>
        <w:t>Review:</w:t>
      </w:r>
    </w:p>
    <w:p>
      <w:r>
        <w:t xml:space="preserve">   - Unique records.</w:t>
      </w:r>
    </w:p>
    <w:p>
      <w:r>
        <w:t xml:space="preserve">   - Average equivalence-class size.</w:t>
      </w:r>
    </w:p>
    <w:p>
      <w:r>
        <w:t xml:space="preserve">   - Minimum k.</w:t>
      </w:r>
    </w:p>
    <w:p>
      <w:r>
        <w:t xml:space="preserve">   - Record-level attack trace.</w:t>
      </w:r>
    </w:p>
    <w:p>
      <w:pPr>
        <w:pStyle w:val="ListNumber"/>
      </w:pPr>
      <w:r>
        <w:t>Download the record-level CSV or the Word report if required.</w:t>
      </w:r>
    </w:p>
    <w:p>
      <w:pPr>
        <w:pStyle w:val="Heading2"/>
      </w:pPr>
      <w:r>
        <w:t>Compare original and anonymised files</w:t>
      </w:r>
    </w:p>
    <w:p>
      <w:pPr>
        <w:pStyle w:val="ListNumber"/>
      </w:pPr>
      <w:r>
        <w:t xml:space="preserve">Run the analysis for the </w:t>
      </w:r>
      <w:r>
        <w:rPr>
          <w:b/>
        </w:rPr>
        <w:t>Original File</w:t>
      </w:r>
      <w:r>
        <w:t>.</w:t>
      </w:r>
    </w:p>
    <w:p>
      <w:pPr>
        <w:pStyle w:val="ListNumber"/>
      </w:pPr>
      <w:r>
        <w:t xml:space="preserve">Run the analysis for the </w:t>
      </w:r>
      <w:r>
        <w:rPr>
          <w:b/>
        </w:rPr>
        <w:t>Anonymized File</w:t>
      </w:r>
      <w:r>
        <w:t>.</w:t>
      </w:r>
    </w:p>
    <w:p>
      <w:pPr>
        <w:pStyle w:val="ListNumber"/>
      </w:pPr>
      <w:r>
        <w:t xml:space="preserve">Open </w:t>
      </w:r>
      <w:r>
        <w:rPr>
          <w:b/>
        </w:rPr>
        <w:t>Comparison</w:t>
      </w:r>
      <w:r>
        <w:t>.</w:t>
      </w:r>
    </w:p>
    <w:p>
      <w:pPr>
        <w:pStyle w:val="ListNumber"/>
      </w:pPr>
      <w:r>
        <w:t>Compare the risk results for both files.</w:t>
      </w:r>
    </w:p>
    <w:p>
      <w:pPr>
        <w:pStyle w:val="ListNumber"/>
      </w:pPr>
      <w:r>
        <w:t>Review whether anonymisation reduced re-identification risk.</w:t>
      </w:r>
    </w:p>
    <w:p>
      <w:pPr>
        <w:pStyle w:val="ListNumber"/>
      </w:pPr>
      <w:r>
        <w:t>Download the required reports.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9319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Risk Assessment page</w:t>
      </w:r>
    </w:p>
    <w:p>
      <w:pPr>
        <w:pStyle w:val="ScreenshotCaption"/>
      </w:pPr>
      <w:r>
        <w:rPr>
          <w:b/>
        </w:rPr>
        <w:t>Caption:</w:t>
      </w:r>
      <w:r>
        <w:t xml:space="preserve"> Risk Assessment page showing file upload, quasi-identifier selection, sensitive-attribute selection, and analysis parameters.</w:t>
      </w:r>
    </w:p>
    <w:p>
      <w:r>
        <w:br w:type="page"/>
      </w:r>
    </w:p>
    <w:p>
      <w:pPr>
        <w:pStyle w:val="Heading1"/>
      </w:pPr>
      <w:r>
        <w:t>12. Interpret the risk result</w:t>
      </w:r>
    </w:p>
    <w:p>
      <w:pPr>
        <w:pStyle w:val="ListBullet"/>
      </w:pPr>
      <w:r>
        <w:rPr>
          <w:b/>
        </w:rPr>
        <w:t>Low risk</w:t>
      </w:r>
      <w:r>
        <w:t>: the selected quasi-identifiers form larger groups and fewer records are unique.</w:t>
      </w:r>
    </w:p>
    <w:p>
      <w:pPr>
        <w:pStyle w:val="ListBullet"/>
      </w:pPr>
      <w:r>
        <w:rPr>
          <w:b/>
        </w:rPr>
        <w:t>Medium risk</w:t>
      </w:r>
      <w:r>
        <w:t>: some records or groups may still be identifiable.</w:t>
      </w:r>
    </w:p>
    <w:p>
      <w:pPr>
        <w:pStyle w:val="ListBullet"/>
      </w:pPr>
      <w:r>
        <w:rPr>
          <w:b/>
        </w:rPr>
        <w:t>High risk</w:t>
      </w:r>
      <w:r>
        <w:t>: many records can potentially be identified from the selected quasi-identifiers.</w:t>
      </w:r>
    </w:p>
    <w:p>
      <w:pPr>
        <w:pStyle w:val="ListBullet"/>
      </w:pPr>
      <w:r>
        <w:rPr>
          <w:b/>
        </w:rPr>
        <w:t>Unique records</w:t>
      </w:r>
      <w:r>
        <w:t>: records whose selected quasi-identifier combination appears only once.</w:t>
      </w:r>
    </w:p>
    <w:p>
      <w:pPr>
        <w:pStyle w:val="ListBullet"/>
      </w:pPr>
      <w:r>
        <w:rPr>
          <w:b/>
        </w:rPr>
        <w:t>Minimum k</w:t>
      </w:r>
      <w:r>
        <w:t>: the size of the smallest group sharing the same quasi-identifier values.</w:t>
      </w:r>
    </w:p>
    <w:p>
      <w:r>
        <w:t>Risk assessment does not anonymise or decrypt files. It only analyses the uploaded dataset.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risk-assessment-resul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Risk Assessment results</w:t>
      </w:r>
    </w:p>
    <w:p>
      <w:pPr>
        <w:pStyle w:val="ScreenshotCaption"/>
      </w:pPr>
      <w:r>
        <w:rPr>
          <w:b/>
        </w:rPr>
        <w:t>Caption:</w:t>
      </w:r>
      <w:r>
        <w:t xml:space="preserve"> Dataset comparison showing original and anonymised values for reviewing privacy changes.</w:t>
      </w:r>
    </w:p>
    <w:p>
      <w:r>
        <w:br w:type="page"/>
      </w:r>
    </w:p>
    <w:p>
      <w:pPr>
        <w:pStyle w:val="Heading1"/>
      </w:pPr>
      <w:r>
        <w:t>13. Important key and file-handling rules</w:t>
      </w:r>
    </w:p>
    <w:p>
      <w:pPr>
        <w:pStyle w:val="ListNumber"/>
      </w:pPr>
      <w:r>
        <w:t>Keep the encryption key securely.</w:t>
      </w:r>
    </w:p>
    <w:p>
      <w:pPr>
        <w:pStyle w:val="ListNumber"/>
      </w:pPr>
      <w:r>
        <w:t>Do not rename or modify encrypted CSV contents before decryption.</w:t>
      </w:r>
    </w:p>
    <w:p>
      <w:pPr>
        <w:pStyle w:val="ListNumber"/>
      </w:pPr>
      <w:r>
        <w:t>Use the same column names and column selections used during encryption.</w:t>
      </w:r>
    </w:p>
    <w:p>
      <w:pPr>
        <w:pStyle w:val="ListNumber"/>
      </w:pPr>
      <w:r>
        <w:t>Use the same key mode and key settings during decryption.</w:t>
      </w:r>
    </w:p>
    <w:p>
      <w:pPr>
        <w:pStyle w:val="ListNumber"/>
      </w:pPr>
      <w:r>
        <w:t>Keep deterministic mode unchanged between encryption and decryption.</w:t>
      </w:r>
    </w:p>
    <w:p>
      <w:pPr>
        <w:pStyle w:val="ListNumber"/>
      </w:pPr>
      <w:r>
        <w:t>Keep the alphanumeric setting unchanged between encryption and decryption.</w:t>
      </w:r>
    </w:p>
    <w:p>
      <w:pPr>
        <w:pStyle w:val="ListNumber"/>
      </w:pPr>
      <w:r>
        <w:t>Keep strong whole-value diffusion enabled for new files.</w:t>
      </w:r>
    </w:p>
    <w:p>
      <w:pPr>
        <w:pStyle w:val="ListNumber"/>
      </w:pPr>
      <w:r>
        <w:t>Disable strong whole-value diffusion only when decrypting a compatible legacy file.</w:t>
      </w:r>
    </w:p>
    <w:p>
      <w:pPr>
        <w:pStyle w:val="ListNumber"/>
      </w:pPr>
      <w:r>
        <w:t>Keep the original data and anonymised data in separate locations.</w:t>
      </w:r>
    </w:p>
    <w:p>
      <w:pPr>
        <w:pStyle w:val="ListNumber"/>
      </w:pPr>
      <w:r>
        <w:t>Verify the output with a preview or side-by-side comparison before sharing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nonymisation-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Key and file handling</w:t>
      </w:r>
    </w:p>
    <w:p>
      <w:pPr>
        <w:pStyle w:val="ScreenshotCaption"/>
      </w:pPr>
      <w:r>
        <w:rPr>
          <w:b/>
        </w:rPr>
        <w:t>Caption:</w:t>
      </w:r>
      <w:r>
        <w:t xml:space="preserve"> Completed output showing the saved key controls and download options.</w:t>
      </w:r>
    </w:p>
    <w:p>
      <w:r>
        <w:br w:type="page"/>
      </w:r>
    </w:p>
    <w:p>
      <w:pPr>
        <w:pStyle w:val="Heading1"/>
      </w:pPr>
      <w:r>
        <w:t>14. Recommended complete workflow</w:t>
      </w:r>
    </w:p>
    <w:p>
      <w:pPr>
        <w:pStyle w:val="ListNumber"/>
      </w:pPr>
      <w:r>
        <w:t>Prepare the layout and fixed-width data files.</w:t>
      </w:r>
    </w:p>
    <w:p>
      <w:pPr>
        <w:pStyle w:val="ListNumber"/>
      </w:pPr>
      <w:r>
        <w:t>Upload and confirm the layout.</w:t>
      </w:r>
    </w:p>
    <w:p>
      <w:pPr>
        <w:pStyle w:val="ListNumber"/>
      </w:pPr>
      <w:r>
        <w:t>Upload the fixed-width data file.</w:t>
      </w:r>
    </w:p>
    <w:p>
      <w:pPr>
        <w:pStyle w:val="ListNumber"/>
      </w:pPr>
      <w:r>
        <w:t>Assign the correct layout.</w:t>
      </w:r>
    </w:p>
    <w:p>
      <w:pPr>
        <w:pStyle w:val="ListNumber"/>
      </w:pPr>
      <w:r>
        <w:t>Choose an output folder.</w:t>
      </w:r>
    </w:p>
    <w:p>
      <w:pPr>
        <w:pStyle w:val="ListNumber"/>
      </w:pPr>
      <w:r>
        <w:t>Configure and record the key settings.</w:t>
      </w:r>
    </w:p>
    <w:p>
      <w:pPr>
        <w:pStyle w:val="ListNumber"/>
      </w:pPr>
      <w:r>
        <w:t>Select only the columns that require anonymisation.</w:t>
      </w:r>
    </w:p>
    <w:p>
      <w:pPr>
        <w:pStyle w:val="ListNumber"/>
      </w:pPr>
      <w:r>
        <w:t>Run the 4-round FPE anonymisation.</w:t>
      </w:r>
    </w:p>
    <w:p>
      <w:pPr>
        <w:pStyle w:val="ListNumber"/>
      </w:pPr>
      <w:r>
        <w:t>Save the key securely.</w:t>
      </w:r>
    </w:p>
    <w:p>
      <w:pPr>
        <w:pStyle w:val="ListNumber"/>
      </w:pPr>
      <w:r>
        <w:t>Review the side-by-side comparison.</w:t>
      </w:r>
    </w:p>
    <w:p>
      <w:pPr>
        <w:pStyle w:val="ListNumber"/>
      </w:pPr>
      <w:r>
        <w:t>Download the anonymised output.</w:t>
      </w:r>
    </w:p>
    <w:p>
      <w:pPr>
        <w:pStyle w:val="ListNumber"/>
      </w:pPr>
      <w:r>
        <w:t>Run Risk Assessment on the original file.</w:t>
      </w:r>
    </w:p>
    <w:p>
      <w:pPr>
        <w:pStyle w:val="ListNumber"/>
      </w:pPr>
      <w:r>
        <w:t>Run Risk Assessment on the anonymised file.</w:t>
      </w:r>
    </w:p>
    <w:p>
      <w:pPr>
        <w:pStyle w:val="ListNumber"/>
      </w:pPr>
      <w:r>
        <w:t>Compare the two risk results.</w:t>
      </w:r>
    </w:p>
    <w:p>
      <w:pPr>
        <w:pStyle w:val="ListNumber"/>
      </w:pPr>
      <w:r>
        <w:t>Share only the verified output and the required report.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3175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nonymisation-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Complete workflow</w:t>
      </w:r>
    </w:p>
    <w:p>
      <w:pPr>
        <w:pStyle w:val="ScreenshotCaption"/>
      </w:pPr>
      <w:r>
        <w:rPr>
          <w:b/>
        </w:rPr>
        <w:t>Caption:</w:t>
      </w:r>
      <w:r>
        <w:t xml:space="preserve"> Final completed workflow showing the anonymised output and comparison view.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AIRAVATA DEA — Software Usage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A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D4ED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reenshotCaption">
    <w:name w:val="Screenshot Caption"/>
    <w:pPr>
      <w:spacing w:after="160"/>
    </w:pPr>
    <w:rPr>
      <w:rFonts w:ascii="Aptos" w:hAnsi="Aptos"/>
      <w:i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AIRAVATA DEA — Software Usage Steps</dc:title>
  <dc:subject>User guide for the AIRAVATA DEA application</dc:subject>
  <dc:creator>AIRAVATA DEA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