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0"/>
          <w:szCs w:val="40"/>
        </w:rPr>
        <w:t xml:space="preserve">WHAMO Water Hammer Network Designer</w:t>
      </w:r>
    </w:p>
    <w:p>
      <w:pPr>
        <w:spacing w:after="80"/>
        <w:jc w:val="center"/>
      </w:pPr>
      <w:r>
        <w:rPr>
          <w:rFonts w:ascii="Calibri" w:cs="Calibri" w:eastAsia="Calibri" w:hAnsi="Calibri"/>
          <w:color w:val="2E74B5"/>
          <w:sz w:val="28"/>
          <w:szCs w:val="28"/>
        </w:rPr>
        <w:t xml:space="preserve">Phase 1 Development — Project Status Report</w:t>
      </w:r>
    </w:p>
    <w:p>
      <w:pPr>
        <w:spacing w:after="400"/>
        <w:jc w:val="center"/>
      </w:pPr>
      <w:r>
        <w:rPr>
          <w:rFonts w:ascii="Calibri" w:cs="Calibri" w:eastAsia="Calibri" w:hAnsi="Calibri"/>
          <w:i/>
          <w:iCs/>
          <w:color w:val="595959"/>
          <w:sz w:val="22"/>
          <w:szCs w:val="22"/>
        </w:rPr>
        <w:t xml:space="preserve">June 2026</w:t>
      </w:r>
    </w:p>
    <w:p>
      <w:pPr>
        <w:pStyle w:val="Heading1"/>
        <w:spacing w:after="160" w:before="200"/>
      </w:pPr>
      <w:r>
        <w:t xml:space="preserve">1.  Overview</w:t>
      </w:r>
    </w:p>
    <w:p>
      <w:pPr>
        <w:spacing w:after="240"/>
      </w:pPr>
      <w:r>
        <w:rPr>
          <w:rFonts w:ascii="Calibri" w:cs="Calibri" w:eastAsia="Calibri" w:hAnsi="Calibri"/>
          <w:sz w:val="22"/>
          <w:szCs w:val="22"/>
        </w:rPr>
        <w:t xml:space="preserve">This report summarises the features delivered in Phase 1 of the WHAMO Water Hammer Network Designer. The application is a web-based visual tool that allows hydraulic engineers to design pipe networks graphically, configure element properties, run transient simulations and analyse the resulting output — all within a single browser-based interface. Phase 1 establishes the complete core workflow from network creation through to post-processing of simulation results.</w:t>
      </w:r>
    </w:p>
    <w:p>
      <w:pPr>
        <w:pStyle w:val="Heading1"/>
        <w:spacing w:after="160" w:before="200"/>
      </w:pPr>
      <w:r>
        <w:t xml:space="preserve">2.  Feature Summary</w:t>
      </w:r>
    </w:p>
    <w:p>
      <w:pPr>
        <w:pStyle w:val="Heading2"/>
        <w:spacing w:after="120" w:before="160"/>
      </w:pPr>
      <w:r>
        <w:t xml:space="preserve">2.1  Interactive Network Design Canvas</w:t>
      </w:r>
    </w:p>
    <w:p>
      <w:pPr>
        <w:spacing w:after="120"/>
      </w:pPr>
      <w:r>
        <w:rPr>
          <w:rFonts w:ascii="Calibri" w:cs="Calibri" w:eastAsia="Calibri" w:hAnsi="Calibri"/>
          <w:sz w:val="22"/>
          <w:szCs w:val="22"/>
        </w:rPr>
        <w:t xml:space="preserve">Engineers can build water distribution networks graphically using a drag-and-drop canvas. The following hydraulic element types are available for placement:</w:t>
      </w:r>
    </w:p>
    <w:p>
      <w:pPr>
        <w:pStyle w:val="ListParagraph"/>
        <w:numPr>
          <w:ilvl w:val="0"/>
          <w:numId w:val="1"/>
        </w:numPr>
        <w:spacing w:after="60"/>
      </w:pPr>
      <w:r>
        <w:rPr>
          <w:rFonts w:ascii="Calibri" w:cs="Calibri" w:eastAsia="Calibri" w:hAnsi="Calibri"/>
          <w:sz w:val="22"/>
          <w:szCs w:val="22"/>
        </w:rPr>
        <w:t xml:space="preserve">Reservoir (constant-head boundary)</w:t>
      </w:r>
    </w:p>
    <w:p>
      <w:pPr>
        <w:pStyle w:val="ListParagraph"/>
        <w:numPr>
          <w:ilvl w:val="0"/>
          <w:numId w:val="1"/>
        </w:numPr>
        <w:spacing w:after="60"/>
      </w:pPr>
      <w:r>
        <w:rPr>
          <w:rFonts w:ascii="Calibri" w:cs="Calibri" w:eastAsia="Calibri" w:hAnsi="Calibri"/>
          <w:sz w:val="22"/>
          <w:szCs w:val="22"/>
        </w:rPr>
        <w:t xml:space="preserve">Node (internal network point)</w:t>
      </w:r>
    </w:p>
    <w:p>
      <w:pPr>
        <w:pStyle w:val="ListParagraph"/>
        <w:numPr>
          <w:ilvl w:val="0"/>
          <w:numId w:val="1"/>
        </w:numPr>
        <w:spacing w:after="60"/>
      </w:pPr>
      <w:r>
        <w:rPr>
          <w:rFonts w:ascii="Calibri" w:cs="Calibri" w:eastAsia="Calibri" w:hAnsi="Calibri"/>
          <w:sz w:val="22"/>
          <w:szCs w:val="22"/>
        </w:rPr>
        <w:t xml:space="preserve">Junction (multi-pipe connection point)</w:t>
      </w:r>
    </w:p>
    <w:p>
      <w:pPr>
        <w:pStyle w:val="ListParagraph"/>
        <w:numPr>
          <w:ilvl w:val="0"/>
          <w:numId w:val="1"/>
        </w:numPr>
        <w:spacing w:after="60"/>
      </w:pPr>
      <w:r>
        <w:rPr>
          <w:rFonts w:ascii="Calibri" w:cs="Calibri" w:eastAsia="Calibri" w:hAnsi="Calibri"/>
          <w:sz w:val="22"/>
          <w:szCs w:val="22"/>
        </w:rPr>
        <w:t xml:space="preserve">Surge tank</w:t>
      </w:r>
    </w:p>
    <w:p>
      <w:pPr>
        <w:pStyle w:val="ListParagraph"/>
        <w:numPr>
          <w:ilvl w:val="0"/>
          <w:numId w:val="1"/>
        </w:numPr>
        <w:spacing w:after="60"/>
      </w:pPr>
      <w:r>
        <w:rPr>
          <w:rFonts w:ascii="Calibri" w:cs="Calibri" w:eastAsia="Calibri" w:hAnsi="Calibri"/>
          <w:sz w:val="22"/>
          <w:szCs w:val="22"/>
        </w:rPr>
        <w:t xml:space="preserve">Flow boundary condition</w:t>
      </w:r>
    </w:p>
    <w:p>
      <w:pPr>
        <w:pStyle w:val="ListParagraph"/>
        <w:numPr>
          <w:ilvl w:val="0"/>
          <w:numId w:val="1"/>
        </w:numPr>
        <w:spacing w:after="60"/>
      </w:pPr>
      <w:r>
        <w:rPr>
          <w:rFonts w:ascii="Calibri" w:cs="Calibri" w:eastAsia="Calibri" w:hAnsi="Calibri"/>
          <w:sz w:val="22"/>
          <w:szCs w:val="22"/>
        </w:rPr>
        <w:t xml:space="preserve">Turbine</w:t>
      </w:r>
    </w:p>
    <w:p>
      <w:pPr>
        <w:pStyle w:val="ListParagraph"/>
        <w:numPr>
          <w:ilvl w:val="0"/>
          <w:numId w:val="1"/>
        </w:numPr>
        <w:spacing w:after="60"/>
      </w:pPr>
      <w:r>
        <w:rPr>
          <w:rFonts w:ascii="Calibri" w:cs="Calibri" w:eastAsia="Calibri" w:hAnsi="Calibri"/>
          <w:sz w:val="22"/>
          <w:szCs w:val="22"/>
        </w:rPr>
        <w:t xml:space="preserve">Pump</w:t>
      </w:r>
    </w:p>
    <w:p>
      <w:pPr>
        <w:pStyle w:val="ListParagraph"/>
        <w:numPr>
          <w:ilvl w:val="0"/>
          <w:numId w:val="1"/>
        </w:numPr>
        <w:spacing w:after="60"/>
      </w:pPr>
      <w:r>
        <w:rPr>
          <w:rFonts w:ascii="Calibri" w:cs="Calibri" w:eastAsia="Calibri" w:hAnsi="Calibri"/>
          <w:sz w:val="22"/>
          <w:szCs w:val="22"/>
        </w:rPr>
        <w:t xml:space="preserve">Valve</w:t>
      </w:r>
    </w:p>
    <w:p>
      <w:pPr>
        <w:spacing w:after="240" w:before="120"/>
      </w:pPr>
      <w:r>
        <w:rPr>
          <w:rFonts w:ascii="Calibri" w:cs="Calibri" w:eastAsia="Calibri" w:hAnsi="Calibri"/>
          <w:sz w:val="22"/>
          <w:szCs w:val="22"/>
        </w:rPr>
        <w:t xml:space="preserve">Elements are connected by conduits (pipes). The canvas supports zooming, panning and selection of individual or multiple elements. An auto-arrange function lays the network out neatly with one click. Element labels and connection lines are displayed on the canvas to keep the diagram readable as networks grow in size.</w:t>
      </w:r>
    </w:p>
    <w:p>
      <w:pPr>
        <w:pStyle w:val="Heading2"/>
        <w:spacing w:after="120" w:before="160"/>
      </w:pPr>
      <w:r>
        <w:t xml:space="preserve">2.2  Element Properties Panel</w:t>
      </w:r>
    </w:p>
    <w:p>
      <w:pPr>
        <w:spacing w:after="240"/>
      </w:pPr>
      <w:r>
        <w:rPr>
          <w:rFonts w:ascii="Calibri" w:cs="Calibri" w:eastAsia="Calibri" w:hAnsi="Calibri"/>
          <w:sz w:val="22"/>
          <w:szCs w:val="22"/>
        </w:rPr>
        <w:t xml:space="preserve">Selecting any element on the canvas opens a properties panel on the right-hand side of the screen. The panel shows all configurable parameters relevant to that element type. For conduits these include pipe length, diameter, wave celerity and friction factor. For node-type elements the relevant head, pressure or flow parameters are displayed. All values can be edited directly in the panel and are reflected immediately in the network model. Units can be toggled between SI and FPS (US customary) for the entire network.</w:t>
      </w:r>
    </w:p>
    <w:p>
      <w:pPr>
        <w:pStyle w:val="Heading2"/>
        <w:spacing w:after="120" w:before="160"/>
      </w:pPr>
      <w:r>
        <w:t xml:space="preserve">2.3  Project Management</w:t>
      </w:r>
    </w:p>
    <w:p>
      <w:pPr>
        <w:spacing w:after="240"/>
      </w:pPr>
      <w:r>
        <w:rPr>
          <w:rFonts w:ascii="Calibri" w:cs="Calibri" w:eastAsia="Calibri" w:hAnsi="Calibri"/>
          <w:sz w:val="22"/>
          <w:szCs w:val="22"/>
        </w:rPr>
        <w:t xml:space="preserve">Networks are saved as named projects. Users can create multiple projects, switch between them, and continue work across sessions. Projects are stored server-side and associated with the logged-in user account, so no data is lost when the browser is closed. A project can be shared with other registered users by email address, allowing collaborative access to the same network model. Projects can be exported as a JSON file for local backup or transfer to another installation.</w:t>
      </w:r>
    </w:p>
    <w:p>
      <w:pPr>
        <w:pStyle w:val="Heading2"/>
        <w:spacing w:after="120" w:before="160"/>
      </w:pPr>
      <w:r>
        <w:t xml:space="preserve">2.4  WHAMO Simulation Engine Integration</w:t>
      </w:r>
    </w:p>
    <w:p>
      <w:pPr>
        <w:spacing w:after="240"/>
      </w:pPr>
      <w:r>
        <w:rPr>
          <w:rFonts w:ascii="Calibri" w:cs="Calibri" w:eastAsia="Calibri" w:hAnsi="Calibri"/>
          <w:sz w:val="22"/>
          <w:szCs w:val="22"/>
        </w:rPr>
        <w:t xml:space="preserve">The application generates a WHAMO-compatible input file (.inp) directly from the network drawn on the canvas and submits it to the WHAMO simulation engine. Engineers can specify simulation parameters — such as the time step, total simulation duration and the type of transient event — through a dedicated simulation settings dialog. Once a run is submitted the interface reports the current status and notifies the user when results are ready. All input file generation happens automatically; the user never needs to write or edit the text-format input file by hand.</w:t>
      </w:r>
    </w:p>
    <w:p>
      <w:pPr>
        <w:pStyle w:val="Heading2"/>
        <w:spacing w:after="120" w:before="160"/>
      </w:pPr>
      <w:r>
        <w:t xml:space="preserve">2.5  Output Request Configuration</w:t>
      </w:r>
    </w:p>
    <w:p>
      <w:pPr>
        <w:spacing w:after="240"/>
      </w:pPr>
      <w:r>
        <w:rPr>
          <w:rFonts w:ascii="Calibri" w:cs="Calibri" w:eastAsia="Calibri" w:hAnsi="Calibri"/>
          <w:sz w:val="22"/>
          <w:szCs w:val="22"/>
        </w:rPr>
        <w:t xml:space="preserve">Before running a simulation, engineers select which elements and variables should be recorded in the output. The output request panel lists every node and conduit in the network and allows individual selection of the quantities to monitor — for example hydraulic grade line, pressure head or flow rate at specific locations. These choices are embedded in the input file that is sent to WHAMO and determine what data is available for post-processing after the simulation completes.</w:t>
      </w:r>
    </w:p>
    <w:p>
      <w:pPr>
        <w:pStyle w:val="Heading2"/>
        <w:spacing w:after="120" w:before="160"/>
      </w:pPr>
      <w:r>
        <w:t xml:space="preserve">2.6  Results Visualisation</w:t>
      </w:r>
    </w:p>
    <w:p>
      <w:pPr>
        <w:spacing w:after="120"/>
      </w:pPr>
      <w:r>
        <w:rPr>
          <w:rFonts w:ascii="Calibri" w:cs="Calibri" w:eastAsia="Calibri" w:hAnsi="Calibri"/>
          <w:sz w:val="22"/>
          <w:szCs w:val="22"/>
        </w:rPr>
        <w:t xml:space="preserve">After a simulation, results can be reviewed through two graphical views:</w:t>
      </w:r>
    </w:p>
    <w:p>
      <w:pPr>
        <w:pStyle w:val="ListParagraph"/>
        <w:numPr>
          <w:ilvl w:val="0"/>
          <w:numId w:val="1"/>
        </w:numPr>
        <w:spacing w:after="80"/>
      </w:pPr>
      <w:r>
        <w:rPr>
          <w:rFonts w:ascii="Calibri" w:cs="Calibri" w:eastAsia="Calibri" w:hAnsi="Calibri"/>
          <w:sz w:val="22"/>
          <w:szCs w:val="22"/>
        </w:rPr>
        <w:t xml:space="preserve">Profile Graph — shows the hydraulic grade line (HGL) along a selected pipe profile at any time step, with animation controls to step through the transient event in sequence.</w:t>
      </w:r>
    </w:p>
    <w:p>
      <w:pPr>
        <w:pStyle w:val="ListParagraph"/>
        <w:numPr>
          <w:ilvl w:val="0"/>
          <w:numId w:val="1"/>
        </w:numPr>
        <w:spacing w:after="120"/>
      </w:pPr>
      <w:r>
        <w:rPr>
          <w:rFonts w:ascii="Calibri" w:cs="Calibri" w:eastAsia="Calibri" w:hAnsi="Calibri"/>
          <w:sz w:val="22"/>
          <w:szCs w:val="22"/>
        </w:rPr>
        <w:t xml:space="preserve">History Graph — plots a time-series of a selected variable (pressure head, flow rate, etc.) at one or more network locations over the full simulation duration.</w:t>
      </w:r>
    </w:p>
    <w:p>
      <w:pPr>
        <w:spacing w:after="240"/>
      </w:pPr>
      <w:r>
        <w:rPr>
          <w:rFonts w:ascii="Calibri" w:cs="Calibri" w:eastAsia="Calibri" w:hAnsi="Calibri"/>
          <w:sz w:val="22"/>
          <w:szCs w:val="22"/>
        </w:rPr>
        <w:t xml:space="preserve">Both views are interactive. Engineers can zoom, pan and adjust the display range. The output file (.OUT) is parsed entirely within the browser — no data is sent to an external server for visualisation.</w:t>
      </w:r>
    </w:p>
    <w:p>
      <w:pPr>
        <w:pStyle w:val="Heading2"/>
        <w:spacing w:after="120" w:before="160"/>
      </w:pPr>
      <w:r>
        <w:t xml:space="preserve">2.7  Flex Table and Excel Data Exchange</w:t>
      </w:r>
    </w:p>
    <w:p>
      <w:pPr>
        <w:spacing w:after="240"/>
      </w:pPr>
      <w:r>
        <w:rPr>
          <w:rFonts w:ascii="Calibri" w:cs="Calibri" w:eastAsia="Calibri" w:hAnsi="Calibri"/>
          <w:sz w:val="22"/>
          <w:szCs w:val="22"/>
        </w:rPr>
        <w:t xml:space="preserve">The Flex Table provides a spreadsheet-style view of all conduit and node properties across the network, allowing bulk review and editing without opening each element individually. Network data can also be exported to a multi-sheet Excel workbook covering conduits, nodes, output requests and other configuration groups. The same workbook format can be imported back into the application, enabling engineers to prepare or edit network data in Excel and load it directly into the designer.</w:t>
      </w:r>
    </w:p>
    <w:p>
      <w:pPr>
        <w:pStyle w:val="Heading1"/>
        <w:spacing w:after="160" w:before="200"/>
      </w:pPr>
      <w:r>
        <w:t xml:space="preserve">3.  User Accounts and Access Control</w:t>
      </w:r>
    </w:p>
    <w:p>
      <w:pPr>
        <w:spacing w:after="240"/>
      </w:pPr>
      <w:r>
        <w:rPr>
          <w:rFonts w:ascii="Calibri" w:cs="Calibri" w:eastAsia="Calibri" w:hAnsi="Calibri"/>
          <w:sz w:val="22"/>
          <w:szCs w:val="22"/>
        </w:rPr>
        <w:t xml:space="preserve">The application includes a secure login system. Each engineer has a personal account with a unique email address and password. A Master Administrator account has additional privileges: the Master Admin can create new user accounts, assign each user a role (Master Admin or Normal User), and control which sections of the application each Normal User can access. This allows access to sensitive functions — such as running simulations or exporting data — to be restricted on a per-user basis.</w:t>
      </w:r>
    </w:p>
    <w:p>
      <w:pPr>
        <w:pStyle w:val="Heading1"/>
        <w:spacing w:after="160" w:before="200"/>
      </w:pPr>
      <w:r>
        <w:t xml:space="preserve">4.  Current Project Status</w:t>
      </w:r>
    </w:p>
    <w:p>
      <w:pPr>
        <w:spacing w:after="240"/>
      </w:pPr>
      <w:r>
        <w:rPr>
          <w:rFonts w:ascii="Calibri" w:cs="Calibri" w:eastAsia="Calibri" w:hAnsi="Calibri"/>
          <w:sz w:val="22"/>
          <w:szCs w:val="22"/>
        </w:rPr>
        <w:t xml:space="preserve">All seven Phase 1 features described in this report are present in the current build of the application. The system is running on the Replit cloud platform and accessible through a web browser with no local installation required. The MongoDB database handles persistent storage of user accounts and project data.</w:t>
      </w:r>
    </w:p>
    <w:p>
      <w:pPr>
        <w:spacing w:after="400"/>
      </w:pPr>
      <w:r>
        <w:rPr>
          <w:rFonts w:ascii="Calibri" w:cs="Calibri" w:eastAsia="Calibri" w:hAnsi="Calibri"/>
          <w:sz w:val="22"/>
          <w:szCs w:val="22"/>
        </w:rPr>
        <w:t xml:space="preserve">Phase 2 planning is under way. Anticipated Phase 2 work includes advanced characteristic modelling blocks (turbine TCHAR and pump PCHAR curves), additional hydraulic element types, enhanced reporting and further user experience refinements based on engineer feedback.</w:t>
      </w:r>
    </w:p>
    <w:p>
      <w:pPr>
        <w:spacing w:before="200"/>
        <w:jc w:val="center"/>
      </w:pPr>
      <w:r>
        <w:rPr>
          <w:rFonts w:ascii="Calibri" w:cs="Calibri" w:eastAsia="Calibri" w:hAnsi="Calibri"/>
          <w:i/>
          <w:iCs/>
          <w:color w:val="808080"/>
          <w:sz w:val="18"/>
          <w:szCs w:val="18"/>
        </w:rPr>
        <w:t xml:space="preserve">This document is prepared for internal project status review. It describes functional features from the perspective of the engineering end-user and does not contain software implementation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2026-06-22T05:14:14.419Z</dcterms:created>
  <dcterms:modified xsi:type="dcterms:W3CDTF">2026-06-22T05:14:14.420Z</dcterms:modified>
</cp:coreProperties>
</file>

<file path=docProps/custom.xml><?xml version="1.0" encoding="utf-8"?>
<Properties xmlns="http://schemas.openxmlformats.org/officeDocument/2006/custom-properties" xmlns:vt="http://schemas.openxmlformats.org/officeDocument/2006/docPropsVTypes"/>
</file>