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Calibri" w:cs="Calibri" w:eastAsia="Calibri" w:hAnsi="Calibri"/>
          <w:b/>
          <w:bCs/>
          <w:color w:val="1F3864"/>
          <w:sz w:val="56"/>
          <w:szCs w:val="56"/>
        </w:rPr>
        <w:t xml:space="preserve">PCHAR Block</w:t>
      </w:r>
    </w:p>
    <w:p>
      <w:pPr>
        <w:spacing w:after="100" w:before="0"/>
        <w:jc w:val="center"/>
      </w:pPr>
      <w:r>
        <w:rPr>
          <w:rFonts w:ascii="Calibri" w:cs="Calibri" w:eastAsia="Calibri" w:hAnsi="Calibri"/>
          <w:i/>
          <w:iCs/>
          <w:color w:val="2E74B5"/>
          <w:sz w:val="32"/>
          <w:szCs w:val="32"/>
        </w:rPr>
        <w:t xml:space="preserve">Mathematical Derivation for Pump</w:t>
      </w:r>
    </w:p>
    <w:p>
      <w:pPr>
        <w:pBdr>
          <w:bottom w:val="single" w:color="2E74B5" w:sz="2" w:space="4"/>
        </w:pBdr>
        <w:spacing w:after="80" w:before="80"/>
      </w:pPr>
      <w:r>
        <w:t xml:space="preserve"/>
      </w:r>
    </w:p>
    <w:p>
      <w:pPr>
        <w:spacing w:after="40" w:before="80"/>
        <w:jc w:val="center"/>
      </w:pPr>
      <w:r>
        <w:rPr>
          <w:rFonts w:ascii="Calibri" w:cs="Calibri" w:eastAsia="Calibri" w:hAnsi="Calibri"/>
          <w:color w:val="444444"/>
          <w:sz w:val="24"/>
          <w:szCs w:val="24"/>
        </w:rPr>
        <w:t xml:space="preserve">WHAMO Water Hammer Network Designer</w:t>
      </w:r>
    </w:p>
    <w:p>
      <w:pPr>
        <w:spacing w:after="40" w:before="0"/>
        <w:jc w:val="center"/>
      </w:pPr>
      <w:r>
        <w:rPr>
          <w:rFonts w:ascii="Calibri" w:cs="Calibri" w:eastAsia="Calibri" w:hAnsi="Calibri"/>
          <w:i/>
          <w:iCs/>
          <w:color w:val="444444"/>
          <w:sz w:val="24"/>
          <w:szCs w:val="24"/>
        </w:rPr>
        <w:t xml:space="preserve">Hydraulic Transient Analysis Software</w:t>
      </w:r>
    </w:p>
    <w:p>
      <w:pPr>
        <w:spacing w:after="40" w:before="40"/>
        <w:jc w:val="center"/>
      </w:pPr>
      <w:r>
        <w:rPr>
          <w:rFonts w:ascii="Calibri" w:cs="Calibri" w:eastAsia="Calibri" w:hAnsi="Calibri"/>
          <w:color w:val="888888"/>
          <w:sz w:val="22"/>
          <w:szCs w:val="22"/>
        </w:rPr>
        <w:t xml:space="preserve">Version 1.0  •  June 2026</w:t>
      </w:r>
    </w:p>
    <w:p>
      <w:r>
        <w:t xml:space="preserve"/>
      </w:r>
    </w:p>
    <w:p>
      <w:r>
        <w:t xml:space="preserve"/>
      </w:r>
    </w:p>
    <w:p>
      <w:r>
        <w:t xml:space="preserve"/>
      </w:r>
    </w:p>
    <w:p>
      <w:r>
        <w:t xml:space="preserve"/>
      </w:r>
    </w:p>
    <w:p>
      <w:r>
        <w:br w:type="page"/>
      </w:r>
    </w:p>
    <w:p>
      <w:pPr>
        <w:pStyle w:val="Heading1"/>
        <w:spacing w:after="100" w:before="240"/>
      </w:pPr>
      <w:r>
        <w:rPr>
          <w:rFonts w:ascii="Calibri" w:cs="Calibri" w:eastAsia="Calibri" w:hAnsi="Calibri"/>
          <w:b/>
          <w:bCs/>
          <w:color w:val="1F3864"/>
          <w:sz w:val="32"/>
          <w:szCs w:val="32"/>
        </w:rPr>
        <w:t xml:space="preserve">1.  Introduction</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PCHAR (Pump Characteristics) block defines the four-quadrant performance data for a centrifugal or axial-flow pump in the WHAMO transient simulation engine. Unlike steady-state pump curves (which cover only the normal pumping quadrant), the PCHAR block uses Suter or Circular-format data to represent pump behaviour through all four operating quadrants: normal pumping, energy dissipation (turbining), normal turbining, and reverse pumping.</w:t>
      </w:r>
    </w:p>
    <w:p>
      <w:pPr>
        <w:spacing w:after="60" w:before="60"/>
      </w:pPr>
      <w:r>
        <w:rPr>
          <w:rFonts w:ascii="Calibri" w:cs="Calibri" w:eastAsia="Calibri" w:hAnsi="Calibri"/>
          <w:color w:val="1A1A1A"/>
          <w:sz w:val="22"/>
          <w:szCs w:val="22"/>
        </w:rPr>
        <w:t xml:space="preserve">This is essential for accurate water-hammer analysis because pump transients (power failure, runaway, valve closure) routinely drive the machine through all four quadrants. The PCHAR block stores dimensionless head-ratio (HRATIO), torque-ratio (TRATIO), speed-ratio (SRATIO), and flow-ratio (QRATIO) arrays that WHAMO uses at every computational time step to locate the current pump operating state.</w:t>
      </w:r>
    </w:p>
    <w:p>
      <w:r>
        <w:t xml:space="preserve"/>
      </w:r>
    </w:p>
    <w:p>
      <w:pPr>
        <w:pStyle w:val="Heading2"/>
        <w:spacing w:after="100" w:before="240"/>
      </w:pPr>
      <w:r>
        <w:rPr>
          <w:rFonts w:ascii="Calibri" w:cs="Calibri" w:eastAsia="Calibri" w:hAnsi="Calibri"/>
          <w:b/>
          <w:bCs/>
          <w:color w:val="1F3864"/>
          <w:sz w:val="26"/>
          <w:szCs w:val="26"/>
        </w:rPr>
        <w:t xml:space="preserve">2.  PCHAR Block Structure in .INP File</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complete PCHAR block syntax as written to the WHAMO .INP file is:</w:t>
      </w:r>
    </w:p>
    <w:p>
      <w:r>
        <w:t xml:space="preserve"/>
      </w:r>
    </w:p>
    <w:p>
      <w:pPr>
        <w:spacing w:after="40" w:before="40"/>
        <w:ind w:left="576"/>
      </w:pPr>
      <w:r>
        <w:rPr>
          <w:rFonts w:ascii="Courier New" w:cs="Courier New" w:eastAsia="Courier New" w:hAnsi="Courier New"/>
          <w:color w:val="1F3864"/>
          <w:sz w:val="20"/>
          <w:szCs w:val="20"/>
        </w:rPr>
        <w:t xml:space="preserve">PCHAR  TYPE  &lt;n&gt;</w:t>
      </w:r>
    </w:p>
    <w:p>
      <w:pPr>
        <w:spacing w:after="40" w:before="40"/>
        <w:ind w:left="576"/>
      </w:pPr>
      <w:r>
        <w:rPr>
          <w:rFonts w:ascii="Courier New" w:cs="Courier New" w:eastAsia="Courier New" w:hAnsi="Courier New"/>
          <w:color w:val="1F3864"/>
          <w:sz w:val="20"/>
          <w:szCs w:val="20"/>
        </w:rPr>
        <w:t xml:space="preserve">  SRATIO  &lt;s1&gt;  &lt;s2&gt;  ...  &lt;sp&gt;</w:t>
      </w:r>
    </w:p>
    <w:p>
      <w:pPr>
        <w:spacing w:after="40" w:before="40"/>
        <w:ind w:left="576"/>
      </w:pPr>
      <w:r>
        <w:rPr>
          <w:rFonts w:ascii="Courier New" w:cs="Courier New" w:eastAsia="Courier New" w:hAnsi="Courier New"/>
          <w:color w:val="1F3864"/>
          <w:sz w:val="20"/>
          <w:szCs w:val="20"/>
        </w:rPr>
        <w:t xml:space="preserve">  QRATIO  &lt;q1&gt;  &lt;q2&gt;  ...  &lt;qr&gt;</w:t>
      </w:r>
    </w:p>
    <w:p>
      <w:pPr>
        <w:spacing w:after="40" w:before="40"/>
        <w:ind w:left="576"/>
      </w:pPr>
      <w:r>
        <w:rPr>
          <w:rFonts w:ascii="Courier New" w:cs="Courier New" w:eastAsia="Courier New" w:hAnsi="Courier New"/>
          <w:color w:val="1F3864"/>
          <w:sz w:val="20"/>
          <w:szCs w:val="20"/>
        </w:rPr>
        <w:t xml:space="preserve">  HRATIO</w:t>
      </w:r>
    </w:p>
    <w:p>
      <w:pPr>
        <w:spacing w:after="40" w:before="40"/>
        <w:ind w:left="576"/>
      </w:pPr>
      <w:r>
        <w:rPr>
          <w:rFonts w:ascii="Courier New" w:cs="Courier New" w:eastAsia="Courier New" w:hAnsi="Courier New"/>
          <w:color w:val="1F3864"/>
          <w:sz w:val="20"/>
          <w:szCs w:val="20"/>
        </w:rPr>
        <w:t xml:space="preserve">    &lt;WH(s1,q1)&gt;  &lt;WH(s1,q2)&gt;  ...  &lt;WH(s1,qr)&gt;</w:t>
      </w:r>
    </w:p>
    <w:p>
      <w:pPr>
        <w:spacing w:after="40" w:before="40"/>
        <w:ind w:left="576"/>
      </w:pPr>
      <w:r>
        <w:rPr>
          <w:rFonts w:ascii="Courier New" w:cs="Courier New" w:eastAsia="Courier New" w:hAnsi="Courier New"/>
          <w:color w:val="1F3864"/>
          <w:sz w:val="20"/>
          <w:szCs w:val="20"/>
        </w:rPr>
        <w:t xml:space="preserve">    &lt;WH(s2,q1)&gt;  ...</w:t>
      </w:r>
    </w:p>
    <w:p>
      <w:pPr>
        <w:spacing w:after="40" w:before="40"/>
        <w:ind w:left="576"/>
      </w:pPr>
      <w:r>
        <w:rPr>
          <w:rFonts w:ascii="Courier New" w:cs="Courier New" w:eastAsia="Courier New" w:hAnsi="Courier New"/>
          <w:color w:val="1F3864"/>
          <w:sz w:val="20"/>
          <w:szCs w:val="20"/>
        </w:rPr>
        <w:t xml:space="preserve">    ...</w:t>
      </w:r>
    </w:p>
    <w:p>
      <w:pPr>
        <w:spacing w:after="40" w:before="40"/>
        <w:ind w:left="576"/>
      </w:pPr>
      <w:r>
        <w:rPr>
          <w:rFonts w:ascii="Courier New" w:cs="Courier New" w:eastAsia="Courier New" w:hAnsi="Courier New"/>
          <w:color w:val="1F3864"/>
          <w:sz w:val="20"/>
          <w:szCs w:val="20"/>
        </w:rPr>
        <w:t xml:space="preserve">  TRATIO</w:t>
      </w:r>
    </w:p>
    <w:p>
      <w:pPr>
        <w:spacing w:after="40" w:before="40"/>
        <w:ind w:left="576"/>
      </w:pPr>
      <w:r>
        <w:rPr>
          <w:rFonts w:ascii="Courier New" w:cs="Courier New" w:eastAsia="Courier New" w:hAnsi="Courier New"/>
          <w:color w:val="1F3864"/>
          <w:sz w:val="20"/>
          <w:szCs w:val="20"/>
        </w:rPr>
        <w:t xml:space="preserve">    &lt;WB(s1,q1)&gt;  &lt;WB(s1,q2)&gt;  ...</w:t>
      </w:r>
    </w:p>
    <w:p>
      <w:pPr>
        <w:spacing w:after="40" w:before="40"/>
        <w:ind w:left="576"/>
      </w:pPr>
      <w:r>
        <w:rPr>
          <w:rFonts w:ascii="Courier New" w:cs="Courier New" w:eastAsia="Courier New" w:hAnsi="Courier New"/>
          <w:color w:val="1F3864"/>
          <w:sz w:val="20"/>
          <w:szCs w:val="20"/>
        </w:rPr>
        <w:t xml:space="preserve">    ...</w:t>
      </w:r>
    </w:p>
    <w:p>
      <w:pPr>
        <w:spacing w:after="40" w:before="40"/>
        <w:ind w:left="576"/>
      </w:pPr>
      <w:r>
        <w:rPr>
          <w:rFonts w:ascii="Courier New" w:cs="Courier New" w:eastAsia="Courier New" w:hAnsi="Courier New"/>
          <w:color w:val="1F3864"/>
          <w:sz w:val="20"/>
          <w:szCs w:val="20"/>
        </w:rPr>
        <w:t xml:space="preserve">FINISH</w:t>
      </w:r>
    </w:p>
    <w:p>
      <w:r>
        <w:t xml:space="preserve"/>
      </w:r>
    </w:p>
    <w:p>
      <w:pPr>
        <w:spacing w:after="60" w:before="60"/>
      </w:pPr>
      <w:r>
        <w:rPr>
          <w:rFonts w:ascii="Calibri" w:cs="Calibri" w:eastAsia="Calibri" w:hAnsi="Calibri"/>
          <w:color w:val="1A1A1A"/>
          <w:sz w:val="22"/>
          <w:szCs w:val="22"/>
        </w:rPr>
        <w:t xml:space="preserve">Where:</w:t>
      </w:r>
    </w:p>
    <w:p>
      <w:pPr>
        <w:spacing w:after="40" w:before="40"/>
      </w:pPr>
      <w:r>
        <w:rPr>
          <w:rFonts w:ascii="Calibri" w:cs="Calibri" w:eastAsia="Calibri" w:hAnsi="Calibri"/>
          <w:b/>
          <w:bCs/>
          <w:color w:val="1F3864"/>
          <w:sz w:val="22"/>
          <w:szCs w:val="22"/>
        </w:rPr>
        <w:t xml:space="preserve">n</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Integer type identifier linking to a PUMP block (TYPE keyword).</w:t>
      </w:r>
    </w:p>
    <w:p>
      <w:pPr>
        <w:spacing w:after="40" w:before="40"/>
      </w:pPr>
      <w:r>
        <w:rPr>
          <w:rFonts w:ascii="Calibri" w:cs="Calibri" w:eastAsia="Calibri" w:hAnsi="Calibri"/>
          <w:b/>
          <w:bCs/>
          <w:color w:val="1F3864"/>
          <w:sz w:val="22"/>
          <w:szCs w:val="22"/>
        </w:rPr>
        <w:t xml:space="preserve">SRATIO</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1-D array of p speed ratios α = N/N_rated. Covers the full range from reverse to runaway speed.</w:t>
      </w:r>
    </w:p>
    <w:p>
      <w:pPr>
        <w:spacing w:after="40" w:before="40"/>
      </w:pPr>
      <w:r>
        <w:rPr>
          <w:rFonts w:ascii="Calibri" w:cs="Calibri" w:eastAsia="Calibri" w:hAnsi="Calibri"/>
          <w:b/>
          <w:bCs/>
          <w:color w:val="1F3864"/>
          <w:sz w:val="22"/>
          <w:szCs w:val="22"/>
        </w:rPr>
        <w:t xml:space="preserve">QRATIO</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1-D array of r flow ratios β = Q/Q_rated. Covers the full four-quadrant flow range.</w:t>
      </w:r>
    </w:p>
    <w:p>
      <w:pPr>
        <w:spacing w:after="40" w:before="40"/>
      </w:pPr>
      <w:r>
        <w:rPr>
          <w:rFonts w:ascii="Calibri" w:cs="Calibri" w:eastAsia="Calibri" w:hAnsi="Calibri"/>
          <w:b/>
          <w:bCs/>
          <w:color w:val="1F3864"/>
          <w:sz w:val="22"/>
          <w:szCs w:val="22"/>
        </w:rPr>
        <w:t xml:space="preserve">HRATIO (WH)</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p × r matrix of dimensionless head function WH(α, β). WH = H / (N²+Q²) · sign.</w:t>
      </w:r>
    </w:p>
    <w:p>
      <w:pPr>
        <w:spacing w:after="40" w:before="40"/>
      </w:pPr>
      <w:r>
        <w:rPr>
          <w:rFonts w:ascii="Calibri" w:cs="Calibri" w:eastAsia="Calibri" w:hAnsi="Calibri"/>
          <w:b/>
          <w:bCs/>
          <w:color w:val="1F3864"/>
          <w:sz w:val="22"/>
          <w:szCs w:val="22"/>
        </w:rPr>
        <w:t xml:space="preserve">TRATIO (WB)</w:t>
      </w:r>
      <w:r>
        <w:rPr>
          <w:rFonts w:ascii="Calibri" w:cs="Calibri" w:eastAsia="Calibri" w:hAnsi="Calibri"/>
          <w:color w:val="1A1A1A"/>
          <w:sz w:val="22"/>
          <w:szCs w:val="22"/>
        </w:rPr>
        <w:t xml:space="preserve"> — </w:t>
      </w:r>
      <w:r>
        <w:rPr>
          <w:rFonts w:ascii="Calibri" w:cs="Calibri" w:eastAsia="Calibri" w:hAnsi="Calibri"/>
          <w:color w:val="1A1A1A"/>
          <w:sz w:val="22"/>
          <w:szCs w:val="22"/>
        </w:rPr>
        <w:t xml:space="preserve">1-D flat array of dimensionless torque function WB(α, β) values, written row-by-row (8 values per line).</w:t>
      </w:r>
    </w:p>
    <w:p>
      <w:r>
        <w:t xml:space="preserve"/>
      </w:r>
    </w:p>
    <w:p>
      <w:pPr>
        <w:pStyle w:val="Heading1"/>
        <w:spacing w:after="100" w:before="240"/>
      </w:pPr>
      <w:r>
        <w:rPr>
          <w:rFonts w:ascii="Calibri" w:cs="Calibri" w:eastAsia="Calibri" w:hAnsi="Calibri"/>
          <w:b/>
          <w:bCs/>
          <w:color w:val="1F3864"/>
          <w:sz w:val="32"/>
          <w:szCs w:val="32"/>
        </w:rPr>
        <w:t xml:space="preserve">3.  Complete Pump Element Variables</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following table lists every variable associated with the PUMP block and PCHAR block in WHAMO Designer:</w:t>
      </w:r>
    </w:p>
    <w:p>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INP Keyword</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Units (SI / FPS)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Description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label / ID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Unique alphanumeric identifier for the pump element.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pumpType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TYPE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PCHAR type number. Links pump element to its four-quadrant characteristic table.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rq</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RQ</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m³/s / ft³/s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(design-point) volumetric flow rate at best efficiency point (BEP).</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rhead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RHEAD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 / 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(design-point) total head at BEP. Used as reference for all HRATIO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rspeed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RSPEED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synchronous rotational speed at BEP. Used as reference for SRATIO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rtorque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RTORQUE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N·m / lb·ft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shaft torque at BEP. Used as reference for TRATIO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kg·m² / lb·ft²</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Flywheel effect (moment of inertia × g) of pump + motor unit. Controls speed transient after power failure.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pumpStatus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OPPUMP / omit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ACTIVE: writes OPPUMP block to start pump. INACTIVE: pump element not started in simulation.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comment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 (line prefix)</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Optional free-text comment written as a comment line above the block.</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 / FPS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 system for this element. Controls automatic unit conversion on export.</w:t>
            </w:r>
          </w:p>
        </w:tc>
      </w:tr>
    </w:tbl>
    <w:p>
      <w:r>
        <w:t xml:space="preserve"/>
      </w:r>
    </w:p>
    <w:p>
      <w:r>
        <w:t xml:space="preserve"/>
      </w:r>
    </w:p>
    <w:p>
      <w:pPr>
        <w:pStyle w:val="Heading1"/>
        <w:spacing w:after="100" w:before="240"/>
      </w:pPr>
      <w:r>
        <w:rPr>
          <w:rFonts w:ascii="Calibri" w:cs="Calibri" w:eastAsia="Calibri" w:hAnsi="Calibri"/>
          <w:b/>
          <w:bCs/>
          <w:color w:val="1F3864"/>
          <w:sz w:val="32"/>
          <w:szCs w:val="32"/>
        </w:rPr>
        <w:t xml:space="preserve">4.  PCHAR Data Sub-Variables</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The following variables are stored globally per PCHAR TYPE and are shared across all pump elements of the same type:</w:t>
      </w:r>
    </w:p>
    <w:p>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Sub-Variable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INP Keyword</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Dimensions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Description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SRATIO</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 × p array</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Speed ratio α = N/N_rated. Ranges from large negative (reverse runaway) through 0 to positive runaway. Typically p = 8–16 points.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QRATIO</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 × r array</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Flow ratio β = Q/Q_rated. Covers all four quadrants: large negative (reverse) to large positive (runaway flow). Typically r = 8–16 points.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hratio[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HRATIO</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 × r matrix</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 Suter head function WH(α, β). Encodes the head characteristic across all quadrants. WH = h / (α² + β²) where h = H/H_rated.</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TRATIO</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 × r flat array</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 Suter torque function WB(α, β). Encodes shaft torque across all quadrants. WB = b / (α² + β²) where b = T/T_rated. Written as a flat array, 8 values per line in the INP file.</w:t>
            </w:r>
          </w:p>
        </w:tc>
      </w:tr>
    </w:tbl>
    <w:p>
      <w:r>
        <w:t xml:space="preserve"/>
      </w:r>
    </w:p>
    <w:p>
      <w:r>
        <w:t xml:space="preserve"/>
      </w:r>
    </w:p>
    <w:p>
      <w:pPr>
        <w:pStyle w:val="Heading1"/>
        <w:spacing w:after="100" w:before="240"/>
      </w:pPr>
      <w:r>
        <w:rPr>
          <w:rFonts w:ascii="Calibri" w:cs="Calibri" w:eastAsia="Calibri" w:hAnsi="Calibri"/>
          <w:b/>
          <w:bCs/>
          <w:color w:val="1F3864"/>
          <w:sz w:val="32"/>
          <w:szCs w:val="32"/>
        </w:rPr>
        <w:t xml:space="preserve">5.  Mathematical Derivation</w:t>
      </w:r>
    </w:p>
    <w:p>
      <w:pPr>
        <w:pBdr>
          <w:bottom w:val="single" w:color="2E74B5" w:sz="2" w:space="4"/>
        </w:pBdr>
        <w:spacing w:after="80" w:before="80"/>
      </w:pPr>
      <w:r>
        <w:t xml:space="preserve"/>
      </w:r>
    </w:p>
    <w:p>
      <w:pPr>
        <w:pStyle w:val="Heading2"/>
        <w:spacing w:after="100" w:before="240"/>
      </w:pPr>
      <w:r>
        <w:rPr>
          <w:rFonts w:ascii="Calibri" w:cs="Calibri" w:eastAsia="Calibri" w:hAnsi="Calibri"/>
          <w:b/>
          <w:bCs/>
          <w:color w:val="1F3864"/>
          <w:sz w:val="26"/>
          <w:szCs w:val="26"/>
        </w:rPr>
        <w:t xml:space="preserve">5.1  Four-Quadrant Pump Performance</w:t>
      </w:r>
    </w:p>
    <w:p>
      <w:pPr>
        <w:spacing w:after="60" w:before="60"/>
      </w:pPr>
      <w:r>
        <w:rPr>
          <w:rFonts w:ascii="Calibri" w:cs="Calibri" w:eastAsia="Calibri" w:hAnsi="Calibri"/>
          <w:color w:val="1A1A1A"/>
          <w:sz w:val="22"/>
          <w:szCs w:val="22"/>
        </w:rPr>
        <w:t xml:space="preserve">Conventional pump curves only describe normal operation (positive flow, positive speed, positive head). Transient analysis requires the full four-quadrant representation:</w:t>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Quadrant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Speed N</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Flow Q</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Torque 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Physical Event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 (Normal Pumping)</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Normal pumping, steady-state operation.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II (Energy Dissipation)</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Valve closure against flow; pump resists reverse flow.</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III (Normal Turbining)</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Reverse flow drives pump as turbine in reverse direction.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IV (Reverse Pumping)</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(fwd)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(rev)</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 runs in reverse while flow remains forward.</w:t>
            </w:r>
          </w:p>
        </w:tc>
      </w:tr>
    </w:tbl>
    <w:p>
      <w:r>
        <w:t xml:space="preserve"/>
      </w:r>
    </w:p>
    <w:p>
      <w:pPr>
        <w:pStyle w:val="Heading2"/>
        <w:spacing w:after="100" w:before="240"/>
      </w:pPr>
      <w:r>
        <w:rPr>
          <w:rFonts w:ascii="Calibri" w:cs="Calibri" w:eastAsia="Calibri" w:hAnsi="Calibri"/>
          <w:b/>
          <w:bCs/>
          <w:color w:val="1F3864"/>
          <w:sz w:val="26"/>
          <w:szCs w:val="26"/>
        </w:rPr>
        <w:t xml:space="preserve">5.2  Equation of Motion — Pump-Motor Unit</w:t>
      </w:r>
    </w:p>
    <w:p>
      <w:pPr>
        <w:spacing w:after="60" w:before="60"/>
      </w:pPr>
      <w:r>
        <w:rPr>
          <w:rFonts w:ascii="Calibri" w:cs="Calibri" w:eastAsia="Calibri" w:hAnsi="Calibri"/>
          <w:color w:val="1A1A1A"/>
          <w:sz w:val="22"/>
          <w:szCs w:val="22"/>
        </w:rPr>
        <w:t xml:space="preserve">On loss of power, the decelerating pump-motor behaves according to the angular momentum equation:</w:t>
      </w:r>
    </w:p>
    <w:p>
      <w:pPr>
        <w:spacing w:after="120" w:before="120"/>
        <w:jc w:val="center"/>
      </w:pPr>
      <w:r>
        <w:rPr>
          <w:rFonts w:ascii="Cambria Math" w:cs="Cambria Math" w:eastAsia="Cambria Math" w:hAnsi="Cambria Math"/>
          <w:b/>
          <w:bCs/>
          <w:i/>
          <w:iCs/>
          <w:color w:val="1F3864"/>
          <w:sz w:val="24"/>
          <w:szCs w:val="24"/>
        </w:rPr>
        <w:t xml:space="preserve">I · (dω/dt)  =  T_pump(α, β)  −  T_motor  −  T_friction</w:t>
      </w:r>
    </w:p>
    <w:p>
      <w:pPr>
        <w:spacing w:after="60" w:before="60"/>
      </w:pPr>
      <w:r>
        <w:rPr>
          <w:rFonts w:ascii="Calibri" w:cs="Calibri" w:eastAsia="Calibri" w:hAnsi="Calibri"/>
          <w:color w:val="1A1A1A"/>
          <w:sz w:val="22"/>
          <w:szCs w:val="22"/>
        </w:rPr>
        <w:t xml:space="preserve">On power failure T_motor = 0 and the pump decelerates under its own hydraulic braking torque until reaching runaway or reverse speed. Using WR² = I × g:</w:t>
      </w:r>
    </w:p>
    <w:p>
      <w:pPr>
        <w:spacing w:after="120" w:before="120"/>
        <w:jc w:val="center"/>
      </w:pPr>
      <w:r>
        <w:rPr>
          <w:rFonts w:ascii="Cambria Math" w:cs="Cambria Math" w:eastAsia="Cambria Math" w:hAnsi="Cambria Math"/>
          <w:b/>
          <w:bCs/>
          <w:i/>
          <w:iCs/>
          <w:color w:val="1F3864"/>
          <w:sz w:val="24"/>
          <w:szCs w:val="24"/>
        </w:rPr>
        <w:t xml:space="preserve">(WR²/g) · (dN/dt)  =  [WB(α, β) · (α² + β²) · T_rated]  −  T_friction</w:t>
      </w:r>
    </w:p>
    <w:p>
      <w:r>
        <w:t xml:space="preserve"/>
      </w:r>
    </w:p>
    <w:p>
      <w:pPr>
        <w:pStyle w:val="Heading2"/>
        <w:spacing w:after="100" w:before="240"/>
      </w:pPr>
      <w:r>
        <w:rPr>
          <w:rFonts w:ascii="Calibri" w:cs="Calibri" w:eastAsia="Calibri" w:hAnsi="Calibri"/>
          <w:b/>
          <w:bCs/>
          <w:color w:val="1F3864"/>
          <w:sz w:val="26"/>
          <w:szCs w:val="26"/>
        </w:rPr>
        <w:t xml:space="preserve">5.3  Suter Transformation (Circular Format)</w:t>
      </w:r>
    </w:p>
    <w:p>
      <w:pPr>
        <w:spacing w:after="60" w:before="60"/>
      </w:pPr>
      <w:r>
        <w:rPr>
          <w:rFonts w:ascii="Calibri" w:cs="Calibri" w:eastAsia="Calibri" w:hAnsi="Calibri"/>
          <w:color w:val="1A1A1A"/>
          <w:sz w:val="22"/>
          <w:szCs w:val="22"/>
        </w:rPr>
        <w:t xml:space="preserve">The Suter transformation converts the four-quadrant pump data from (H, T, N, Q) space into a single pair of continuous periodic functions WH and WB defined on the angle θ ∈ [0, 2π]:</w:t>
      </w:r>
    </w:p>
    <w:p>
      <w:pPr>
        <w:spacing w:after="120" w:before="120"/>
        <w:jc w:val="center"/>
      </w:pPr>
      <w:r>
        <w:rPr>
          <w:rFonts w:ascii="Cambria Math" w:cs="Cambria Math" w:eastAsia="Cambria Math" w:hAnsi="Cambria Math"/>
          <w:b/>
          <w:bCs/>
          <w:i/>
          <w:iCs/>
          <w:color w:val="1F3864"/>
          <w:sz w:val="24"/>
          <w:szCs w:val="24"/>
        </w:rPr>
        <w:t xml:space="preserve">θ  =  arctan( β / α )  =  arctan( Q/Q_r  /  N/N_r )</w:t>
      </w:r>
    </w:p>
    <w:p>
      <w:pPr>
        <w:spacing w:after="120" w:before="120"/>
        <w:jc w:val="center"/>
      </w:pPr>
      <w:r>
        <w:rPr>
          <w:rFonts w:ascii="Cambria Math" w:cs="Cambria Math" w:eastAsia="Cambria Math" w:hAnsi="Cambria Math"/>
          <w:b/>
          <w:bCs/>
          <w:i/>
          <w:iCs/>
          <w:color w:val="1F3864"/>
          <w:sz w:val="24"/>
          <w:szCs w:val="24"/>
        </w:rPr>
        <w:t xml:space="preserve">WH(θ)  =  h / (α² + β²)       where  h = H / H_r</w:t>
      </w:r>
    </w:p>
    <w:p>
      <w:pPr>
        <w:spacing w:after="120" w:before="120"/>
        <w:jc w:val="center"/>
      </w:pPr>
      <w:r>
        <w:rPr>
          <w:rFonts w:ascii="Cambria Math" w:cs="Cambria Math" w:eastAsia="Cambria Math" w:hAnsi="Cambria Math"/>
          <w:b/>
          <w:bCs/>
          <w:i/>
          <w:iCs/>
          <w:color w:val="1F3864"/>
          <w:sz w:val="24"/>
          <w:szCs w:val="24"/>
        </w:rPr>
        <w:t xml:space="preserve">WB(θ)  =  b / (α² + β²)       where  b = T / T_r</w:t>
      </w:r>
    </w:p>
    <w:p>
      <w:pPr>
        <w:spacing w:after="60" w:before="60"/>
      </w:pPr>
      <w:r>
        <w:rPr>
          <w:rFonts w:ascii="Calibri" w:cs="Calibri" w:eastAsia="Calibri" w:hAnsi="Calibri"/>
          <w:color w:val="1A1A1A"/>
          <w:sz w:val="22"/>
          <w:szCs w:val="22"/>
        </w:rPr>
        <w:t xml:space="preserve">This ensures the head and torque functions are smooth, single-valued and periodic, enabling WHAMO to interpolate the pump state at any point in (N, Q) space without branch discontinuities.</w:t>
      </w:r>
    </w:p>
    <w:p>
      <w:pPr>
        <w:spacing w:after="60" w:before="60"/>
      </w:pPr>
      <w:r>
        <w:rPr>
          <w:rFonts w:ascii="Calibri" w:cs="Calibri" w:eastAsia="Calibri" w:hAnsi="Calibri"/>
          <w:color w:val="1A1A1A"/>
          <w:sz w:val="22"/>
          <w:szCs w:val="22"/>
        </w:rPr>
        <w:t xml:space="preserve">At the rated (BEP) point: α = 1, β = 1, θ = π/4 → WH(π/4) = h_r/2, WB(π/4) = b_r/2.</w:t>
      </w:r>
    </w:p>
    <w:p>
      <w:r>
        <w:t xml:space="preserve"/>
      </w:r>
    </w:p>
    <w:p>
      <w:pPr>
        <w:pStyle w:val="Heading2"/>
        <w:spacing w:after="100" w:before="240"/>
      </w:pPr>
      <w:r>
        <w:rPr>
          <w:rFonts w:ascii="Calibri" w:cs="Calibri" w:eastAsia="Calibri" w:hAnsi="Calibri"/>
          <w:b/>
          <w:bCs/>
          <w:color w:val="1F3864"/>
          <w:sz w:val="26"/>
          <w:szCs w:val="26"/>
        </w:rPr>
        <w:t xml:space="preserve">5.4  SRATIO / QRATIO Grid Definition</w:t>
      </w:r>
    </w:p>
    <w:p>
      <w:pPr>
        <w:spacing w:after="60" w:before="60"/>
      </w:pPr>
      <w:r>
        <w:rPr>
          <w:rFonts w:ascii="Calibri" w:cs="Calibri" w:eastAsia="Calibri" w:hAnsi="Calibri"/>
          <w:color w:val="1A1A1A"/>
          <w:sz w:val="22"/>
          <w:szCs w:val="22"/>
        </w:rPr>
        <w:t xml:space="preserve">WHAMO stores the Suter functions on a rectangular (SRATIO × QRATIO) grid rather than the angle θ, enabling direct (N, Q) → (WH, WB) lookup without angle computation at every time step:</w:t>
      </w:r>
    </w:p>
    <w:p>
      <w:pPr>
        <w:spacing w:after="120" w:before="120"/>
        <w:jc w:val="center"/>
      </w:pPr>
      <w:r>
        <w:rPr>
          <w:rFonts w:ascii="Cambria Math" w:cs="Cambria Math" w:eastAsia="Cambria Math" w:hAnsi="Cambria Math"/>
          <w:b/>
          <w:bCs/>
          <w:i/>
          <w:iCs/>
          <w:color w:val="1F3864"/>
          <w:sz w:val="24"/>
          <w:szCs w:val="24"/>
        </w:rPr>
        <w:t xml:space="preserve">α_i  =  SRATIO[i]  =  N_i / N_rated,    i = 1 ... p</w:t>
      </w:r>
    </w:p>
    <w:p>
      <w:pPr>
        <w:spacing w:after="120" w:before="120"/>
        <w:jc w:val="center"/>
      </w:pPr>
      <w:r>
        <w:rPr>
          <w:rFonts w:ascii="Cambria Math" w:cs="Cambria Math" w:eastAsia="Cambria Math" w:hAnsi="Cambria Math"/>
          <w:b/>
          <w:bCs/>
          <w:i/>
          <w:iCs/>
          <w:color w:val="1F3864"/>
          <w:sz w:val="24"/>
          <w:szCs w:val="24"/>
        </w:rPr>
        <w:t xml:space="preserve">β_j  =  QRATIO[j]  =  Q_j / Q_rated,    j = 1 ... r</w:t>
      </w:r>
    </w:p>
    <w:p>
      <w:pPr>
        <w:spacing w:after="120" w:before="120"/>
        <w:jc w:val="center"/>
      </w:pPr>
      <w:r>
        <w:rPr>
          <w:rFonts w:ascii="Cambria Math" w:cs="Cambria Math" w:eastAsia="Cambria Math" w:hAnsi="Cambria Math"/>
          <w:b/>
          <w:bCs/>
          <w:i/>
          <w:iCs/>
          <w:color w:val="1F3864"/>
          <w:sz w:val="24"/>
          <w:szCs w:val="24"/>
        </w:rPr>
        <w:t xml:space="preserve">HRATIO[i][j]  =  WH(α_i, β_j)</w:t>
      </w:r>
    </w:p>
    <w:p>
      <w:pPr>
        <w:spacing w:after="120" w:before="120"/>
        <w:jc w:val="center"/>
      </w:pPr>
      <w:r>
        <w:rPr>
          <w:rFonts w:ascii="Cambria Math" w:cs="Cambria Math" w:eastAsia="Cambria Math" w:hAnsi="Cambria Math"/>
          <w:b/>
          <w:bCs/>
          <w:i/>
          <w:iCs/>
          <w:color w:val="1F3864"/>
          <w:sz w:val="24"/>
          <w:szCs w:val="24"/>
        </w:rPr>
        <w:t xml:space="preserve">TRATIO[i][j]  =  WB(α_i, β_j)</w:t>
      </w:r>
    </w:p>
    <w:p>
      <w:pPr>
        <w:spacing w:after="60" w:before="60"/>
      </w:pPr>
      <w:r>
        <w:rPr>
          <w:rFonts w:ascii="Calibri" w:cs="Calibri" w:eastAsia="Calibri" w:hAnsi="Calibri"/>
          <w:color w:val="1A1A1A"/>
          <w:sz w:val="22"/>
          <w:szCs w:val="22"/>
        </w:rPr>
        <w:t xml:space="preserve">The speed ratios SRATIO span from large negative values (reverse runaway speed) through zero to the maximum positive runaway speed ratio. Similarly, QRATIO spans large negative to large positive flow ratios.</w:t>
      </w:r>
    </w:p>
    <w:p>
      <w:r>
        <w:t xml:space="preserve"/>
      </w:r>
    </w:p>
    <w:p>
      <w:pPr>
        <w:pStyle w:val="Heading2"/>
        <w:spacing w:after="100" w:before="240"/>
      </w:pPr>
      <w:r>
        <w:rPr>
          <w:rFonts w:ascii="Calibri" w:cs="Calibri" w:eastAsia="Calibri" w:hAnsi="Calibri"/>
          <w:b/>
          <w:bCs/>
          <w:color w:val="1F3864"/>
          <w:sz w:val="26"/>
          <w:szCs w:val="26"/>
        </w:rPr>
        <w:t xml:space="preserve">5.5  HRATIO — Dimensionless Head Function</w:t>
      </w:r>
    </w:p>
    <w:p>
      <w:pPr>
        <w:spacing w:after="60" w:before="60"/>
      </w:pPr>
      <w:r>
        <w:rPr>
          <w:rFonts w:ascii="Calibri" w:cs="Calibri" w:eastAsia="Calibri" w:hAnsi="Calibri"/>
          <w:color w:val="1A1A1A"/>
          <w:sz w:val="22"/>
          <w:szCs w:val="22"/>
        </w:rPr>
        <w:t xml:space="preserve">The dimensionless head WH is defined from the pump head H and the reference (rated) values:</w:t>
      </w:r>
    </w:p>
    <w:p>
      <w:pPr>
        <w:spacing w:after="120" w:before="120"/>
        <w:jc w:val="center"/>
      </w:pPr>
      <w:r>
        <w:rPr>
          <w:rFonts w:ascii="Cambria Math" w:cs="Cambria Math" w:eastAsia="Cambria Math" w:hAnsi="Cambria Math"/>
          <w:b/>
          <w:bCs/>
          <w:i/>
          <w:iCs/>
          <w:color w:val="1F3864"/>
          <w:sz w:val="24"/>
          <w:szCs w:val="24"/>
        </w:rPr>
        <w:t xml:space="preserve">WH(α, β)  =  (H / H_rated) / (α² + β²)</w:t>
      </w:r>
    </w:p>
    <w:p>
      <w:pPr>
        <w:spacing w:after="120" w:before="120"/>
        <w:jc w:val="center"/>
      </w:pPr>
      <w:r>
        <w:rPr>
          <w:rFonts w:ascii="Cambria Math" w:cs="Cambria Math" w:eastAsia="Cambria Math" w:hAnsi="Cambria Math"/>
          <w:b/>
          <w:bCs/>
          <w:i/>
          <w:iCs/>
          <w:color w:val="1F3864"/>
          <w:sz w:val="24"/>
          <w:szCs w:val="24"/>
        </w:rPr>
        <w:t xml:space="preserve">H  =  WH(α, β) · (α² + β²) · H_rated</w:t>
      </w:r>
    </w:p>
    <w:p>
      <w:pPr>
        <w:spacing w:after="60" w:before="60"/>
      </w:pPr>
      <w:r>
        <w:rPr>
          <w:rFonts w:ascii="Calibri" w:cs="Calibri" w:eastAsia="Calibri" w:hAnsi="Calibri"/>
          <w:color w:val="1A1A1A"/>
          <w:sz w:val="22"/>
          <w:szCs w:val="22"/>
        </w:rPr>
        <w:t xml:space="preserve">At every WHAMO time step, the current speed ratio α and flow ratio β are used to look up WH from HRATIO by bilinear interpolation, and the actual head H is then recovered. This head is matched against the Method of Characteristics characteristic lines to solve simultaneously for Q and H at the pump boundary.</w:t>
      </w:r>
    </w:p>
    <w:p>
      <w:r>
        <w:t xml:space="preserve"/>
      </w:r>
    </w:p>
    <w:p>
      <w:pPr>
        <w:pStyle w:val="Heading2"/>
        <w:spacing w:after="100" w:before="240"/>
      </w:pPr>
      <w:r>
        <w:rPr>
          <w:rFonts w:ascii="Calibri" w:cs="Calibri" w:eastAsia="Calibri" w:hAnsi="Calibri"/>
          <w:b/>
          <w:bCs/>
          <w:color w:val="1F3864"/>
          <w:sz w:val="26"/>
          <w:szCs w:val="26"/>
        </w:rPr>
        <w:t xml:space="preserve">5.6  TRATIO — Dimensionless Torque Function</w:t>
      </w:r>
    </w:p>
    <w:p>
      <w:pPr>
        <w:spacing w:after="60" w:before="60"/>
      </w:pPr>
      <w:r>
        <w:rPr>
          <w:rFonts w:ascii="Calibri" w:cs="Calibri" w:eastAsia="Calibri" w:hAnsi="Calibri"/>
          <w:color w:val="1A1A1A"/>
          <w:sz w:val="22"/>
          <w:szCs w:val="22"/>
        </w:rPr>
        <w:t xml:space="preserve">The dimensionless torque WB is defined analogously:</w:t>
      </w:r>
    </w:p>
    <w:p>
      <w:pPr>
        <w:spacing w:after="120" w:before="120"/>
        <w:jc w:val="center"/>
      </w:pPr>
      <w:r>
        <w:rPr>
          <w:rFonts w:ascii="Cambria Math" w:cs="Cambria Math" w:eastAsia="Cambria Math" w:hAnsi="Cambria Math"/>
          <w:b/>
          <w:bCs/>
          <w:i/>
          <w:iCs/>
          <w:color w:val="1F3864"/>
          <w:sz w:val="24"/>
          <w:szCs w:val="24"/>
        </w:rPr>
        <w:t xml:space="preserve">WB(α, β)  =  (T / T_rated) / (α² + β²)</w:t>
      </w:r>
    </w:p>
    <w:p>
      <w:pPr>
        <w:spacing w:after="120" w:before="120"/>
        <w:jc w:val="center"/>
      </w:pPr>
      <w:r>
        <w:rPr>
          <w:rFonts w:ascii="Cambria Math" w:cs="Cambria Math" w:eastAsia="Cambria Math" w:hAnsi="Cambria Math"/>
          <w:b/>
          <w:bCs/>
          <w:i/>
          <w:iCs/>
          <w:color w:val="1F3864"/>
          <w:sz w:val="24"/>
          <w:szCs w:val="24"/>
        </w:rPr>
        <w:t xml:space="preserve">T  =  WB(α, β) · (α² + β²) · T_rated</w:t>
      </w:r>
    </w:p>
    <w:p>
      <w:pPr>
        <w:spacing w:after="60" w:before="60"/>
      </w:pPr>
      <w:r>
        <w:rPr>
          <w:rFonts w:ascii="Calibri" w:cs="Calibri" w:eastAsia="Calibri" w:hAnsi="Calibri"/>
          <w:color w:val="1A1A1A"/>
          <w:sz w:val="22"/>
          <w:szCs w:val="22"/>
        </w:rPr>
        <w:t xml:space="preserve">This torque T is then substituted into the rotational equation of motion (§5.2) to advance shaft speed N over the next time step. The rated torque T_rated is derived from rated power and speed:</w:t>
      </w:r>
    </w:p>
    <w:p>
      <w:pPr>
        <w:spacing w:after="120" w:before="120"/>
        <w:jc w:val="center"/>
      </w:pPr>
      <w:r>
        <w:rPr>
          <w:rFonts w:ascii="Cambria Math" w:cs="Cambria Math" w:eastAsia="Cambria Math" w:hAnsi="Cambria Math"/>
          <w:b/>
          <w:bCs/>
          <w:i/>
          <w:iCs/>
          <w:color w:val="1F3864"/>
          <w:sz w:val="24"/>
          <w:szCs w:val="24"/>
        </w:rPr>
        <w:t xml:space="preserve">T_rated  =  (γ · RQ · RHEAD) / (RSPEED · 2π/60 · η_rated)</w:t>
      </w:r>
    </w:p>
    <w:p>
      <w:pPr>
        <w:spacing w:after="60" w:before="60"/>
      </w:pPr>
      <w:r>
        <w:rPr>
          <w:rFonts w:ascii="Calibri" w:cs="Calibri" w:eastAsia="Calibri" w:hAnsi="Calibri"/>
          <w:color w:val="1A1A1A"/>
          <w:sz w:val="22"/>
          <w:szCs w:val="22"/>
        </w:rPr>
        <w:t xml:space="preserve">Where η_rated is the BEP efficiency. In WHAMO this is implicitly embedded in the RTORQUE parameter supplied by the user.</w:t>
      </w:r>
    </w:p>
    <w:p>
      <w:r>
        <w:t xml:space="preserve"/>
      </w:r>
    </w:p>
    <w:p>
      <w:pPr>
        <w:pStyle w:val="Heading2"/>
        <w:spacing w:after="100" w:before="240"/>
      </w:pPr>
      <w:r>
        <w:rPr>
          <w:rFonts w:ascii="Calibri" w:cs="Calibri" w:eastAsia="Calibri" w:hAnsi="Calibri"/>
          <w:b/>
          <w:bCs/>
          <w:color w:val="1F3864"/>
          <w:sz w:val="26"/>
          <w:szCs w:val="26"/>
        </w:rPr>
        <w:t xml:space="preserve">5.7  Pump MOC Boundary Condition</w:t>
      </w:r>
    </w:p>
    <w:p>
      <w:pPr>
        <w:spacing w:after="60" w:before="60"/>
      </w:pPr>
      <w:r>
        <w:rPr>
          <w:rFonts w:ascii="Calibri" w:cs="Calibri" w:eastAsia="Calibri" w:hAnsi="Calibri"/>
          <w:color w:val="1A1A1A"/>
          <w:sz w:val="22"/>
          <w:szCs w:val="22"/>
        </w:rPr>
        <w:t xml:space="preserve">The Method of Characteristics (MOC) provides two compatibility equations (one from each side of the pump) that must be satisfied simultaneously with the pump characteristic:</w:t>
      </w:r>
    </w:p>
    <w:p>
      <w:pPr>
        <w:spacing w:after="120" w:before="120"/>
        <w:jc w:val="center"/>
      </w:pPr>
      <w:r>
        <w:rPr>
          <w:rFonts w:ascii="Cambria Math" w:cs="Cambria Math" w:eastAsia="Cambria Math" w:hAnsi="Cambria Math"/>
          <w:b/>
          <w:bCs/>
          <w:i/>
          <w:iCs/>
          <w:color w:val="1F3864"/>
          <w:sz w:val="24"/>
          <w:szCs w:val="24"/>
        </w:rPr>
        <w:t xml:space="preserve">C⁺:  H_p  =  C_P  −  B · Q_p</w:t>
      </w:r>
    </w:p>
    <w:p>
      <w:pPr>
        <w:spacing w:after="120" w:before="120"/>
        <w:jc w:val="center"/>
      </w:pPr>
      <w:r>
        <w:rPr>
          <w:rFonts w:ascii="Cambria Math" w:cs="Cambria Math" w:eastAsia="Cambria Math" w:hAnsi="Cambria Math"/>
          <w:b/>
          <w:bCs/>
          <w:i/>
          <w:iCs/>
          <w:color w:val="1F3864"/>
          <w:sz w:val="24"/>
          <w:szCs w:val="24"/>
        </w:rPr>
        <w:t xml:space="preserve">C⁻:  H_p  =  C_M  +  B · Q_p</w:t>
      </w:r>
    </w:p>
    <w:p>
      <w:pPr>
        <w:spacing w:after="120" w:before="120"/>
        <w:jc w:val="center"/>
      </w:pPr>
      <w:r>
        <w:rPr>
          <w:rFonts w:ascii="Cambria Math" w:cs="Cambria Math" w:eastAsia="Cambria Math" w:hAnsi="Cambria Math"/>
          <w:b/>
          <w:bCs/>
          <w:i/>
          <w:iCs/>
          <w:color w:val="1F3864"/>
          <w:sz w:val="24"/>
          <w:szCs w:val="24"/>
        </w:rPr>
        <w:t xml:space="preserve">Pump:  H_p  =  WH(α,β) · (α² + β²) · H_rated</w:t>
      </w:r>
    </w:p>
    <w:p>
      <w:pPr>
        <w:spacing w:after="60" w:before="60"/>
      </w:pPr>
      <w:r>
        <w:rPr>
          <w:rFonts w:ascii="Calibri" w:cs="Calibri" w:eastAsia="Calibri" w:hAnsi="Calibri"/>
          <w:color w:val="1A1A1A"/>
          <w:sz w:val="22"/>
          <w:szCs w:val="22"/>
        </w:rPr>
        <w:t xml:space="preserve">Where C_P, C_M are characteristic constants from the MOC solution and B = a/(g·A) is the pipe impedance. These three equations in three unknowns (H_p, Q_p, α or N) are solved iteratively at each time step using Newton-Raphson.</w:t>
      </w:r>
    </w:p>
    <w:p>
      <w:r>
        <w:t xml:space="preserve"/>
      </w:r>
    </w:p>
    <w:p>
      <w:pPr>
        <w:pStyle w:val="Heading2"/>
        <w:spacing w:after="100" w:before="240"/>
      </w:pPr>
      <w:r>
        <w:rPr>
          <w:rFonts w:ascii="Calibri" w:cs="Calibri" w:eastAsia="Calibri" w:hAnsi="Calibri"/>
          <w:b/>
          <w:bCs/>
          <w:color w:val="1F3864"/>
          <w:sz w:val="26"/>
          <w:szCs w:val="26"/>
        </w:rPr>
        <w:t xml:space="preserve">5.8  Specific Speed and Curve Family</w:t>
      </w:r>
    </w:p>
    <w:p>
      <w:pPr>
        <w:spacing w:after="60" w:before="60"/>
      </w:pPr>
      <w:r>
        <w:rPr>
          <w:rFonts w:ascii="Calibri" w:cs="Calibri" w:eastAsia="Calibri" w:hAnsi="Calibri"/>
          <w:color w:val="1A1A1A"/>
          <w:sz w:val="22"/>
          <w:szCs w:val="22"/>
        </w:rPr>
        <w:t xml:space="preserve">Pump curve families are classified by dimensionless specific speed N_s:</w:t>
      </w:r>
    </w:p>
    <w:p>
      <w:pPr>
        <w:spacing w:after="120" w:before="120"/>
        <w:jc w:val="center"/>
      </w:pPr>
      <w:r>
        <w:rPr>
          <w:rFonts w:ascii="Cambria Math" w:cs="Cambria Math" w:eastAsia="Cambria Math" w:hAnsi="Cambria Math"/>
          <w:b/>
          <w:bCs/>
          <w:i/>
          <w:iCs/>
          <w:color w:val="1F3864"/>
          <w:sz w:val="24"/>
          <w:szCs w:val="24"/>
        </w:rPr>
        <w:t xml:space="preserve">N_s  =  N_rated · Q_rated^(1/2)  /  H_rated^(3/4)   [SI: rpm, m³/s, m]</w:t>
      </w:r>
    </w:p>
    <w:p>
      <w:pPr>
        <w:spacing w:after="120" w:before="120"/>
        <w:jc w:val="center"/>
      </w:pPr>
      <w:r>
        <w:rPr>
          <w:rFonts w:ascii="Cambria Math" w:cs="Cambria Math" w:eastAsia="Cambria Math" w:hAnsi="Cambria Math"/>
          <w:b/>
          <w:bCs/>
          <w:i/>
          <w:iCs/>
          <w:color w:val="1F3864"/>
          <w:sz w:val="24"/>
          <w:szCs w:val="24"/>
        </w:rPr>
        <w:t xml:space="preserve">N_s  =  N_rated · Q_rated^(1/2)  /  H_rated^(3/4)   [US: rpm, gpm, ft — multiply SI by 51.64]</w:t>
      </w:r>
    </w:p>
    <w:p>
      <w:pPr>
        <w:spacing w:after="60" w:before="60"/>
      </w:pPr>
      <w:r>
        <w:rPr>
          <w:rFonts w:ascii="Calibri" w:cs="Calibri" w:eastAsia="Calibri" w:hAnsi="Calibri"/>
          <w:color w:val="1A1A1A"/>
          <w:sz w:val="22"/>
          <w:szCs w:val="22"/>
        </w:rPr>
        <w:t xml:space="preserve">WHAMO Designer provides predefined PCHAR curve libraries for the following specific speed families:</w:t>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Ns (US)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Ns (SI)</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Format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Pump Type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1280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25</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CircularFormat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Radial (high head, low flow)</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1800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35</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CircularFormat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Radial-mixed</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4850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94</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CircularFormat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Mixed flow</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7500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145</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CircularFormat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Mixed-axial</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13500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260</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CircularFormat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Axial (low head, high flow)</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1270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24</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SuterFormat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Radial (high head) — Suter parameterisation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7600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147</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SuterFormat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Mixed-axial — Suter parameterisation</w:t>
            </w:r>
          </w:p>
        </w:tc>
      </w:tr>
    </w:tbl>
    <w:p>
      <w:r>
        <w:t xml:space="preserve"/>
      </w:r>
    </w:p>
    <w:p>
      <w:pPr>
        <w:pStyle w:val="Heading2"/>
        <w:spacing w:after="100" w:before="240"/>
      </w:pPr>
      <w:r>
        <w:rPr>
          <w:rFonts w:ascii="Calibri" w:cs="Calibri" w:eastAsia="Calibri" w:hAnsi="Calibri"/>
          <w:b/>
          <w:bCs/>
          <w:color w:val="1F3864"/>
          <w:sz w:val="26"/>
          <w:szCs w:val="26"/>
        </w:rPr>
        <w:t xml:space="preserve">5.9  Power Failure and Runaway Derivation</w:t>
      </w:r>
    </w:p>
    <w:p>
      <w:pPr>
        <w:spacing w:after="60" w:before="60"/>
      </w:pPr>
      <w:r>
        <w:rPr>
          <w:rFonts w:ascii="Calibri" w:cs="Calibri" w:eastAsia="Calibri" w:hAnsi="Calibri"/>
          <w:color w:val="1A1A1A"/>
          <w:sz w:val="22"/>
          <w:szCs w:val="22"/>
        </w:rPr>
        <w:t xml:space="preserve">The critical design quantity after power failure is the runaway speed N_r, where the net torque on the shaft is zero:</w:t>
      </w:r>
    </w:p>
    <w:p>
      <w:pPr>
        <w:spacing w:after="120" w:before="120"/>
        <w:jc w:val="center"/>
      </w:pPr>
      <w:r>
        <w:rPr>
          <w:rFonts w:ascii="Cambria Math" w:cs="Cambria Math" w:eastAsia="Cambria Math" w:hAnsi="Cambria Math"/>
          <w:b/>
          <w:bCs/>
          <w:i/>
          <w:iCs/>
          <w:color w:val="1F3864"/>
          <w:sz w:val="24"/>
          <w:szCs w:val="24"/>
        </w:rPr>
        <w:t xml:space="preserve">WB(α_r, β_r) · (α_r² + β_r²) · T_rated  =  T_friction</w:t>
      </w:r>
    </w:p>
    <w:p>
      <w:pPr>
        <w:spacing w:after="60" w:before="60"/>
      </w:pPr>
      <w:r>
        <w:rPr>
          <w:rFonts w:ascii="Calibri" w:cs="Calibri" w:eastAsia="Calibri" w:hAnsi="Calibri"/>
          <w:color w:val="1A1A1A"/>
          <w:sz w:val="22"/>
          <w:szCs w:val="22"/>
        </w:rPr>
        <w:t xml:space="preserve">For a frictionless machine (FRICTION = 0):</w:t>
      </w:r>
    </w:p>
    <w:p>
      <w:pPr>
        <w:spacing w:after="120" w:before="120"/>
        <w:jc w:val="center"/>
      </w:pPr>
      <w:r>
        <w:rPr>
          <w:rFonts w:ascii="Cambria Math" w:cs="Cambria Math" w:eastAsia="Cambria Math" w:hAnsi="Cambria Math"/>
          <w:b/>
          <w:bCs/>
          <w:i/>
          <w:iCs/>
          <w:color w:val="1F3864"/>
          <w:sz w:val="24"/>
          <w:szCs w:val="24"/>
        </w:rPr>
        <w:t xml:space="preserve">WB(α_r, β_r)  =  0   →   T  =  0</w:t>
      </w:r>
    </w:p>
    <w:p>
      <w:pPr>
        <w:spacing w:after="60" w:before="60"/>
      </w:pPr>
      <w:r>
        <w:rPr>
          <w:rFonts w:ascii="Calibri" w:cs="Calibri" w:eastAsia="Calibri" w:hAnsi="Calibri"/>
          <w:color w:val="1A1A1A"/>
          <w:sz w:val="22"/>
          <w:szCs w:val="22"/>
        </w:rPr>
        <w:t xml:space="preserve">The corresponding runaway head H_r and flow Q_r satisfy:</w:t>
      </w:r>
    </w:p>
    <w:p>
      <w:pPr>
        <w:spacing w:after="120" w:before="120"/>
        <w:jc w:val="center"/>
      </w:pPr>
      <w:r>
        <w:rPr>
          <w:rFonts w:ascii="Cambria Math" w:cs="Cambria Math" w:eastAsia="Cambria Math" w:hAnsi="Cambria Math"/>
          <w:b/>
          <w:bCs/>
          <w:i/>
          <w:iCs/>
          <w:color w:val="1F3864"/>
          <w:sz w:val="24"/>
          <w:szCs w:val="24"/>
        </w:rPr>
        <w:t xml:space="preserve">H_r  =  WH(α_r, β_r) · (α_r² + β_r²) · H_rated</w:t>
      </w:r>
    </w:p>
    <w:p>
      <w:pPr>
        <w:spacing w:after="120" w:before="120"/>
        <w:jc w:val="center"/>
      </w:pPr>
      <w:r>
        <w:rPr>
          <w:rFonts w:ascii="Cambria Math" w:cs="Cambria Math" w:eastAsia="Cambria Math" w:hAnsi="Cambria Math"/>
          <w:b/>
          <w:bCs/>
          <w:i/>
          <w:iCs/>
          <w:color w:val="1F3864"/>
          <w:sz w:val="24"/>
          <w:szCs w:val="24"/>
        </w:rPr>
        <w:t xml:space="preserve">Q_r  =  β_r · Q_rated</w:t>
      </w:r>
    </w:p>
    <w:p>
      <w:pPr>
        <w:spacing w:after="60" w:before="60"/>
      </w:pPr>
      <w:r>
        <w:rPr>
          <w:rFonts w:ascii="Calibri" w:cs="Calibri" w:eastAsia="Calibri" w:hAnsi="Calibri"/>
          <w:color w:val="1A1A1A"/>
          <w:sz w:val="22"/>
          <w:szCs w:val="22"/>
        </w:rPr>
        <w:t xml:space="preserve">WHAMO iterates the equations of motion until (α, β) converges to the runaway point.</w:t>
      </w:r>
    </w:p>
    <w:p>
      <w:r>
        <w:t xml:space="preserve"/>
      </w:r>
    </w:p>
    <w:p>
      <w:pPr>
        <w:pStyle w:val="Heading2"/>
        <w:spacing w:after="100" w:before="240"/>
      </w:pPr>
      <w:r>
        <w:rPr>
          <w:rFonts w:ascii="Calibri" w:cs="Calibri" w:eastAsia="Calibri" w:hAnsi="Calibri"/>
          <w:b/>
          <w:bCs/>
          <w:color w:val="1F3864"/>
          <w:sz w:val="26"/>
          <w:szCs w:val="26"/>
        </w:rPr>
        <w:t xml:space="preserve">5.10  Unit Conversion</w:t>
      </w:r>
    </w:p>
    <w:p>
      <w:pPr>
        <w:spacing w:after="60" w:before="60"/>
      </w:pPr>
      <w:r>
        <w:rPr>
          <w:rFonts w:ascii="Calibri" w:cs="Calibri" w:eastAsia="Calibri" w:hAnsi="Calibri"/>
          <w:color w:val="1A1A1A"/>
          <w:sz w:val="22"/>
          <w:szCs w:val="22"/>
        </w:rPr>
        <w:t xml:space="preserve">All rated parameters (RQ, RHEAD, RSPEED, RTORQUE, WR2) entered in SI are converted to FPS at export if the project unit system is set to FPS:</w:t>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SI Unit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FPS Unit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Conversion Factor</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RQ (flow)</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m³/s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ft³/s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35.3147</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RHEAD (head)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3.28084</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RSPEED (speed)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1 (no conversion)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RTORQUE (torque)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lb·ft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0.7376</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 (inertia)</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kg·m²</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lb·ft²</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23.7304</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DIAMETER</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 3.28084</w:t>
            </w:r>
          </w:p>
        </w:tc>
      </w:tr>
    </w:tbl>
    <w:p>
      <w:r>
        <w:t xml:space="preserve"/>
      </w:r>
    </w:p>
    <w:p>
      <w:r>
        <w:t xml:space="preserve"/>
      </w:r>
    </w:p>
    <w:p>
      <w:pPr>
        <w:pStyle w:val="Heading1"/>
        <w:spacing w:after="100" w:before="240"/>
      </w:pPr>
      <w:r>
        <w:rPr>
          <w:rFonts w:ascii="Calibri" w:cs="Calibri" w:eastAsia="Calibri" w:hAnsi="Calibri"/>
          <w:b/>
          <w:bCs/>
          <w:color w:val="1F3864"/>
          <w:sz w:val="32"/>
          <w:szCs w:val="32"/>
        </w:rPr>
        <w:t xml:space="preserve">6.  OPPUMP Block</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Every active pump requires a corresponding OPPUMP block to initialise it in the simulation. Inactive pumps (pumpStatus = INACTIVE) are omitted:</w:t>
      </w:r>
    </w:p>
    <w:p>
      <w:r>
        <w:t xml:space="preserve"/>
      </w:r>
    </w:p>
    <w:p>
      <w:pPr>
        <w:spacing w:after="40" w:before="40"/>
        <w:ind w:left="576"/>
      </w:pPr>
      <w:r>
        <w:rPr>
          <w:rFonts w:ascii="Courier New" w:cs="Courier New" w:eastAsia="Courier New" w:hAnsi="Courier New"/>
          <w:color w:val="1F3864"/>
          <w:sz w:val="20"/>
          <w:szCs w:val="20"/>
        </w:rPr>
        <w:t xml:space="preserve">OPPUMP  ID  PU01  PUMP  FINISH</w:t>
      </w:r>
    </w:p>
    <w:p>
      <w:r>
        <w:t xml:space="preserve"/>
      </w:r>
    </w:p>
    <w:p>
      <w:pPr>
        <w:spacing w:after="60" w:before="60"/>
      </w:pPr>
      <w:r>
        <w:rPr>
          <w:rFonts w:ascii="Calibri" w:cs="Calibri" w:eastAsia="Calibri" w:hAnsi="Calibri"/>
          <w:color w:val="1A1A1A"/>
          <w:sz w:val="22"/>
          <w:szCs w:val="22"/>
        </w:rPr>
        <w:t xml:space="preserve">WHAMO uses this block to set the initial steady-state operating point of the pump at time t = 0. The initial Q and H are solved from the system head curve and PCHAR data before transient integration begins.</w:t>
      </w:r>
    </w:p>
    <w:p>
      <w:r>
        <w:t xml:space="preserve"/>
      </w:r>
    </w:p>
    <w:p>
      <w:r>
        <w:t xml:space="preserve"/>
      </w:r>
    </w:p>
    <w:p>
      <w:pPr>
        <w:pStyle w:val="Heading1"/>
        <w:spacing w:after="100" w:before="240"/>
      </w:pPr>
      <w:r>
        <w:rPr>
          <w:rFonts w:ascii="Calibri" w:cs="Calibri" w:eastAsia="Calibri" w:hAnsi="Calibri"/>
          <w:b/>
          <w:bCs/>
          <w:color w:val="1F3864"/>
          <w:sz w:val="32"/>
          <w:szCs w:val="32"/>
        </w:rPr>
        <w:t xml:space="preserve">7.  Complete Sample INP Block</w:t>
      </w:r>
    </w:p>
    <w:p>
      <w:pPr>
        <w:pBdr>
          <w:bottom w:val="single" w:color="2E74B5" w:sz="2" w:space="4"/>
        </w:pBdr>
        <w:spacing w:after="80" w:before="80"/>
      </w:pPr>
      <w:r>
        <w:t xml:space="preserve"/>
      </w:r>
    </w:p>
    <w:p>
      <w:pPr>
        <w:spacing w:after="60" w:before="60"/>
      </w:pPr>
      <w:r>
        <w:rPr>
          <w:rFonts w:ascii="Calibri" w:cs="Calibri" w:eastAsia="Calibri" w:hAnsi="Calibri"/>
          <w:color w:val="1A1A1A"/>
          <w:sz w:val="22"/>
          <w:szCs w:val="22"/>
        </w:rPr>
        <w:t xml:space="preserve">Below is a fully annotated sample PUMP + PCHAR + OPPUMP block for a single centrifugal pump:</w:t>
      </w:r>
    </w:p>
    <w:p>
      <w:r>
        <w:t xml:space="preserve"/>
      </w:r>
    </w:p>
    <w:p>
      <w:pPr>
        <w:spacing w:after="40" w:before="40"/>
        <w:ind w:left="576"/>
      </w:pPr>
      <w:r>
        <w:rPr>
          <w:rFonts w:ascii="Courier New" w:cs="Courier New" w:eastAsia="Courier New" w:hAnsi="Courier New"/>
          <w:color w:val="1F3864"/>
          <w:sz w:val="20"/>
          <w:szCs w:val="20"/>
        </w:rPr>
        <w:t xml:space="preserve">c  Centrifugal Pump — Unit PU01  (Ns=25, 50 Hz, design Q=2.5 m³/s, H=60 m)</w:t>
      </w:r>
    </w:p>
    <w:p>
      <w:pPr>
        <w:spacing w:after="40" w:before="40"/>
        <w:ind w:left="576"/>
      </w:pPr>
      <w:r>
        <w:rPr>
          <w:rFonts w:ascii="Courier New" w:cs="Courier New" w:eastAsia="Courier New" w:hAnsi="Courier New"/>
          <w:color w:val="1F3864"/>
          <w:sz w:val="20"/>
          <w:szCs w:val="20"/>
        </w:rPr>
        <w:t xml:space="preserve">PUMP  ID PU01  TYPE 1  RQ 2.5  RHEAD 60.  RSPEED 1500.  RTOROUE 935.</w:t>
      </w:r>
    </w:p>
    <w:p>
      <w:pPr>
        <w:spacing w:after="40" w:before="40"/>
        <w:ind w:left="576"/>
      </w:pPr>
      <w:r>
        <w:rPr>
          <w:rFonts w:ascii="Courier New" w:cs="Courier New" w:eastAsia="Courier New" w:hAnsi="Courier New"/>
          <w:color w:val="1F3864"/>
          <w:sz w:val="20"/>
          <w:szCs w:val="20"/>
        </w:rPr>
        <w:t xml:space="preserve">  WR2  1200.  FINISH</w:t>
      </w:r>
    </w:p>
    <w:p>
      <w:pPr>
        <w:spacing w:after="40" w:before="40"/>
        <w:ind w:left="576"/>
      </w:pPr>
      <w:r>
        <w:rPr>
          <w:rFonts w:ascii="Courier New" w:cs="Courier New" w:eastAsia="Courier New" w:hAnsi="Courier New"/>
          <w:color w:val="1F3864"/>
          <w:sz w:val="20"/>
          <w:szCs w:val="20"/>
        </w:rPr>
        <w:t xml:space="preserve"/>
      </w:r>
    </w:p>
    <w:p>
      <w:pPr>
        <w:spacing w:after="40" w:before="40"/>
        <w:ind w:left="576"/>
      </w:pPr>
      <w:r>
        <w:rPr>
          <w:rFonts w:ascii="Courier New" w:cs="Courier New" w:eastAsia="Courier New" w:hAnsi="Courier New"/>
          <w:color w:val="1F3864"/>
          <w:sz w:val="20"/>
          <w:szCs w:val="20"/>
        </w:rPr>
        <w:t xml:space="preserve">PCHAR  TYPE  1</w:t>
      </w:r>
    </w:p>
    <w:p>
      <w:pPr>
        <w:spacing w:after="40" w:before="40"/>
        <w:ind w:left="576"/>
      </w:pPr>
      <w:r>
        <w:rPr>
          <w:rFonts w:ascii="Courier New" w:cs="Courier New" w:eastAsia="Courier New" w:hAnsi="Courier New"/>
          <w:color w:val="1F3864"/>
          <w:sz w:val="20"/>
          <w:szCs w:val="20"/>
        </w:rPr>
        <w:t xml:space="preserve">  SRATIO  -1.5  -1.0  -0.5  0.0  0.5  1.0  1.5  2.0</w:t>
      </w:r>
    </w:p>
    <w:p>
      <w:pPr>
        <w:spacing w:after="40" w:before="40"/>
        <w:ind w:left="576"/>
      </w:pPr>
      <w:r>
        <w:rPr>
          <w:rFonts w:ascii="Courier New" w:cs="Courier New" w:eastAsia="Courier New" w:hAnsi="Courier New"/>
          <w:color w:val="1F3864"/>
          <w:sz w:val="20"/>
          <w:szCs w:val="20"/>
        </w:rPr>
        <w:t xml:space="preserve">  QRATIO  -1.5  -1.0  -0.5  0.0  0.5  1.0  1.5  2.0</w:t>
      </w:r>
    </w:p>
    <w:p>
      <w:pPr>
        <w:spacing w:after="40" w:before="40"/>
        <w:ind w:left="576"/>
      </w:pPr>
      <w:r>
        <w:rPr>
          <w:rFonts w:ascii="Courier New" w:cs="Courier New" w:eastAsia="Courier New" w:hAnsi="Courier New"/>
          <w:color w:val="1F3864"/>
          <w:sz w:val="20"/>
          <w:szCs w:val="20"/>
        </w:rPr>
        <w:t xml:space="preserve">  HRATIO</w:t>
      </w:r>
    </w:p>
    <w:p>
      <w:pPr>
        <w:spacing w:after="40" w:before="40"/>
        <w:ind w:left="576"/>
      </w:pPr>
      <w:r>
        <w:rPr>
          <w:rFonts w:ascii="Courier New" w:cs="Courier New" w:eastAsia="Courier New" w:hAnsi="Courier New"/>
          <w:color w:val="1F3864"/>
          <w:sz w:val="20"/>
          <w:szCs w:val="20"/>
        </w:rPr>
        <w:t xml:space="preserve">    0.634  0.643  0.646  0.640  0.629  0.613  0.595  0.575</w:t>
      </w:r>
    </w:p>
    <w:p>
      <w:pPr>
        <w:spacing w:after="40" w:before="40"/>
        <w:ind w:left="576"/>
      </w:pPr>
      <w:r>
        <w:rPr>
          <w:rFonts w:ascii="Courier New" w:cs="Courier New" w:eastAsia="Courier New" w:hAnsi="Courier New"/>
          <w:color w:val="1F3864"/>
          <w:sz w:val="20"/>
          <w:szCs w:val="20"/>
        </w:rPr>
        <w:t xml:space="preserve">    0.605  0.617  0.622  0.618  0.608  0.594  0.578  0.561</w:t>
      </w:r>
    </w:p>
    <w:p>
      <w:pPr>
        <w:spacing w:after="40" w:before="40"/>
        <w:ind w:left="576"/>
      </w:pPr>
      <w:r>
        <w:rPr>
          <w:rFonts w:ascii="Courier New" w:cs="Courier New" w:eastAsia="Courier New" w:hAnsi="Courier New"/>
          <w:color w:val="1F3864"/>
          <w:sz w:val="20"/>
          <w:szCs w:val="20"/>
        </w:rPr>
        <w:t xml:space="preserve">    0.552  0.566  0.573  0.571  0.563  0.550  0.535  0.519</w:t>
      </w:r>
    </w:p>
    <w:p>
      <w:pPr>
        <w:spacing w:after="40" w:before="40"/>
        <w:ind w:left="576"/>
      </w:pPr>
      <w:r>
        <w:rPr>
          <w:rFonts w:ascii="Courier New" w:cs="Courier New" w:eastAsia="Courier New" w:hAnsi="Courier New"/>
          <w:color w:val="1F3864"/>
          <w:sz w:val="20"/>
          <w:szCs w:val="20"/>
        </w:rPr>
        <w:t xml:space="preserve">    0.461  0.476  0.485  0.485  0.479  0.468  0.453  0.437</w:t>
      </w:r>
    </w:p>
    <w:p>
      <w:pPr>
        <w:spacing w:after="40" w:before="40"/>
        <w:ind w:left="576"/>
      </w:pPr>
      <w:r>
        <w:rPr>
          <w:rFonts w:ascii="Courier New" w:cs="Courier New" w:eastAsia="Courier New" w:hAnsi="Courier New"/>
          <w:color w:val="1F3864"/>
          <w:sz w:val="20"/>
          <w:szCs w:val="20"/>
        </w:rPr>
        <w:t xml:space="preserve">    0.354  0.369  0.379  0.381  0.377  0.367  0.353  0.337</w:t>
      </w:r>
    </w:p>
    <w:p>
      <w:pPr>
        <w:spacing w:after="40" w:before="40"/>
        <w:ind w:left="576"/>
      </w:pPr>
      <w:r>
        <w:rPr>
          <w:rFonts w:ascii="Courier New" w:cs="Courier New" w:eastAsia="Courier New" w:hAnsi="Courier New"/>
          <w:color w:val="1F3864"/>
          <w:sz w:val="20"/>
          <w:szCs w:val="20"/>
        </w:rPr>
        <w:t xml:space="preserve">    0.227  0.243  0.254  0.257  0.254  0.245  0.232  0.217</w:t>
      </w:r>
    </w:p>
    <w:p>
      <w:pPr>
        <w:spacing w:after="40" w:before="40"/>
        <w:ind w:left="576"/>
      </w:pPr>
      <w:r>
        <w:rPr>
          <w:rFonts w:ascii="Courier New" w:cs="Courier New" w:eastAsia="Courier New" w:hAnsi="Courier New"/>
          <w:color w:val="1F3864"/>
          <w:sz w:val="20"/>
          <w:szCs w:val="20"/>
        </w:rPr>
        <w:t xml:space="preserve">    0.100  0.117  0.129  0.134  0.131  0.123  0.111  0.097</w:t>
      </w:r>
    </w:p>
    <w:p>
      <w:pPr>
        <w:spacing w:after="40" w:before="40"/>
        <w:ind w:left="576"/>
      </w:pPr>
      <w:r>
        <w:rPr>
          <w:rFonts w:ascii="Courier New" w:cs="Courier New" w:eastAsia="Courier New" w:hAnsi="Courier New"/>
          <w:color w:val="1F3864"/>
          <w:sz w:val="20"/>
          <w:szCs w:val="20"/>
        </w:rPr>
        <w:t xml:space="preserve">    0.001  0.018  0.031  0.037  0.035  0.028  0.017  0.004</w:t>
      </w:r>
    </w:p>
    <w:p>
      <w:pPr>
        <w:spacing w:after="40" w:before="40"/>
        <w:ind w:left="576"/>
      </w:pPr>
      <w:r>
        <w:rPr>
          <w:rFonts w:ascii="Courier New" w:cs="Courier New" w:eastAsia="Courier New" w:hAnsi="Courier New"/>
          <w:color w:val="1F3864"/>
          <w:sz w:val="20"/>
          <w:szCs w:val="20"/>
        </w:rPr>
        <w:t xml:space="preserve">  TRATIO</w:t>
      </w:r>
    </w:p>
    <w:p>
      <w:pPr>
        <w:spacing w:after="40" w:before="40"/>
        <w:ind w:left="576"/>
      </w:pPr>
      <w:r>
        <w:rPr>
          <w:rFonts w:ascii="Courier New" w:cs="Courier New" w:eastAsia="Courier New" w:hAnsi="Courier New"/>
          <w:color w:val="1F3864"/>
          <w:sz w:val="20"/>
          <w:szCs w:val="20"/>
        </w:rPr>
        <w:t xml:space="preserve">    -0.684 -0.547 -0.414 -0.292 -0.187 -0.105 -0.053  0.000</w:t>
      </w:r>
    </w:p>
    <w:p>
      <w:pPr>
        <w:spacing w:after="40" w:before="40"/>
        <w:ind w:left="576"/>
      </w:pPr>
      <w:r>
        <w:rPr>
          <w:rFonts w:ascii="Courier New" w:cs="Courier New" w:eastAsia="Courier New" w:hAnsi="Courier New"/>
          <w:color w:val="1F3864"/>
          <w:sz w:val="20"/>
          <w:szCs w:val="20"/>
        </w:rPr>
        <w:t xml:space="preserve">    -0.562 -0.426 -0.294 -0.174 -0.072  0.008  0.062  0.113</w:t>
      </w:r>
    </w:p>
    <w:p>
      <w:pPr>
        <w:spacing w:after="40" w:before="40"/>
        <w:ind w:left="576"/>
      </w:pPr>
      <w:r>
        <w:rPr>
          <w:rFonts w:ascii="Courier New" w:cs="Courier New" w:eastAsia="Courier New" w:hAnsi="Courier New"/>
          <w:color w:val="1F3864"/>
          <w:sz w:val="20"/>
          <w:szCs w:val="20"/>
        </w:rPr>
        <w:t xml:space="preserve">    -0.430 -0.296 -0.165 -0.046  0.056  0.136  0.190  0.241</w:t>
      </w:r>
    </w:p>
    <w:p>
      <w:pPr>
        <w:spacing w:after="40" w:before="40"/>
        <w:ind w:left="576"/>
      </w:pPr>
      <w:r>
        <w:rPr>
          <w:rFonts w:ascii="Courier New" w:cs="Courier New" w:eastAsia="Courier New" w:hAnsi="Courier New"/>
          <w:color w:val="1F3864"/>
          <w:sz w:val="20"/>
          <w:szCs w:val="20"/>
        </w:rPr>
        <w:t xml:space="preserve">     0.000  0.133  0.263  0.382  0.483  0.563  0.617  0.668</w:t>
      </w:r>
    </w:p>
    <w:p>
      <w:pPr>
        <w:spacing w:after="40" w:before="40"/>
        <w:ind w:left="576"/>
      </w:pPr>
      <w:r>
        <w:rPr>
          <w:rFonts w:ascii="Courier New" w:cs="Courier New" w:eastAsia="Courier New" w:hAnsi="Courier New"/>
          <w:color w:val="1F3864"/>
          <w:sz w:val="20"/>
          <w:szCs w:val="20"/>
        </w:rPr>
        <w:t xml:space="preserve">     0.450  0.582  0.711  0.829  0.929  1.008  1.062  1.113</w:t>
      </w:r>
    </w:p>
    <w:p>
      <w:pPr>
        <w:spacing w:after="40" w:before="40"/>
        <w:ind w:left="576"/>
      </w:pPr>
      <w:r>
        <w:rPr>
          <w:rFonts w:ascii="Courier New" w:cs="Courier New" w:eastAsia="Courier New" w:hAnsi="Courier New"/>
          <w:color w:val="1F3864"/>
          <w:sz w:val="20"/>
          <w:szCs w:val="20"/>
        </w:rPr>
        <w:t xml:space="preserve">     0.865  0.996  1.124  1.241  1.340  1.418  1.472  1.523</w:t>
      </w:r>
    </w:p>
    <w:p>
      <w:pPr>
        <w:spacing w:after="40" w:before="40"/>
        <w:ind w:left="576"/>
      </w:pPr>
      <w:r>
        <w:rPr>
          <w:rFonts w:ascii="Courier New" w:cs="Courier New" w:eastAsia="Courier New" w:hAnsi="Courier New"/>
          <w:color w:val="1F3864"/>
          <w:sz w:val="20"/>
          <w:szCs w:val="20"/>
        </w:rPr>
        <w:t xml:space="preserve">     1.147  1.277  1.404  1.520  1.618  1.695  1.748  1.799</w:t>
      </w:r>
    </w:p>
    <w:p>
      <w:pPr>
        <w:spacing w:after="40" w:before="40"/>
        <w:ind w:left="576"/>
      </w:pPr>
      <w:r>
        <w:rPr>
          <w:rFonts w:ascii="Courier New" w:cs="Courier New" w:eastAsia="Courier New" w:hAnsi="Courier New"/>
          <w:color w:val="1F3864"/>
          <w:sz w:val="20"/>
          <w:szCs w:val="20"/>
        </w:rPr>
        <w:t xml:space="preserve">     1.296  1.425  1.551  1.666  1.763  1.839  1.892  1.942</w:t>
      </w:r>
    </w:p>
    <w:p>
      <w:pPr>
        <w:spacing w:after="40" w:before="40"/>
        <w:ind w:left="576"/>
      </w:pPr>
      <w:r>
        <w:rPr>
          <w:rFonts w:ascii="Courier New" w:cs="Courier New" w:eastAsia="Courier New" w:hAnsi="Courier New"/>
          <w:color w:val="1F3864"/>
          <w:sz w:val="20"/>
          <w:szCs w:val="20"/>
        </w:rPr>
        <w:t xml:space="preserve">FINISH</w:t>
      </w:r>
    </w:p>
    <w:p>
      <w:pPr>
        <w:spacing w:after="40" w:before="40"/>
        <w:ind w:left="576"/>
      </w:pPr>
      <w:r>
        <w:rPr>
          <w:rFonts w:ascii="Courier New" w:cs="Courier New" w:eastAsia="Courier New" w:hAnsi="Courier New"/>
          <w:color w:val="1F3864"/>
          <w:sz w:val="20"/>
          <w:szCs w:val="20"/>
        </w:rPr>
        <w:t xml:space="preserve"/>
      </w:r>
    </w:p>
    <w:p>
      <w:pPr>
        <w:spacing w:after="40" w:before="40"/>
        <w:ind w:left="576"/>
      </w:pPr>
      <w:r>
        <w:rPr>
          <w:rFonts w:ascii="Courier New" w:cs="Courier New" w:eastAsia="Courier New" w:hAnsi="Courier New"/>
          <w:color w:val="1F3864"/>
          <w:sz w:val="20"/>
          <w:szCs w:val="20"/>
        </w:rPr>
        <w:t xml:space="preserve">OPPUMP  ID  PU01  PUMP  FINISH</w:t>
      </w:r>
    </w:p>
    <w:p>
      <w:r>
        <w:t xml:space="preserve"/>
      </w:r>
    </w:p>
    <w:p>
      <w:r>
        <w:t xml:space="preserve"/>
      </w:r>
    </w:p>
    <w:p>
      <w:pPr>
        <w:pStyle w:val="Heading1"/>
        <w:spacing w:after="100" w:before="240"/>
      </w:pPr>
      <w:r>
        <w:rPr>
          <w:rFonts w:ascii="Calibri" w:cs="Calibri" w:eastAsia="Calibri" w:hAnsi="Calibri"/>
          <w:b/>
          <w:bCs/>
          <w:color w:val="1F3864"/>
          <w:sz w:val="32"/>
          <w:szCs w:val="32"/>
        </w:rPr>
        <w:t xml:space="preserve">8.  Full Variable Reference Summary</w:t>
      </w:r>
    </w:p>
    <w:p>
      <w:pPr>
        <w:pBdr>
          <w:bottom w:val="single" w:color="2E74B5" w:sz="2" w:space="4"/>
        </w:pBdr>
        <w:spacing w:after="80" w:before="80"/>
      </w:pPr>
      <w:r>
        <w:t xml:space="preserve"/>
      </w:r>
    </w:p>
    <w:tbl>
      <w:tblPr>
        <w:tblW w:type="pct" w:w="100%"/>
        <w:tblBorders>
          <w:top w:val="single" w:color="2E74B5" w:sz="2"/>
          <w:left w:val="single" w:color="2E74B5" w:sz="2"/>
          <w:bottom w:val="single" w:color="2E74B5" w:sz="2"/>
          <w:right w:val="single" w:color="2E74B5" w:sz="2"/>
          <w:insideH w:val="single" w:color="auto" w:sz="4"/>
          <w:insideV w:val="single" w:color="auto" w:sz="4"/>
        </w:tblBorders>
      </w:tblPr>
      <w:tblGrid>
        <w:gridCol w:w="100"/>
        <w:gridCol w:w="100"/>
        <w:gridCol w:w="100"/>
        <w:gridCol w:w="100"/>
        <w:gridCol w:w="100"/>
      </w:tblGrid>
      <w:tr>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Variable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Type</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Default</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Units</w:t>
            </w:r>
          </w:p>
        </w:tc>
        <w:tc>
          <w:tcPr>
            <w:shd w:color="1F3864" w:val="solid"/>
            <w:tcMar>
              <w:top w:type="dxa" w:w="60"/>
              <w:left w:type="dxa" w:w="80"/>
              <w:bottom w:type="dxa" w:w="60"/>
              <w:right w:type="dxa" w:w="80"/>
            </w:tcMar>
          </w:tcPr>
          <w:p>
            <w:pPr>
              <w:spacing w:after="40" w:before="40"/>
              <w:jc w:val="center"/>
            </w:pPr>
            <w:r>
              <w:rPr>
                <w:rFonts w:ascii="Calibri" w:cs="Calibri" w:eastAsia="Calibri" w:hAnsi="Calibri"/>
                <w:b/>
                <w:bCs/>
                <w:color w:val="FFFFFF"/>
                <w:sz w:val="20"/>
                <w:szCs w:val="20"/>
              </w:rPr>
              <w:t xml:space="preserve">Notes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ID / label</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String</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Required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Max 12 chars. Must be unique within project.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pumpType (TYPE)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Integer</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1</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Links to PCHAR TYPE n. Multiple pumps may share one PCHAR.</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rq (RQ)</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m³/s / ft³/s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flow at BEP. Reference for QRATIO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rhead (RHEAD)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m / ft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head at BEP. Reference for HRATIO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rspeed (RSPEED)</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RPM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speed at BEP. Reference for SRATIO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rtorque (RTORQUE)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N·m / lb·ft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Rated shaft torque at BEP. Reference for TRATIO normalisation.</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wr2 (WR2)</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0.0</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kg·m² / lb·ft²</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Flywheel effect. Controls runaway speed and deceleration rate.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pumpStatus</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Enum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ACTIVE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ACTIVE → writes OPPUMP. INACTIVE → pump not started.</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Speed ratio array α = N/N_r. p values spanning all quadrants.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QRATIO[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Flow ratio array β = Q/Q_r. r values spanning all quadrants.</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HRATIO[ ][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Head function matrix WH, p×r. WH = (H/H_r)/(α²+β²).</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TRATIO[ ]</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Float[ ]</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dimensionless</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Torque function flat array WB, p×r elements. WB=(T/T_r)/(α²+β²). 8 per line.</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unit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Enum</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SI or FPS. Controls automatic unit conversion on export.</w:t>
            </w:r>
          </w:p>
        </w:tc>
      </w:tr>
      <w:tr>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comment</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String</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Optional</w:t>
            </w:r>
          </w:p>
        </w:tc>
        <w:tc>
          <w:tcPr>
            <w:shd w:color="FFFFFF"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w:t>
            </w:r>
          </w:p>
        </w:tc>
        <w:tc>
          <w:tcPr>
            <w:shd w:color="EAF0FB" w:val="solid"/>
            <w:tcMar>
              <w:top w:type="dxa" w:w="60"/>
              <w:left w:type="dxa" w:w="80"/>
              <w:bottom w:type="dxa" w:w="60"/>
              <w:right w:type="dxa" w:w="80"/>
            </w:tcMar>
          </w:tcPr>
          <w:p>
            <w:pPr>
              <w:spacing w:after="40" w:before="40"/>
              <w:jc w:val="left"/>
            </w:pPr>
            <w:r>
              <w:rPr>
                <w:rFonts w:ascii="Calibri" w:cs="Calibri" w:eastAsia="Calibri" w:hAnsi="Calibri"/>
                <w:b w:val="false"/>
                <w:bCs w:val="false"/>
                <w:color w:val="1A1A1A"/>
                <w:sz w:val="19"/>
                <w:szCs w:val="19"/>
              </w:rPr>
              <w:t xml:space="preserve">Prefixed with 'c ' as INP comment line.</w:t>
            </w:r>
          </w:p>
        </w:tc>
      </w:tr>
    </w:tbl>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PCHAR Block Mathematical Derivation for Pump</dc:title>
  <dc:creator>Un-named</dc:creator>
  <dc:description>WHAMO Water Hammer Network Designer — Technical Reference</dc:description>
  <cp:lastModifiedBy>Un-named</cp:lastModifiedBy>
  <cp:revision>1</cp:revision>
  <dcterms:created xsi:type="dcterms:W3CDTF">2026-06-22T04:53:26.010Z</dcterms:created>
  <dcterms:modified xsi:type="dcterms:W3CDTF">2026-06-22T04:53:26.010Z</dcterms:modified>
</cp:coreProperties>
</file>

<file path=docProps/custom.xml><?xml version="1.0" encoding="utf-8"?>
<Properties xmlns="http://schemas.openxmlformats.org/officeDocument/2006/custom-properties" xmlns:vt="http://schemas.openxmlformats.org/officeDocument/2006/docPropsVTypes"/>
</file>