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Hospital Analysis Dashboard: Business Insights Report</w:t>
      </w:r>
    </w:p>
    <w:p>
      <w:r>
        <w:t>This report outlines 15 key business insights derived from the four-page Hospital Analysis Dashboard, covering Financial, Operational, Patient Demographic, and Staff Performance metrics.</w:t>
      </w:r>
    </w:p>
    <w:p>
      <w:pPr>
        <w:pStyle w:val="Heading1"/>
      </w:pPr>
      <w:r>
        <w:t>1. Revenue &amp; Financial Insights</w:t>
      </w:r>
    </w:p>
    <w:p>
      <w:pPr>
        <w:pStyle w:val="ListBullet"/>
      </w:pPr>
      <w:r>
        <w:rPr>
          <w:b/>
        </w:rPr>
        <w:t>High-Value Departments:</w:t>
      </w:r>
      <w:r>
        <w:t xml:space="preserve"> The OPD (1321M) and Pharmacy (1198M) are the primary revenue drivers. Management should focus on streamlining these departments to ensure they can handle high volume without bottlenecks.</w:t>
      </w:r>
    </w:p>
    <w:p>
      <w:pPr>
        <w:pStyle w:val="ListBullet"/>
      </w:pPr>
      <w:r>
        <w:rPr>
          <w:b/>
        </w:rPr>
        <w:t>Cost vs. Revenue Correlation:</w:t>
      </w:r>
      <w:r>
        <w:t xml:space="preserve"> There is a direct correlation between Pharmacy revenue and Surgery costs. This suggests that surgical procedures are a significant driver of pharmaceutical sales.</w:t>
      </w:r>
    </w:p>
    <w:p>
      <w:pPr>
        <w:pStyle w:val="ListBullet"/>
      </w:pPr>
      <w:r>
        <w:rPr>
          <w:b/>
        </w:rPr>
        <w:t>Insurance Claim Distribution:</w:t>
      </w:r>
      <w:r>
        <w:t xml:space="preserve"> 26.02% of insurance claims are concentrated in a single department. Ensuring documentation accuracy in high-claim areas is critical to minimizing rejections.</w:t>
      </w:r>
    </w:p>
    <w:p>
      <w:pPr>
        <w:pStyle w:val="ListBullet"/>
      </w:pPr>
      <w:r>
        <w:rPr>
          <w:b/>
        </w:rPr>
        <w:t>Revenue Concentration:</w:t>
      </w:r>
      <w:r>
        <w:t xml:space="preserve"> With total revenue of 5028M and 100K appointments, the average revenue per appointment is approximately 50.28K. This serves as a benchmark for future growth.</w:t>
      </w:r>
    </w:p>
    <w:p>
      <w:pPr>
        <w:pStyle w:val="Heading1"/>
      </w:pPr>
      <w:r>
        <w:t>2. Operational &amp; Patient Insights</w:t>
      </w:r>
    </w:p>
    <w:p>
      <w:pPr>
        <w:pStyle w:val="ListBullet"/>
      </w:pPr>
      <w:r>
        <w:rPr>
          <w:b/>
        </w:rPr>
        <w:t>Demographic Dominance:</w:t>
      </w:r>
      <w:r>
        <w:t xml:space="preserve"> The 51+ age group is the largest patient demographic. Expanding geriatric-specific services or chronic care clinics is a significant growth opportunity.</w:t>
      </w:r>
    </w:p>
    <w:p>
      <w:pPr>
        <w:pStyle w:val="ListBullet"/>
      </w:pPr>
      <w:r>
        <w:rPr>
          <w:b/>
        </w:rPr>
        <w:t>Balanced Gender Intake:</w:t>
      </w:r>
      <w:r>
        <w:t xml:space="preserve"> The patient split is nearly 50/50 between Male and Female, indicating well-balanced general healthcare services.</w:t>
      </w:r>
    </w:p>
    <w:p>
      <w:pPr>
        <w:pStyle w:val="ListBullet"/>
      </w:pPr>
      <w:r>
        <w:rPr>
          <w:b/>
        </w:rPr>
        <w:t>Bed Utilization Capacity:</w:t>
      </w:r>
      <w:r>
        <w:t xml:space="preserve"> Current bed utilization is at 20K out of 40K (50%). The hospital has significant capacity to increase admissions without physical expansion.</w:t>
      </w:r>
    </w:p>
    <w:p>
      <w:pPr>
        <w:pStyle w:val="ListBullet"/>
      </w:pPr>
      <w:r>
        <w:rPr>
          <w:b/>
        </w:rPr>
        <w:t>Geographic Reach:</w:t>
      </w:r>
      <w:r>
        <w:t xml:space="preserve"> Aurangabad (88) and Ghaziabad (62) are top-contributing cities. Targeted marketing or satellite clinics in lower-performing regions like Ramgarh could capture more market share.</w:t>
      </w:r>
    </w:p>
    <w:p>
      <w:pPr>
        <w:pStyle w:val="Heading1"/>
      </w:pPr>
      <w:r>
        <w:t>3. Departmental &amp; Doctor Performance</w:t>
      </w:r>
    </w:p>
    <w:p>
      <w:pPr>
        <w:pStyle w:val="ListBullet"/>
      </w:pPr>
      <w:r>
        <w:rPr>
          <w:b/>
        </w:rPr>
        <w:t>Departmental Admission Lead:</w:t>
      </w:r>
      <w:r>
        <w:t xml:space="preserve"> The OPD leads in total admissions (approx. 30K), reinforcing its role as the primary entry point for hospital services.</w:t>
      </w:r>
    </w:p>
    <w:p>
      <w:pPr>
        <w:pStyle w:val="ListBullet"/>
      </w:pPr>
      <w:r>
        <w:rPr>
          <w:b/>
        </w:rPr>
        <w:t>Doctor Workload Variance:</w:t>
      </w:r>
      <w:r>
        <w:t xml:space="preserve"> Top doctors handle up to 214 appointments while others handle 124. Redistributing workload could prevent burnout and improve patient wait times.</w:t>
      </w:r>
    </w:p>
    <w:p>
      <w:pPr>
        <w:pStyle w:val="ListBullet"/>
      </w:pPr>
      <w:r>
        <w:rPr>
          <w:b/>
        </w:rPr>
        <w:t>Critical Care Efficiency:</w:t>
      </w:r>
      <w:r>
        <w:t xml:space="preserve"> The ICU has the lowest revenue/staffing but likely the highest intensity. Monitoring efficiency here is vital for care standards.</w:t>
      </w:r>
    </w:p>
    <w:p>
      <w:pPr>
        <w:pStyle w:val="Heading1"/>
      </w:pPr>
      <w:r>
        <w:t>4. Staffing &amp; HR Insights</w:t>
      </w:r>
    </w:p>
    <w:p>
      <w:pPr>
        <w:pStyle w:val="ListBullet"/>
      </w:pPr>
      <w:r>
        <w:rPr>
          <w:b/>
        </w:rPr>
        <w:t>Staff-to-Patient Alignment:</w:t>
      </w:r>
      <w:r>
        <w:t xml:space="preserve"> Staff allocation is highest in OPD (26K) and Pharmacy (24K), correctly aligning labor resources with patient volume.</w:t>
      </w:r>
    </w:p>
    <w:p>
      <w:pPr>
        <w:pStyle w:val="ListBullet"/>
      </w:pPr>
      <w:r>
        <w:rPr>
          <w:b/>
        </w:rPr>
        <w:t>Shift Distribution Consistency:</w:t>
      </w:r>
      <w:r>
        <w:t xml:space="preserve"> Shift distribution is uniform (1.0). While standardized, exploring flexible scheduling during peak hours could further optimize throughput.</w:t>
      </w:r>
    </w:p>
    <w:p>
      <w:pPr>
        <w:pStyle w:val="ListBullet"/>
      </w:pPr>
      <w:r>
        <w:rPr>
          <w:b/>
        </w:rPr>
        <w:t>Productivity Benchmark:</w:t>
      </w:r>
      <w:r>
        <w:t xml:space="preserve"> The 1:1 ratio of appointments (100K) to bills (100K) suggests high administrative efficiency and successful revenue capture.</w:t>
      </w:r>
    </w:p>
    <w:p>
      <w:pPr>
        <w:pStyle w:val="ListBullet"/>
      </w:pPr>
      <w:r>
        <w:rPr>
          <w:b/>
        </w:rPr>
        <w:t>Resource Optimization:</w:t>
      </w:r>
      <w:r>
        <w:t xml:space="preserve"> With 10K total patients and high staff counts, the hospital should audit 'Count of SHF_ID' to ensure staff-to-patient ratios are optimized for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