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b/>
          <w:color w:val="007C91"/>
          <w:sz w:val="26"/>
        </w:rPr>
        <w:t>NEWS MEDIA</w:t>
      </w:r>
    </w:p>
    <w:p>
      <w:pPr>
        <w:pStyle w:val="Title"/>
      </w:pPr>
      <w:r>
        <w:t>Trending Engine Guide</w:t>
      </w:r>
    </w:p>
    <w:p>
      <w:pPr>
        <w:spacing w:before="160"/>
      </w:pPr>
      <w:r>
        <w:rPr>
          <w:color w:val="4B5B6B"/>
          <w:sz w:val="30"/>
        </w:rPr>
        <w:t>How articles become events, trends, and evidence-backed alerts</w:t>
      </w:r>
    </w:p>
    <w:p>
      <w:pPr>
        <w:spacing w:before="480"/>
      </w:pPr>
      <w:r>
        <w:rPr>
          <w:b/>
          <w:sz w:val="22"/>
        </w:rPr>
        <w:t>Implementation-grounded guide for engineering and lead review</w:t>
      </w:r>
    </w:p>
    <w:p>
      <w:r>
        <w:t>Prepared from the current MetricsCritique code, the checked-in News Engine specification, and read-only queries against the India + Bangladesh pilot database.</w:t>
      </w:r>
    </w:p>
    <w:p>
      <w:r>
        <w:t>Pilot snapshot: published dates 2026-10-06 through 2026-10-19  |  Guide date: 2026-10-21</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Pr>
          <w:p>
            <w:pPr>
              <w:spacing w:after="40"/>
            </w:pPr>
            <w:r/>
            <w:r>
              <w:rPr>
                <w:b/>
                <w:color w:val="007C91"/>
              </w:rPr>
              <w:t xml:space="preserve">Scope  </w:t>
            </w:r>
            <w:r>
              <w:t>This guide describes the additive News Trending &amp; Emerging Events engine (scripts 20–23, scripts/lib/news_*, UI/news.*). It is distinct from the older social-media metrics dashboard. The news pipeline reuses shared statistical primitives in scripts/lib/stats_v2.py; it does not replace the existing social pipeline.</w:t>
            </w:r>
          </w:p>
        </w:tc>
      </w:tr>
    </w:tbl>
    <w:p>
      <w:pPr>
        <w:spacing w:after="20"/>
      </w:pPr>
    </w:p>
    <w:p>
      <w:pPr>
        <w:pStyle w:val="Heading2"/>
      </w:pPr>
      <w:r>
        <w:t>At a glance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232"/>
            <w:vAlign w:val="center"/>
            <w:shd w:fill="17365D"/>
          </w:tcPr>
          <w:p>
            <w:pPr>
              <w:spacing w:after="20" w:before="20" w:line="240" w:lineRule="auto"/>
            </w:pPr>
            <w:r/>
            <w:r>
              <w:rPr>
                <w:rFonts w:ascii="Aptos" w:hAnsi="Aptos" w:eastAsia="Aptos"/>
                <w:b/>
                <w:color w:val="FFFFFF"/>
                <w:sz w:val="16"/>
              </w:rPr>
              <w:t>Question</w:t>
            </w:r>
          </w:p>
        </w:tc>
        <w:tc>
          <w:tcPr>
            <w:tcW w:type="dxa" w:w="7992"/>
            <w:vAlign w:val="center"/>
            <w:shd w:fill="17365D"/>
          </w:tcPr>
          <w:p>
            <w:pPr>
              <w:spacing w:after="20" w:before="20" w:line="240" w:lineRule="auto"/>
            </w:pPr>
            <w:r/>
            <w:r>
              <w:rPr>
                <w:rFonts w:ascii="Aptos" w:hAnsi="Aptos" w:eastAsia="Aptos"/>
                <w:b/>
                <w:color w:val="FFFFFF"/>
                <w:sz w:val="16"/>
              </w:rPr>
              <w:t>Short answer</w:t>
            </w:r>
          </w:p>
        </w:tc>
      </w:tr>
      <w:tr>
        <w:trPr>
          <w:cantSplit/>
        </w:trPr>
        <w:tc>
          <w:tcPr>
            <w:tcW w:type="dxa" w:w="2232"/>
            <w:vAlign w:val="center"/>
          </w:tcPr>
          <w:p>
            <w:pPr>
              <w:spacing w:after="20" w:before="20" w:line="240" w:lineRule="auto"/>
            </w:pPr>
            <w:r/>
            <w:r>
              <w:rPr>
                <w:rFonts w:ascii="Aptos" w:hAnsi="Aptos" w:eastAsia="Aptos"/>
                <w:b w:val="0"/>
                <w:sz w:val="16"/>
              </w:rPr>
              <w:t>What goes in?</w:t>
            </w:r>
          </w:p>
        </w:tc>
        <w:tc>
          <w:tcPr>
            <w:tcW w:type="dxa" w:w="7992"/>
            <w:vAlign w:val="center"/>
          </w:tcPr>
          <w:p>
            <w:pPr>
              <w:spacing w:after="20" w:before="20" w:line="240" w:lineRule="auto"/>
            </w:pPr>
            <w:r/>
            <w:r>
              <w:rPr>
                <w:rFonts w:ascii="Aptos" w:hAnsi="Aptos" w:eastAsia="Aptos"/>
                <w:b w:val="0"/>
                <w:sz w:val="16"/>
              </w:rPr>
              <w:t>Article metadata, embeddings and GDELT fields from OpenSearch; article labels and taxonomy from PostgreSQL.</w:t>
            </w:r>
          </w:p>
        </w:tc>
      </w:tr>
      <w:tr>
        <w:trPr>
          <w:cantSplit/>
        </w:trPr>
        <w:tc>
          <w:tcPr>
            <w:tcW w:type="dxa" w:w="2232"/>
            <w:vAlign w:val="center"/>
            <w:shd w:fill="F5F8FB"/>
          </w:tcPr>
          <w:p>
            <w:pPr>
              <w:spacing w:after="20" w:before="20" w:line="240" w:lineRule="auto"/>
            </w:pPr>
            <w:r/>
            <w:r>
              <w:rPr>
                <w:rFonts w:ascii="Aptos" w:hAnsi="Aptos" w:eastAsia="Aptos"/>
                <w:b w:val="0"/>
                <w:sz w:val="16"/>
              </w:rPr>
              <w:t>What comes out?</w:t>
            </w:r>
          </w:p>
        </w:tc>
        <w:tc>
          <w:tcPr>
            <w:tcW w:type="dxa" w:w="7992"/>
            <w:vAlign w:val="center"/>
            <w:shd w:fill="F5F8FB"/>
          </w:tcPr>
          <w:p>
            <w:pPr>
              <w:spacing w:after="20" w:before="20" w:line="240" w:lineRule="auto"/>
            </w:pPr>
            <w:r/>
            <w:r>
              <w:rPr>
                <w:rFonts w:ascii="Aptos" w:hAnsi="Aptos" w:eastAsia="Aptos"/>
                <w:b w:val="0"/>
                <w:sz w:val="16"/>
              </w:rPr>
              <w:t>De-duplicated article facts, story/event clusters, geographic AOI panels, trend metrics, emerging/development tests and alerts in a separate DuckDB.</w:t>
            </w:r>
          </w:p>
        </w:tc>
      </w:tr>
      <w:tr>
        <w:trPr>
          <w:cantSplit/>
        </w:trPr>
        <w:tc>
          <w:tcPr>
            <w:tcW w:type="dxa" w:w="2232"/>
            <w:vAlign w:val="center"/>
          </w:tcPr>
          <w:p>
            <w:pPr>
              <w:spacing w:after="20" w:before="20" w:line="240" w:lineRule="auto"/>
            </w:pPr>
            <w:r/>
            <w:r>
              <w:rPr>
                <w:rFonts w:ascii="Aptos" w:hAnsi="Aptos" w:eastAsia="Aptos"/>
                <w:b w:val="0"/>
                <w:sz w:val="16"/>
              </w:rPr>
              <w:t>Is it real-time?</w:t>
            </w:r>
          </w:p>
        </w:tc>
        <w:tc>
          <w:tcPr>
            <w:tcW w:type="dxa" w:w="7992"/>
            <w:vAlign w:val="center"/>
          </w:tcPr>
          <w:p>
            <w:pPr>
              <w:spacing w:after="20" w:before="20" w:line="240" w:lineRule="auto"/>
            </w:pPr>
            <w:r/>
            <w:r>
              <w:rPr>
                <w:rFonts w:ascii="Aptos" w:hAnsi="Aptos" w:eastAsia="Aptos"/>
                <w:b w:val="0"/>
                <w:sz w:val="16"/>
              </w:rPr>
              <w:t>No. It is a lock-protected batch command; incremental mode processes a watermark window only when invoked.</w:t>
            </w:r>
          </w:p>
        </w:tc>
      </w:tr>
      <w:tr>
        <w:trPr>
          <w:cantSplit/>
        </w:trPr>
        <w:tc>
          <w:tcPr>
            <w:tcW w:type="dxa" w:w="2232"/>
            <w:vAlign w:val="center"/>
            <w:shd w:fill="F5F8FB"/>
          </w:tcPr>
          <w:p>
            <w:pPr>
              <w:spacing w:after="20" w:before="20" w:line="240" w:lineRule="auto"/>
            </w:pPr>
            <w:r/>
            <w:r>
              <w:rPr>
                <w:rFonts w:ascii="Aptos" w:hAnsi="Aptos" w:eastAsia="Aptos"/>
                <w:b w:val="0"/>
                <w:sz w:val="16"/>
              </w:rPr>
              <w:t>Does it write to source systems?</w:t>
            </w:r>
          </w:p>
        </w:tc>
        <w:tc>
          <w:tcPr>
            <w:tcW w:type="dxa" w:w="7992"/>
            <w:vAlign w:val="center"/>
            <w:shd w:fill="F5F8FB"/>
          </w:tcPr>
          <w:p>
            <w:pPr>
              <w:spacing w:after="20" w:before="20" w:line="240" w:lineRule="auto"/>
            </w:pPr>
            <w:r/>
            <w:r>
              <w:rPr>
                <w:rFonts w:ascii="Aptos" w:hAnsi="Aptos" w:eastAsia="Aptos"/>
                <w:b w:val="0"/>
                <w:sz w:val="16"/>
              </w:rPr>
              <w:t>No. PostgreSQL is SELECT-only/read-only and OpenSearch is limited to search/count/mapping. Derived outputs are local.</w:t>
            </w:r>
          </w:p>
        </w:tc>
      </w:tr>
      <w:tr>
        <w:trPr>
          <w:cantSplit/>
        </w:trPr>
        <w:tc>
          <w:tcPr>
            <w:tcW w:type="dxa" w:w="2232"/>
            <w:vAlign w:val="center"/>
          </w:tcPr>
          <w:p>
            <w:pPr>
              <w:spacing w:after="20" w:before="20" w:line="240" w:lineRule="auto"/>
            </w:pPr>
            <w:r/>
            <w:r>
              <w:rPr>
                <w:rFonts w:ascii="Aptos" w:hAnsi="Aptos" w:eastAsia="Aptos"/>
                <w:b w:val="0"/>
                <w:sz w:val="16"/>
              </w:rPr>
              <w:t>What is validated?</w:t>
            </w:r>
          </w:p>
        </w:tc>
        <w:tc>
          <w:tcPr>
            <w:tcW w:type="dxa" w:w="7992"/>
            <w:vAlign w:val="center"/>
          </w:tcPr>
          <w:p>
            <w:pPr>
              <w:spacing w:after="20" w:before="20" w:line="240" w:lineRule="auto"/>
            </w:pPr>
            <w:r/>
            <w:r>
              <w:rPr>
                <w:rFonts w:ascii="Aptos" w:hAnsi="Aptos" w:eastAsia="Aptos"/>
                <w:b w:val="0"/>
                <w:sz w:val="16"/>
              </w:rPr>
              <w:t>A 14-day India + Bangladesh pilot. Human validation of cluster and location inspection samples is still open; no historical backfill is approved or run.</w:t>
            </w:r>
          </w:p>
        </w:tc>
      </w:tr>
    </w:tbl>
    <w:p>
      <w:pPr>
        <w:spacing w:after="20"/>
      </w:pPr>
    </w:p>
    <w:p>
      <w:r>
        <w:t>Reading map: architecture → article lifecycle → taxonomy/geography → formulas → event detection → alerts/UI → pilot evidence → tests and caveats.</w:t>
      </w:r>
    </w:p>
    <w:p>
      <w:r>
        <w:br w:type="page"/>
      </w:r>
    </w:p>
    <w:p>
      <w:pPr>
        <w:pStyle w:val="Heading1"/>
      </w:pPr>
      <w:r>
        <w:t>1. Executive overview</w:t>
      </w:r>
    </w:p>
    <w:p>
      <w:r>
        <w:t>The engine answers two different questions. First, “Which topics are unusually active inside this place compared with that place’s own recent history?” Second, “Which newly forming story is being picked up by unusually many independent publishers, or has developed into a meaningfully different sub-story?” It keeps those tests separate because a topic volume spike and a rapidly spreading individual story are not the same signal.</w:t>
      </w:r>
    </w:p>
    <w:p>
      <w:r>
        <w:t>The unit of topic trending is a taxonomy node inside an Area of Interest (AOI) on a publication day. The unit of story detection is a cluster of semantically similar articles, with duplicate copies excluded. The taxonomy is attached after clustering, not used as a hard clustering boundary.</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952"/>
            <w:vAlign w:val="center"/>
            <w:shd w:fill="17365D"/>
          </w:tcPr>
          <w:p>
            <w:pPr>
              <w:spacing w:after="20" w:before="20" w:line="240" w:lineRule="auto"/>
            </w:pPr>
            <w:r/>
            <w:r>
              <w:rPr>
                <w:rFonts w:ascii="Aptos" w:hAnsi="Aptos" w:eastAsia="Aptos"/>
                <w:b/>
                <w:color w:val="FFFFFF"/>
                <w:sz w:val="15"/>
              </w:rPr>
              <w:t>Pilot measure</w:t>
            </w:r>
          </w:p>
        </w:tc>
        <w:tc>
          <w:tcPr>
            <w:tcW w:type="dxa" w:w="2736"/>
            <w:vAlign w:val="center"/>
            <w:shd w:fill="17365D"/>
          </w:tcPr>
          <w:p>
            <w:pPr>
              <w:spacing w:after="20" w:before="20" w:line="240" w:lineRule="auto"/>
            </w:pPr>
            <w:r/>
            <w:r>
              <w:rPr>
                <w:rFonts w:ascii="Aptos" w:hAnsi="Aptos" w:eastAsia="Aptos"/>
                <w:b/>
                <w:color w:val="FFFFFF"/>
                <w:sz w:val="15"/>
              </w:rPr>
              <w:t>Verified value</w:t>
            </w:r>
          </w:p>
        </w:tc>
        <w:tc>
          <w:tcPr>
            <w:tcW w:type="dxa" w:w="4536"/>
            <w:vAlign w:val="center"/>
            <w:shd w:fill="17365D"/>
          </w:tcPr>
          <w:p>
            <w:pPr>
              <w:spacing w:after="20" w:before="20" w:line="240" w:lineRule="auto"/>
            </w:pPr>
            <w:r/>
            <w:r>
              <w:rPr>
                <w:rFonts w:ascii="Aptos" w:hAnsi="Aptos" w:eastAsia="Aptos"/>
                <w:b/>
                <w:color w:val="FFFFFF"/>
                <w:sz w:val="15"/>
              </w:rPr>
              <w:t>Interpretation</w:t>
            </w:r>
          </w:p>
        </w:tc>
      </w:tr>
      <w:tr>
        <w:trPr>
          <w:cantSplit/>
        </w:trPr>
        <w:tc>
          <w:tcPr>
            <w:tcW w:type="dxa" w:w="2952"/>
            <w:vAlign w:val="center"/>
          </w:tcPr>
          <w:p>
            <w:pPr>
              <w:spacing w:after="20" w:before="20" w:line="240" w:lineRule="auto"/>
            </w:pPr>
            <w:r/>
            <w:r>
              <w:rPr>
                <w:rFonts w:ascii="Aptos" w:hAnsi="Aptos" w:eastAsia="Aptos"/>
                <w:b w:val="0"/>
                <w:sz w:val="15"/>
              </w:rPr>
              <w:t>Window and scope</w:t>
            </w:r>
          </w:p>
        </w:tc>
        <w:tc>
          <w:tcPr>
            <w:tcW w:type="dxa" w:w="2736"/>
            <w:vAlign w:val="center"/>
          </w:tcPr>
          <w:p>
            <w:pPr>
              <w:spacing w:after="20" w:before="20" w:line="240" w:lineRule="auto"/>
            </w:pPr>
            <w:r/>
            <w:r>
              <w:rPr>
                <w:rFonts w:ascii="Aptos" w:hAnsi="Aptos" w:eastAsia="Aptos"/>
                <w:b w:val="0"/>
                <w:sz w:val="15"/>
              </w:rPr>
              <w:t>14 days; India + Bangladesh</w:t>
            </w:r>
          </w:p>
        </w:tc>
        <w:tc>
          <w:tcPr>
            <w:tcW w:type="dxa" w:w="4536"/>
            <w:vAlign w:val="center"/>
          </w:tcPr>
          <w:p>
            <w:pPr>
              <w:spacing w:after="20" w:before="20" w:line="240" w:lineRule="auto"/>
            </w:pPr>
            <w:r/>
            <w:r>
              <w:rPr>
                <w:rFonts w:ascii="Aptos" w:hAnsi="Aptos" w:eastAsia="Aptos"/>
                <w:b w:val="0"/>
                <w:sz w:val="15"/>
              </w:rPr>
              <w:t>2026-10-06 to 2026-10-19 inclusive.</w:t>
            </w:r>
          </w:p>
        </w:tc>
      </w:tr>
      <w:tr>
        <w:trPr>
          <w:cantSplit/>
        </w:trPr>
        <w:tc>
          <w:tcPr>
            <w:tcW w:type="dxa" w:w="2952"/>
            <w:vAlign w:val="center"/>
            <w:shd w:fill="F5F8FB"/>
          </w:tcPr>
          <w:p>
            <w:pPr>
              <w:spacing w:after="20" w:before="20" w:line="240" w:lineRule="auto"/>
            </w:pPr>
            <w:r/>
            <w:r>
              <w:rPr>
                <w:rFonts w:ascii="Aptos" w:hAnsi="Aptos" w:eastAsia="Aptos"/>
                <w:b w:val="0"/>
                <w:sz w:val="15"/>
              </w:rPr>
              <w:t>OpenSearch documents seen</w:t>
            </w:r>
          </w:p>
        </w:tc>
        <w:tc>
          <w:tcPr>
            <w:tcW w:type="dxa" w:w="2736"/>
            <w:vAlign w:val="center"/>
            <w:shd w:fill="F5F8FB"/>
          </w:tcPr>
          <w:p>
            <w:pPr>
              <w:spacing w:after="20" w:before="20" w:line="240" w:lineRule="auto"/>
            </w:pPr>
            <w:r/>
            <w:r>
              <w:rPr>
                <w:rFonts w:ascii="Aptos" w:hAnsi="Aptos" w:eastAsia="Aptos"/>
                <w:b w:val="0"/>
                <w:sz w:val="15"/>
              </w:rPr>
              <w:t>57,119</w:t>
            </w:r>
          </w:p>
        </w:tc>
        <w:tc>
          <w:tcPr>
            <w:tcW w:type="dxa" w:w="4536"/>
            <w:vAlign w:val="center"/>
            <w:shd w:fill="F5F8FB"/>
          </w:tcPr>
          <w:p>
            <w:pPr>
              <w:spacing w:after="20" w:before="20" w:line="240" w:lineRule="auto"/>
            </w:pPr>
            <w:r/>
            <w:r>
              <w:rPr>
                <w:rFonts w:ascii="Aptos" w:hAnsi="Aptos" w:eastAsia="Aptos"/>
                <w:b w:val="0"/>
                <w:sz w:val="15"/>
              </w:rPr>
              <w:t>Pilot run summary; article collection was scoped to the countries and dates.</w:t>
            </w:r>
          </w:p>
        </w:tc>
      </w:tr>
      <w:tr>
        <w:trPr>
          <w:cantSplit/>
        </w:trPr>
        <w:tc>
          <w:tcPr>
            <w:tcW w:type="dxa" w:w="2952"/>
            <w:vAlign w:val="center"/>
          </w:tcPr>
          <w:p>
            <w:pPr>
              <w:spacing w:after="20" w:before="20" w:line="240" w:lineRule="auto"/>
            </w:pPr>
            <w:r/>
            <w:r>
              <w:rPr>
                <w:rFonts w:ascii="Aptos" w:hAnsi="Aptos" w:eastAsia="Aptos"/>
                <w:b w:val="0"/>
                <w:sz w:val="15"/>
              </w:rPr>
              <w:t>Facts ingested</w:t>
            </w:r>
          </w:p>
        </w:tc>
        <w:tc>
          <w:tcPr>
            <w:tcW w:type="dxa" w:w="2736"/>
            <w:vAlign w:val="center"/>
          </w:tcPr>
          <w:p>
            <w:pPr>
              <w:spacing w:after="20" w:before="20" w:line="240" w:lineRule="auto"/>
            </w:pPr>
            <w:r/>
            <w:r>
              <w:rPr>
                <w:rFonts w:ascii="Aptos" w:hAnsi="Aptos" w:eastAsia="Aptos"/>
                <w:b w:val="0"/>
                <w:sz w:val="15"/>
              </w:rPr>
              <w:t>56,638</w:t>
            </w:r>
          </w:p>
        </w:tc>
        <w:tc>
          <w:tcPr>
            <w:tcW w:type="dxa" w:w="4536"/>
            <w:vAlign w:val="center"/>
          </w:tcPr>
          <w:p>
            <w:pPr>
              <w:spacing w:after="20" w:before="20" w:line="240" w:lineRule="auto"/>
            </w:pPr>
            <w:r/>
            <w:r>
              <w:rPr>
                <w:rFonts w:ascii="Aptos" w:hAnsi="Aptos" w:eastAsia="Aptos"/>
                <w:b w:val="0"/>
                <w:sz w:val="15"/>
              </w:rPr>
              <w:t>481 date-conflict rows excluded; no usable date was replaced with scrape time.</w:t>
            </w:r>
          </w:p>
        </w:tc>
      </w:tr>
      <w:tr>
        <w:trPr>
          <w:cantSplit/>
        </w:trPr>
        <w:tc>
          <w:tcPr>
            <w:tcW w:type="dxa" w:w="2952"/>
            <w:vAlign w:val="center"/>
            <w:shd w:fill="F5F8FB"/>
          </w:tcPr>
          <w:p>
            <w:pPr>
              <w:spacing w:after="20" w:before="20" w:line="240" w:lineRule="auto"/>
            </w:pPr>
            <w:r/>
            <w:r>
              <w:rPr>
                <w:rFonts w:ascii="Aptos" w:hAnsi="Aptos" w:eastAsia="Aptos"/>
                <w:b w:val="0"/>
                <w:sz w:val="15"/>
              </w:rPr>
              <w:t>Exact duplicate articles</w:t>
            </w:r>
          </w:p>
        </w:tc>
        <w:tc>
          <w:tcPr>
            <w:tcW w:type="dxa" w:w="2736"/>
            <w:vAlign w:val="center"/>
            <w:shd w:fill="F5F8FB"/>
          </w:tcPr>
          <w:p>
            <w:pPr>
              <w:spacing w:after="20" w:before="20" w:line="240" w:lineRule="auto"/>
            </w:pPr>
            <w:r/>
            <w:r>
              <w:rPr>
                <w:rFonts w:ascii="Aptos" w:hAnsi="Aptos" w:eastAsia="Aptos"/>
                <w:b w:val="0"/>
                <w:sz w:val="15"/>
              </w:rPr>
              <w:t>4,690 (8.3% of ingested)</w:t>
            </w:r>
          </w:p>
        </w:tc>
        <w:tc>
          <w:tcPr>
            <w:tcW w:type="dxa" w:w="4536"/>
            <w:vAlign w:val="center"/>
            <w:shd w:fill="F5F8FB"/>
          </w:tcPr>
          <w:p>
            <w:pPr>
              <w:spacing w:after="20" w:before="20" w:line="240" w:lineRule="auto"/>
            </w:pPr>
            <w:r/>
            <w:r>
              <w:rPr>
                <w:rFonts w:ascii="Aptos" w:hAnsi="Aptos" w:eastAsia="Aptos"/>
                <w:b w:val="0"/>
                <w:sz w:val="15"/>
              </w:rPr>
              <w:t>Flagged by content hash and excluded from event counts and AOI metrics.</w:t>
            </w:r>
          </w:p>
        </w:tc>
      </w:tr>
      <w:tr>
        <w:trPr>
          <w:cantSplit/>
        </w:trPr>
        <w:tc>
          <w:tcPr>
            <w:tcW w:type="dxa" w:w="2952"/>
            <w:vAlign w:val="center"/>
          </w:tcPr>
          <w:p>
            <w:pPr>
              <w:spacing w:after="20" w:before="20" w:line="240" w:lineRule="auto"/>
            </w:pPr>
            <w:r/>
            <w:r>
              <w:rPr>
                <w:rFonts w:ascii="Aptos" w:hAnsi="Aptos" w:eastAsia="Aptos"/>
                <w:b w:val="0"/>
                <w:sz w:val="15"/>
              </w:rPr>
              <w:t>Unlabelled articles</w:t>
            </w:r>
          </w:p>
        </w:tc>
        <w:tc>
          <w:tcPr>
            <w:tcW w:type="dxa" w:w="2736"/>
            <w:vAlign w:val="center"/>
          </w:tcPr>
          <w:p>
            <w:pPr>
              <w:spacing w:after="20" w:before="20" w:line="240" w:lineRule="auto"/>
            </w:pPr>
            <w:r/>
            <w:r>
              <w:rPr>
                <w:rFonts w:ascii="Aptos" w:hAnsi="Aptos" w:eastAsia="Aptos"/>
                <w:b w:val="0"/>
                <w:sz w:val="15"/>
              </w:rPr>
              <w:t>3,762 (6.6%)</w:t>
            </w:r>
          </w:p>
        </w:tc>
        <w:tc>
          <w:tcPr>
            <w:tcW w:type="dxa" w:w="4536"/>
            <w:vAlign w:val="center"/>
          </w:tcPr>
          <w:p>
            <w:pPr>
              <w:spacing w:after="20" w:before="20" w:line="240" w:lineRule="auto"/>
            </w:pPr>
            <w:r/>
            <w:r>
              <w:rPr>
                <w:rFonts w:ascii="Aptos" w:hAnsi="Aptos" w:eastAsia="Aptos"/>
                <w:b w:val="0"/>
                <w:sz w:val="15"/>
              </w:rPr>
              <w:t>Retained for event clustering; excluded from taxonomy-node trend panels.</w:t>
            </w:r>
          </w:p>
        </w:tc>
      </w:tr>
      <w:tr>
        <w:trPr>
          <w:cantSplit/>
        </w:trPr>
        <w:tc>
          <w:tcPr>
            <w:tcW w:type="dxa" w:w="2952"/>
            <w:vAlign w:val="center"/>
            <w:shd w:fill="F5F8FB"/>
          </w:tcPr>
          <w:p>
            <w:pPr>
              <w:spacing w:after="20" w:before="20" w:line="240" w:lineRule="auto"/>
            </w:pPr>
            <w:r/>
            <w:r>
              <w:rPr>
                <w:rFonts w:ascii="Aptos" w:hAnsi="Aptos" w:eastAsia="Aptos"/>
                <w:b w:val="0"/>
                <w:sz w:val="15"/>
              </w:rPr>
              <w:t>Non-duplicate articles available for clustering</w:t>
            </w:r>
          </w:p>
        </w:tc>
        <w:tc>
          <w:tcPr>
            <w:tcW w:type="dxa" w:w="2736"/>
            <w:vAlign w:val="center"/>
            <w:shd w:fill="F5F8FB"/>
          </w:tcPr>
          <w:p>
            <w:pPr>
              <w:spacing w:after="20" w:before="20" w:line="240" w:lineRule="auto"/>
            </w:pPr>
            <w:r/>
            <w:r>
              <w:rPr>
                <w:rFonts w:ascii="Aptos" w:hAnsi="Aptos" w:eastAsia="Aptos"/>
                <w:b w:val="0"/>
                <w:sz w:val="15"/>
              </w:rPr>
              <w:t>51,948</w:t>
            </w:r>
          </w:p>
        </w:tc>
        <w:tc>
          <w:tcPr>
            <w:tcW w:type="dxa" w:w="4536"/>
            <w:vAlign w:val="center"/>
            <w:shd w:fill="F5F8FB"/>
          </w:tcPr>
          <w:p>
            <w:pPr>
              <w:spacing w:after="20" w:before="20" w:line="240" w:lineRule="auto"/>
            </w:pPr>
            <w:r/>
            <w:r>
              <w:rPr>
                <w:rFonts w:ascii="Aptos" w:hAnsi="Aptos" w:eastAsia="Aptos"/>
                <w:b w:val="0"/>
                <w:sz w:val="15"/>
              </w:rPr>
              <w:t>No missing vectors were reported in this pilot run.</w:t>
            </w:r>
          </w:p>
        </w:tc>
      </w:tr>
      <w:tr>
        <w:trPr>
          <w:cantSplit/>
        </w:trPr>
        <w:tc>
          <w:tcPr>
            <w:tcW w:type="dxa" w:w="2952"/>
            <w:vAlign w:val="center"/>
          </w:tcPr>
          <w:p>
            <w:pPr>
              <w:spacing w:after="20" w:before="20" w:line="240" w:lineRule="auto"/>
            </w:pPr>
            <w:r/>
            <w:r>
              <w:rPr>
                <w:rFonts w:ascii="Aptos" w:hAnsi="Aptos" w:eastAsia="Aptos"/>
                <w:b w:val="0"/>
                <w:sz w:val="15"/>
              </w:rPr>
              <w:t>Story clusters / qualifying events</w:t>
            </w:r>
          </w:p>
        </w:tc>
        <w:tc>
          <w:tcPr>
            <w:tcW w:type="dxa" w:w="2736"/>
            <w:vAlign w:val="center"/>
          </w:tcPr>
          <w:p>
            <w:pPr>
              <w:spacing w:after="20" w:before="20" w:line="240" w:lineRule="auto"/>
            </w:pPr>
            <w:r/>
            <w:r>
              <w:rPr>
                <w:rFonts w:ascii="Aptos" w:hAnsi="Aptos" w:eastAsia="Aptos"/>
                <w:b w:val="0"/>
                <w:sz w:val="15"/>
              </w:rPr>
              <w:t>25,549 / 2,995</w:t>
            </w:r>
          </w:p>
        </w:tc>
        <w:tc>
          <w:tcPr>
            <w:tcW w:type="dxa" w:w="4536"/>
            <w:vAlign w:val="center"/>
          </w:tcPr>
          <w:p>
            <w:pPr>
              <w:spacing w:after="20" w:before="20" w:line="240" w:lineRule="auto"/>
            </w:pPr>
            <w:r/>
            <w:r>
              <w:rPr>
                <w:rFonts w:ascii="Aptos" w:hAnsi="Aptos" w:eastAsia="Aptos"/>
                <w:b w:val="0"/>
                <w:sz w:val="15"/>
              </w:rPr>
              <w:t>19,128 clusters were singletons (74.9%); qualifying events need ≥3 articles and ≥2 publishers.</w:t>
            </w:r>
          </w:p>
        </w:tc>
      </w:tr>
      <w:tr>
        <w:trPr>
          <w:cantSplit/>
        </w:trPr>
        <w:tc>
          <w:tcPr>
            <w:tcW w:type="dxa" w:w="2952"/>
            <w:vAlign w:val="center"/>
            <w:shd w:fill="F5F8FB"/>
          </w:tcPr>
          <w:p>
            <w:pPr>
              <w:spacing w:after="20" w:before="20" w:line="240" w:lineRule="auto"/>
            </w:pPr>
            <w:r/>
            <w:r>
              <w:rPr>
                <w:rFonts w:ascii="Aptos" w:hAnsi="Aptos" w:eastAsia="Aptos"/>
                <w:b w:val="0"/>
                <w:sz w:val="15"/>
              </w:rPr>
              <w:t>Event-location coverage</w:t>
            </w:r>
          </w:p>
        </w:tc>
        <w:tc>
          <w:tcPr>
            <w:tcW w:type="dxa" w:w="2736"/>
            <w:vAlign w:val="center"/>
            <w:shd w:fill="F5F8FB"/>
          </w:tcPr>
          <w:p>
            <w:pPr>
              <w:spacing w:after="20" w:before="20" w:line="240" w:lineRule="auto"/>
            </w:pPr>
            <w:r/>
            <w:r>
              <w:rPr>
                <w:rFonts w:ascii="Aptos" w:hAnsi="Aptos" w:eastAsia="Aptos"/>
                <w:b w:val="0"/>
                <w:sz w:val="15"/>
              </w:rPr>
              <w:t>20,689 / 51,948 = 39.8%</w:t>
            </w:r>
          </w:p>
        </w:tc>
        <w:tc>
          <w:tcPr>
            <w:tcW w:type="dxa" w:w="4536"/>
            <w:vAlign w:val="center"/>
            <w:shd w:fill="F5F8FB"/>
          </w:tcPr>
          <w:p>
            <w:pPr>
              <w:spacing w:after="20" w:before="20" w:line="240" w:lineRule="auto"/>
            </w:pPr>
            <w:r/>
            <w:r>
              <w:rPr>
                <w:rFonts w:ascii="Aptos" w:hAnsi="Aptos" w:eastAsia="Aptos"/>
                <w:b w:val="0"/>
                <w:sz w:val="15"/>
              </w:rPr>
              <w:t>GDELT ActionGeo is absent or unusable for most articles; absence remains visible.</w:t>
            </w:r>
          </w:p>
        </w:tc>
      </w:tr>
      <w:tr>
        <w:trPr>
          <w:cantSplit/>
        </w:trPr>
        <w:tc>
          <w:tcPr>
            <w:tcW w:type="dxa" w:w="2952"/>
            <w:vAlign w:val="center"/>
          </w:tcPr>
          <w:p>
            <w:pPr>
              <w:spacing w:after="20" w:before="20" w:line="240" w:lineRule="auto"/>
            </w:pPr>
            <w:r/>
            <w:r>
              <w:rPr>
                <w:rFonts w:ascii="Aptos" w:hAnsi="Aptos" w:eastAsia="Aptos"/>
                <w:b w:val="0"/>
                <w:sz w:val="15"/>
              </w:rPr>
              <w:t>Supported AOIs / active alerts</w:t>
            </w:r>
          </w:p>
        </w:tc>
        <w:tc>
          <w:tcPr>
            <w:tcW w:type="dxa" w:w="2736"/>
            <w:vAlign w:val="center"/>
          </w:tcPr>
          <w:p>
            <w:pPr>
              <w:spacing w:after="20" w:before="20" w:line="240" w:lineRule="auto"/>
            </w:pPr>
            <w:r/>
            <w:r>
              <w:rPr>
                <w:rFonts w:ascii="Aptos" w:hAnsi="Aptos" w:eastAsia="Aptos"/>
                <w:b w:val="0"/>
                <w:sz w:val="15"/>
              </w:rPr>
              <w:t>15 of 47 / 423</w:t>
            </w:r>
          </w:p>
        </w:tc>
        <w:tc>
          <w:tcPr>
            <w:tcW w:type="dxa" w:w="4536"/>
            <w:vAlign w:val="center"/>
          </w:tcPr>
          <w:p>
            <w:pPr>
              <w:spacing w:after="20" w:before="20" w:line="240" w:lineRule="auto"/>
            </w:pPr>
            <w:r/>
            <w:r>
              <w:rPr>
                <w:rFonts w:ascii="Aptos" w:hAnsi="Aptos" w:eastAsia="Aptos"/>
                <w:b w:val="0"/>
                <w:sz w:val="15"/>
              </w:rPr>
              <w:t>96 node-trend, 62 emerging-event, and 265 new-development alerts in the pilot snapshot.</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FCECC9"/>
          </w:tcPr>
          <w:p>
            <w:pPr>
              <w:spacing w:after="40"/>
            </w:pPr>
            <w:r/>
            <w:r>
              <w:rPr>
                <w:b/>
                <w:color w:val="007C91"/>
              </w:rPr>
              <w:t xml:space="preserve">Interpretation guardrail  </w:t>
            </w:r>
            <w:r>
              <w:t>A q-value below 0.05 is a statistical screen, not a claim that an article grouping is correct or that an event is important. Cluster quality and geographic accuracy still require analyst review.</w:t>
            </w:r>
          </w:p>
        </w:tc>
      </w:tr>
    </w:tbl>
    <w:p>
      <w:pPr>
        <w:spacing w:after="20"/>
      </w:pPr>
    </w:p>
    <w:p>
      <w:pPr>
        <w:pStyle w:val="Heading1"/>
      </w:pPr>
      <w:r>
        <w:t>2. System architecture and data flow</w:t>
      </w:r>
    </w:p>
    <w:p>
      <w:r>
        <w:t>The processing path is additive and shares one implementation between pilot, range/backfill, and incremental runs. The current pilot database is data/news_pilot_india_bangladesh.duckdb; non-pilot modes default to data/news_metrics.duckdb. PostgreSQL and OpenSearch are input systems only.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2016"/>
            <w:vAlign w:val="center"/>
            <w:shd w:fill="EAF2F8"/>
          </w:tcPr>
          <w:p>
            <w:pPr>
              <w:spacing w:after="20" w:before="20" w:line="240" w:lineRule="auto"/>
            </w:pPr>
            <w:r/>
            <w:r>
              <w:rPr>
                <w:rFonts w:ascii="Aptos" w:hAnsi="Aptos" w:eastAsia="Aptos"/>
                <w:b/>
                <w:color w:val="17365D"/>
                <w:sz w:val="16"/>
              </w:rPr>
              <w:t>1  SOURCES</w:t>
              <w:br/>
              <w:t>OpenSearch</w:t>
              <w:br/>
              <w:t>full-articles</w:t>
              <w:br/>
              <w:t>PG labels/taxonomy</w:t>
            </w:r>
          </w:p>
        </w:tc>
        <w:tc>
          <w:tcPr>
            <w:tcW w:type="dxa" w:w="2016"/>
            <w:vAlign w:val="center"/>
            <w:shd w:fill="E9F5F6"/>
          </w:tcPr>
          <w:p>
            <w:pPr>
              <w:spacing w:after="20" w:before="20" w:line="240" w:lineRule="auto"/>
            </w:pPr>
            <w:r/>
            <w:r>
              <w:rPr>
                <w:rFonts w:ascii="Aptos" w:hAnsi="Aptos" w:eastAsia="Aptos"/>
                <w:b/>
                <w:color w:val="17365D"/>
                <w:sz w:val="16"/>
              </w:rPr>
              <w:t>2  INGEST</w:t>
              <w:br/>
              <w:t>Date validation</w:t>
              <w:br/>
              <w:t>label join</w:t>
              <w:br/>
              <w:t>content-hash dedupe</w:t>
            </w:r>
          </w:p>
        </w:tc>
        <w:tc>
          <w:tcPr>
            <w:tcW w:type="dxa" w:w="2016"/>
            <w:vAlign w:val="center"/>
            <w:shd w:fill="EAF2F8"/>
          </w:tcPr>
          <w:p>
            <w:pPr>
              <w:spacing w:after="20" w:before="20" w:line="240" w:lineRule="auto"/>
            </w:pPr>
            <w:r/>
            <w:r>
              <w:rPr>
                <w:rFonts w:ascii="Aptos" w:hAnsi="Aptos" w:eastAsia="Aptos"/>
                <w:b/>
                <w:color w:val="17365D"/>
                <w:sz w:val="16"/>
              </w:rPr>
              <w:t>3  ENRICH</w:t>
              <w:br/>
              <w:t>GDELT location</w:t>
              <w:br/>
              <w:t>embeddings</w:t>
              <w:br/>
              <w:t>online event clusters</w:t>
            </w:r>
          </w:p>
        </w:tc>
        <w:tc>
          <w:tcPr>
            <w:tcW w:type="dxa" w:w="2016"/>
            <w:vAlign w:val="center"/>
            <w:shd w:fill="E9F5F6"/>
          </w:tcPr>
          <w:p>
            <w:pPr>
              <w:spacing w:after="20" w:before="20" w:line="240" w:lineRule="auto"/>
            </w:pPr>
            <w:r/>
            <w:r>
              <w:rPr>
                <w:rFonts w:ascii="Aptos" w:hAnsi="Aptos" w:eastAsia="Aptos"/>
                <w:b/>
                <w:color w:val="17365D"/>
                <w:sz w:val="16"/>
              </w:rPr>
              <w:t>4  ANALYZE</w:t>
              <w:br/>
              <w:t>AOIs + taxonomy</w:t>
              <w:br/>
              <w:t>trend panels</w:t>
              <w:br/>
              <w:t>emerging/development</w:t>
            </w:r>
          </w:p>
        </w:tc>
        <w:tc>
          <w:tcPr>
            <w:tcW w:type="dxa" w:w="2016"/>
            <w:vAlign w:val="center"/>
            <w:shd w:fill="EAF2F8"/>
          </w:tcPr>
          <w:p>
            <w:pPr>
              <w:spacing w:after="20" w:before="20" w:line="240" w:lineRule="auto"/>
            </w:pPr>
            <w:r/>
            <w:r>
              <w:rPr>
                <w:rFonts w:ascii="Aptos" w:hAnsi="Aptos" w:eastAsia="Aptos"/>
                <w:b/>
                <w:color w:val="17365D"/>
                <w:sz w:val="16"/>
              </w:rPr>
              <w:t>5  SERVE</w:t>
              <w:br/>
              <w:t>Derived DuckDB</w:t>
              <w:br/>
              <w:t>read-only JSON API</w:t>
              <w:br/>
              <w:t>localhost dashboard</w:t>
            </w:r>
          </w:p>
        </w:tc>
      </w:tr>
      <w:tr>
        <w:trPr>
          <w:cantSplit/>
        </w:trPr>
        <w:tc>
          <w:tcPr>
            <w:tcW w:type="dxa" w:w="2016"/>
            <w:vAlign w:val="center"/>
          </w:tcPr>
          <w:p>
            <w:pPr>
              <w:spacing w:after="20" w:before="20" w:line="240" w:lineRule="auto"/>
              <w:jc w:val="center"/>
            </w:pPr>
            <w:r/>
            <w:r>
              <w:rPr>
                <w:rFonts w:ascii="Aptos" w:hAnsi="Aptos" w:eastAsia="Aptos"/>
                <w:b/>
                <w:color w:val="007C91"/>
                <w:sz w:val="18"/>
              </w:rPr>
              <w:t>→</w:t>
            </w:r>
          </w:p>
        </w:tc>
        <w:tc>
          <w:tcPr>
            <w:tcW w:type="dxa" w:w="2016"/>
            <w:vAlign w:val="center"/>
          </w:tcPr>
          <w:p>
            <w:pPr>
              <w:spacing w:after="20" w:before="20" w:line="240" w:lineRule="auto"/>
              <w:jc w:val="center"/>
            </w:pPr>
            <w:r/>
            <w:r>
              <w:rPr>
                <w:rFonts w:ascii="Aptos" w:hAnsi="Aptos" w:eastAsia="Aptos"/>
                <w:b/>
                <w:color w:val="007C91"/>
                <w:sz w:val="18"/>
              </w:rPr>
              <w:t>→</w:t>
            </w:r>
          </w:p>
        </w:tc>
        <w:tc>
          <w:tcPr>
            <w:tcW w:type="dxa" w:w="2016"/>
            <w:vAlign w:val="center"/>
          </w:tcPr>
          <w:p>
            <w:pPr>
              <w:spacing w:after="20" w:before="20" w:line="240" w:lineRule="auto"/>
              <w:jc w:val="center"/>
            </w:pPr>
            <w:r/>
            <w:r>
              <w:rPr>
                <w:rFonts w:ascii="Aptos" w:hAnsi="Aptos" w:eastAsia="Aptos"/>
                <w:b/>
                <w:color w:val="007C91"/>
                <w:sz w:val="18"/>
              </w:rPr>
              <w:t>→</w:t>
            </w:r>
          </w:p>
        </w:tc>
        <w:tc>
          <w:tcPr>
            <w:tcW w:type="dxa" w:w="2016"/>
            <w:vAlign w:val="center"/>
          </w:tcPr>
          <w:p>
            <w:pPr>
              <w:spacing w:after="20" w:before="20" w:line="240" w:lineRule="auto"/>
              <w:jc w:val="center"/>
            </w:pPr>
            <w:r/>
            <w:r>
              <w:rPr>
                <w:rFonts w:ascii="Aptos" w:hAnsi="Aptos" w:eastAsia="Aptos"/>
                <w:b/>
                <w:color w:val="007C91"/>
                <w:sz w:val="18"/>
              </w:rPr>
              <w:t>→</w:t>
            </w:r>
          </w:p>
        </w:tc>
        <w:tc>
          <w:tcPr>
            <w:tcW w:type="dxa" w:w="2016"/>
            <w:vAlign w:val="center"/>
          </w:tcPr>
          <w:p>
            <w:pPr>
              <w:spacing w:after="20" w:before="20" w:line="240" w:lineRule="auto"/>
              <w:jc w:val="center"/>
            </w:pPr>
            <w:r/>
            <w:r>
              <w:rPr>
                <w:rFonts w:ascii="Aptos" w:hAnsi="Aptos" w:eastAsia="Aptos"/>
                <w:b/>
                <w:color w:val="007C91"/>
                <w:sz w:val="18"/>
              </w:rPr>
              <w:t>Browser / evidence</w:t>
            </w:r>
          </w:p>
        </w:tc>
      </w:tr>
    </w:tbl>
    <w:p/>
    <w:p>
      <w:r>
        <w:t>The diagram is a functional boundary: only the derived DuckDB is written by the engine; the dashboard/API opens that store read-only. API-computed polygon/box/radius views run the same functions in memory and are not persisted.</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944"/>
            <w:vAlign w:val="center"/>
            <w:shd w:fill="17365D"/>
          </w:tcPr>
          <w:p>
            <w:pPr>
              <w:spacing w:after="20" w:before="20" w:line="240" w:lineRule="auto"/>
            </w:pPr>
            <w:r/>
            <w:r>
              <w:rPr>
                <w:rFonts w:ascii="Aptos" w:hAnsi="Aptos" w:eastAsia="Aptos"/>
                <w:b/>
                <w:color w:val="FFFFFF"/>
                <w:sz w:val="16"/>
              </w:rPr>
              <w:t>Run path</w:t>
            </w:r>
          </w:p>
        </w:tc>
        <w:tc>
          <w:tcPr>
            <w:tcW w:type="dxa" w:w="3960"/>
            <w:vAlign w:val="center"/>
            <w:shd w:fill="17365D"/>
          </w:tcPr>
          <w:p>
            <w:pPr>
              <w:spacing w:after="20" w:before="20" w:line="240" w:lineRule="auto"/>
            </w:pPr>
            <w:r/>
            <w:r>
              <w:rPr>
                <w:rFonts w:ascii="Aptos" w:hAnsi="Aptos" w:eastAsia="Aptos"/>
                <w:b/>
                <w:color w:val="FFFFFF"/>
                <w:sz w:val="16"/>
              </w:rPr>
              <w:t>How discovery differs</w:t>
            </w:r>
          </w:p>
        </w:tc>
        <w:tc>
          <w:tcPr>
            <w:tcW w:type="dxa" w:w="4320"/>
            <w:vAlign w:val="center"/>
            <w:shd w:fill="17365D"/>
          </w:tcPr>
          <w:p>
            <w:pPr>
              <w:spacing w:after="20" w:before="20" w:line="240" w:lineRule="auto"/>
            </w:pPr>
            <w:r/>
            <w:r>
              <w:rPr>
                <w:rFonts w:ascii="Aptos" w:hAnsi="Aptos" w:eastAsia="Aptos"/>
                <w:b/>
                <w:color w:val="FFFFFF"/>
                <w:sz w:val="16"/>
              </w:rPr>
              <w:t>Shared work after discovery</w:t>
            </w:r>
          </w:p>
        </w:tc>
      </w:tr>
      <w:tr>
        <w:trPr>
          <w:cantSplit/>
        </w:trPr>
        <w:tc>
          <w:tcPr>
            <w:tcW w:type="dxa" w:w="1944"/>
            <w:vAlign w:val="center"/>
          </w:tcPr>
          <w:p>
            <w:pPr>
              <w:spacing w:after="20" w:before="20" w:line="240" w:lineRule="auto"/>
            </w:pPr>
            <w:r/>
            <w:r>
              <w:rPr>
                <w:rFonts w:ascii="Aptos" w:hAnsi="Aptos" w:eastAsia="Aptos"/>
                <w:b w:val="0"/>
                <w:sz w:val="16"/>
              </w:rPr>
              <w:t>Pilot / range / backfill</w:t>
            </w:r>
          </w:p>
        </w:tc>
        <w:tc>
          <w:tcPr>
            <w:tcW w:type="dxa" w:w="3960"/>
            <w:vAlign w:val="center"/>
          </w:tcPr>
          <w:p>
            <w:pPr>
              <w:spacing w:after="20" w:before="20" w:line="240" w:lineRule="auto"/>
            </w:pPr>
            <w:r/>
            <w:r>
              <w:rPr>
                <w:rFonts w:ascii="Aptos" w:hAnsi="Aptos" w:eastAsia="Aptos"/>
                <w:b w:val="0"/>
                <w:sz w:val="16"/>
              </w:rPr>
              <w:t>Search OpenSearch by published_at day; a completed day can be skipped, or explicitly forced.</w:t>
            </w:r>
          </w:p>
        </w:tc>
        <w:tc>
          <w:tcPr>
            <w:tcW w:type="dxa" w:w="4320"/>
            <w:vAlign w:val="center"/>
          </w:tcPr>
          <w:p>
            <w:pPr>
              <w:spacing w:after="20" w:before="20" w:line="240" w:lineRule="auto"/>
            </w:pPr>
            <w:r/>
            <w:r>
              <w:rPr>
                <w:rFonts w:ascii="Aptos" w:hAnsi="Aptos" w:eastAsia="Aptos"/>
                <w:b w:val="0"/>
                <w:sz w:val="16"/>
              </w:rPr>
              <w:t>ingest → resolve late labels → cluster → recompute AOI/event metrics, tests and alerts.</w:t>
            </w:r>
          </w:p>
        </w:tc>
      </w:tr>
      <w:tr>
        <w:trPr>
          <w:cantSplit/>
        </w:trPr>
        <w:tc>
          <w:tcPr>
            <w:tcW w:type="dxa" w:w="1944"/>
            <w:vAlign w:val="center"/>
            <w:shd w:fill="F5F8FB"/>
          </w:tcPr>
          <w:p>
            <w:pPr>
              <w:spacing w:after="20" w:before="20" w:line="240" w:lineRule="auto"/>
            </w:pPr>
            <w:r/>
            <w:r>
              <w:rPr>
                <w:rFonts w:ascii="Aptos" w:hAnsi="Aptos" w:eastAsia="Aptos"/>
                <w:b w:val="0"/>
                <w:sz w:val="16"/>
              </w:rPr>
              <w:t>Incremental</w:t>
            </w:r>
          </w:p>
        </w:tc>
        <w:tc>
          <w:tcPr>
            <w:tcW w:type="dxa" w:w="3960"/>
            <w:vAlign w:val="center"/>
            <w:shd w:fill="F5F8FB"/>
          </w:tcPr>
          <w:p>
            <w:pPr>
              <w:spacing w:after="20" w:before="20" w:line="240" w:lineRule="auto"/>
            </w:pPr>
            <w:r/>
            <w:r>
              <w:rPr>
                <w:rFonts w:ascii="Aptos" w:hAnsi="Aptos" w:eastAsia="Aptos"/>
                <w:b w:val="0"/>
                <w:sz w:val="16"/>
              </w:rPr>
              <w:t>Search by OpenSearch ingested_at watermark, with a 6-hour overlap; idempotency removes repeats.</w:t>
            </w:r>
          </w:p>
        </w:tc>
        <w:tc>
          <w:tcPr>
            <w:tcW w:type="dxa" w:w="4320"/>
            <w:vAlign w:val="center"/>
            <w:shd w:fill="F5F8FB"/>
          </w:tcPr>
          <w:p>
            <w:pPr>
              <w:spacing w:after="20" w:before="20" w:line="240" w:lineRule="auto"/>
            </w:pPr>
            <w:r/>
            <w:r>
              <w:rPr>
                <w:rFonts w:ascii="Aptos" w:hAnsi="Aptos" w:eastAsia="Aptos"/>
                <w:b w:val="0"/>
                <w:sz w:val="16"/>
              </w:rPr>
              <w:t>Same ingestion/enrichment, then only affected AOIs/clusters are recomputed.</w:t>
            </w:r>
          </w:p>
        </w:tc>
      </w:tr>
      <w:tr>
        <w:trPr>
          <w:cantSplit/>
        </w:trPr>
        <w:tc>
          <w:tcPr>
            <w:tcW w:type="dxa" w:w="1944"/>
            <w:vAlign w:val="center"/>
          </w:tcPr>
          <w:p>
            <w:pPr>
              <w:spacing w:after="20" w:before="20" w:line="240" w:lineRule="auto"/>
            </w:pPr>
            <w:r/>
            <w:r>
              <w:rPr>
                <w:rFonts w:ascii="Aptos" w:hAnsi="Aptos" w:eastAsia="Aptos"/>
                <w:b w:val="0"/>
                <w:sz w:val="16"/>
              </w:rPr>
              <w:t>Read-only plan/status</w:t>
            </w:r>
          </w:p>
        </w:tc>
        <w:tc>
          <w:tcPr>
            <w:tcW w:type="dxa" w:w="3960"/>
            <w:vAlign w:val="center"/>
          </w:tcPr>
          <w:p>
            <w:pPr>
              <w:spacing w:after="20" w:before="20" w:line="240" w:lineRule="auto"/>
            </w:pPr>
            <w:r/>
            <w:r>
              <w:rPr>
                <w:rFonts w:ascii="Aptos" w:hAnsi="Aptos" w:eastAsia="Aptos"/>
                <w:b w:val="0"/>
                <w:sz w:val="16"/>
              </w:rPr>
              <w:t>Plan uses counts only; status opens the derived DB read-only.</w:t>
            </w:r>
          </w:p>
        </w:tc>
        <w:tc>
          <w:tcPr>
            <w:tcW w:type="dxa" w:w="4320"/>
            <w:vAlign w:val="center"/>
          </w:tcPr>
          <w:p>
            <w:pPr>
              <w:spacing w:after="20" w:before="20" w:line="240" w:lineRule="auto"/>
            </w:pPr>
            <w:r/>
            <w:r>
              <w:rPr>
                <w:rFonts w:ascii="Aptos" w:hAnsi="Aptos" w:eastAsia="Aptos"/>
                <w:b w:val="0"/>
                <w:sz w:val="16"/>
              </w:rPr>
              <w:t>Does not classify or ingest articles.</w:t>
            </w:r>
          </w:p>
        </w:tc>
      </w:tr>
    </w:tbl>
    <w:p>
      <w:pPr>
        <w:spacing w:after="20"/>
      </w:pPr>
    </w:p>
    <w:p>
      <w:pPr>
        <w:pStyle w:val="Heading2"/>
      </w:pPr>
      <w:r>
        <w:t>Source and write boundaries</w:t>
      </w:r>
    </w:p>
    <w:p>
      <w:pPr>
        <w:pStyle w:val="ListBullet"/>
        <w:spacing w:after="40"/>
      </w:pPr>
      <w:r>
        <w:t>PostgreSQL: article labels from tmc.article_label and taxonomy nodes from tmc.taxonomy_node. The client requires SELECT/WITH statements, starts a read-only session with REPEATABLE READ and statement timeout, and rolls back each read transaction.</w:t>
      </w:r>
    </w:p>
    <w:p>
      <w:pPr>
        <w:pStyle w:val="ListBullet"/>
        <w:spacing w:after="40"/>
      </w:pPr>
      <w:r>
        <w:t>OpenSearch: full-articles index. The client allows only _search, _count, and _mapping; scan uses search_after rather than a scroll/PIT. Metadata is read first; embeddings are fetched for clustering or selected development tests.</w:t>
      </w:r>
    </w:p>
    <w:p>
      <w:pPr>
        <w:pStyle w:val="ListBullet"/>
        <w:spacing w:after="40"/>
      </w:pPr>
      <w:r>
        <w:t>Local derived store: article_fact, article_geo, event_cluster, event_metrics, event_aoi_test, event_development, AOI/node panels, burst episodes, alert and run/checkpoint tables.</w:t>
      </w:r>
    </w:p>
    <w:p>
      <w:pPr>
        <w:pStyle w:val="ListBullet"/>
        <w:spacing w:after="40"/>
      </w:pPr>
      <w:r>
        <w:t>The one-shot process uses a file lock; per-day ingestion plus checkpoint is transactional; UPSERT keys and deterministic event IDs make reruns resumable/idempotent.</w:t>
      </w:r>
    </w:p>
    <w:p>
      <w:pPr>
        <w:pStyle w:val="Heading1"/>
      </w:pPr>
      <w:r>
        <w:t>3. Article processing: from source row to usable evidence</w:t>
      </w:r>
    </w:p>
    <w:p>
      <w:r>
        <w:t>Each source article is identified by (source_table, article_id), with the OpenSearch document key corresponding to the source table and article ID. OpenSearch is normalized into a compact fact record. PostgreSQL labels are attached by exact key; duplicate OpenSearch IDs across backing indices are collapsed before ingestion.</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584"/>
            <w:vAlign w:val="center"/>
            <w:shd w:fill="17365D"/>
          </w:tcPr>
          <w:p>
            <w:pPr>
              <w:spacing w:after="20" w:before="20" w:line="240" w:lineRule="auto"/>
            </w:pPr>
            <w:r/>
            <w:r>
              <w:rPr>
                <w:rFonts w:ascii="Aptos" w:hAnsi="Aptos" w:eastAsia="Aptos"/>
                <w:b/>
                <w:color w:val="FFFFFF"/>
                <w:sz w:val="15"/>
              </w:rPr>
              <w:t>Stage</w:t>
            </w:r>
          </w:p>
        </w:tc>
        <w:tc>
          <w:tcPr>
            <w:tcW w:type="dxa" w:w="4536"/>
            <w:vAlign w:val="center"/>
            <w:shd w:fill="17365D"/>
          </w:tcPr>
          <w:p>
            <w:pPr>
              <w:spacing w:after="20" w:before="20" w:line="240" w:lineRule="auto"/>
            </w:pPr>
            <w:r/>
            <w:r>
              <w:rPr>
                <w:rFonts w:ascii="Aptos" w:hAnsi="Aptos" w:eastAsia="Aptos"/>
                <w:b/>
                <w:color w:val="FFFFFF"/>
                <w:sz w:val="15"/>
              </w:rPr>
              <w:t>Actual rule</w:t>
            </w:r>
          </w:p>
        </w:tc>
        <w:tc>
          <w:tcPr>
            <w:tcW w:type="dxa" w:w="4104"/>
            <w:vAlign w:val="center"/>
            <w:shd w:fill="17365D"/>
          </w:tcPr>
          <w:p>
            <w:pPr>
              <w:spacing w:after="20" w:before="20" w:line="240" w:lineRule="auto"/>
            </w:pPr>
            <w:r/>
            <w:r>
              <w:rPr>
                <w:rFonts w:ascii="Aptos" w:hAnsi="Aptos" w:eastAsia="Aptos"/>
                <w:b/>
                <w:color w:val="FFFFFF"/>
                <w:sz w:val="15"/>
              </w:rPr>
              <w:t>Why it matters / stored outcome</w:t>
            </w:r>
          </w:p>
        </w:tc>
      </w:tr>
      <w:tr>
        <w:trPr>
          <w:cantSplit/>
        </w:trPr>
        <w:tc>
          <w:tcPr>
            <w:tcW w:type="dxa" w:w="1584"/>
            <w:vAlign w:val="center"/>
          </w:tcPr>
          <w:p>
            <w:pPr>
              <w:spacing w:after="20" w:before="20" w:line="240" w:lineRule="auto"/>
            </w:pPr>
            <w:r/>
            <w:r>
              <w:rPr>
                <w:rFonts w:ascii="Aptos" w:hAnsi="Aptos" w:eastAsia="Aptos"/>
                <w:b w:val="0"/>
                <w:sz w:val="15"/>
              </w:rPr>
              <w:t>Publication date</w:t>
            </w:r>
          </w:p>
        </w:tc>
        <w:tc>
          <w:tcPr>
            <w:tcW w:type="dxa" w:w="4536"/>
            <w:vAlign w:val="center"/>
          </w:tcPr>
          <w:p>
            <w:pPr>
              <w:spacing w:after="20" w:before="20" w:line="240" w:lineRule="auto"/>
            </w:pPr>
            <w:r/>
            <w:r>
              <w:rPr>
                <w:rFonts w:ascii="Aptos" w:hAnsi="Aptos" w:eastAsia="Aptos"/>
                <w:b w:val="0"/>
                <w:sz w:val="15"/>
              </w:rPr>
              <w:t>Use published_at only. Reject missing/invalid timestamps, year &lt; 2000, more than one day in the future, and (by default) published_at_conflict.</w:t>
            </w:r>
          </w:p>
        </w:tc>
        <w:tc>
          <w:tcPr>
            <w:tcW w:type="dxa" w:w="4104"/>
            <w:vAlign w:val="center"/>
          </w:tcPr>
          <w:p>
            <w:pPr>
              <w:spacing w:after="20" w:before="20" w:line="240" w:lineRule="auto"/>
            </w:pPr>
            <w:r/>
            <w:r>
              <w:rPr>
                <w:rFonts w:ascii="Aptos" w:hAnsi="Aptos" w:eastAsia="Aptos"/>
                <w:b w:val="0"/>
                <w:sz w:val="15"/>
              </w:rPr>
              <w:t>scraped_at is never substituted. Rejected records are in excluded_article with a reason; NULL/gap is not zero.</w:t>
            </w:r>
          </w:p>
        </w:tc>
      </w:tr>
      <w:tr>
        <w:trPr>
          <w:cantSplit/>
        </w:trPr>
        <w:tc>
          <w:tcPr>
            <w:tcW w:type="dxa" w:w="1584"/>
            <w:vAlign w:val="center"/>
            <w:shd w:fill="F5F8FB"/>
          </w:tcPr>
          <w:p>
            <w:pPr>
              <w:spacing w:after="20" w:before="20" w:line="240" w:lineRule="auto"/>
            </w:pPr>
            <w:r/>
            <w:r>
              <w:rPr>
                <w:rFonts w:ascii="Aptos" w:hAnsi="Aptos" w:eastAsia="Aptos"/>
                <w:b w:val="0"/>
                <w:sz w:val="15"/>
              </w:rPr>
              <w:t>Taxonomy label</w:t>
            </w:r>
          </w:p>
        </w:tc>
        <w:tc>
          <w:tcPr>
            <w:tcW w:type="dxa" w:w="4536"/>
            <w:vAlign w:val="center"/>
            <w:shd w:fill="F5F8FB"/>
          </w:tcPr>
          <w:p>
            <w:pPr>
              <w:spacing w:after="20" w:before="20" w:line="240" w:lineRule="auto"/>
            </w:pPr>
            <w:r/>
            <w:r>
              <w:rPr>
                <w:rFonts w:ascii="Aptos" w:hAnsi="Aptos" w:eastAsia="Aptos"/>
                <w:b w:val="0"/>
                <w:sz w:val="15"/>
              </w:rPr>
              <w:t>Latest classified label by classified_at for the (source_table, article_id) key.</w:t>
            </w:r>
          </w:p>
        </w:tc>
        <w:tc>
          <w:tcPr>
            <w:tcW w:type="dxa" w:w="4104"/>
            <w:vAlign w:val="center"/>
            <w:shd w:fill="F5F8FB"/>
          </w:tcPr>
          <w:p>
            <w:pPr>
              <w:spacing w:after="20" w:before="20" w:line="240" w:lineRule="auto"/>
            </w:pPr>
            <w:r/>
            <w:r>
              <w:rPr>
                <w:rFonts w:ascii="Aptos" w:hAnsi="Aptos" w:eastAsia="Aptos"/>
                <w:b w:val="0"/>
                <w:sz w:val="15"/>
              </w:rPr>
              <w:t>Missing labels are retained with has_label=false and tracked in pending_label for later retry.</w:t>
            </w:r>
          </w:p>
        </w:tc>
      </w:tr>
      <w:tr>
        <w:trPr>
          <w:cantSplit/>
        </w:trPr>
        <w:tc>
          <w:tcPr>
            <w:tcW w:type="dxa" w:w="1584"/>
            <w:vAlign w:val="center"/>
          </w:tcPr>
          <w:p>
            <w:pPr>
              <w:spacing w:after="20" w:before="20" w:line="240" w:lineRule="auto"/>
            </w:pPr>
            <w:r/>
            <w:r>
              <w:rPr>
                <w:rFonts w:ascii="Aptos" w:hAnsi="Aptos" w:eastAsia="Aptos"/>
                <w:b w:val="0"/>
                <w:sz w:val="15"/>
              </w:rPr>
              <w:t>Duplicate detection</w:t>
            </w:r>
          </w:p>
        </w:tc>
        <w:tc>
          <w:tcPr>
            <w:tcW w:type="dxa" w:w="4536"/>
            <w:vAlign w:val="center"/>
          </w:tcPr>
          <w:p>
            <w:pPr>
              <w:spacing w:after="20" w:before="20" w:line="240" w:lineRule="auto"/>
            </w:pPr>
            <w:r/>
            <w:r>
              <w:rPr>
                <w:rFonts w:ascii="Aptos" w:hAnsi="Aptos" w:eastAsia="Aptos"/>
                <w:b w:val="0"/>
                <w:sz w:val="15"/>
              </w:rPr>
              <w:t>If content_hash repeats, earliest published article wins (stable key tie-break); later copy gets is_duplicate and dup_of.</w:t>
            </w:r>
          </w:p>
        </w:tc>
        <w:tc>
          <w:tcPr>
            <w:tcW w:type="dxa" w:w="4104"/>
            <w:vAlign w:val="center"/>
          </w:tcPr>
          <w:p>
            <w:pPr>
              <w:spacing w:after="20" w:before="20" w:line="240" w:lineRule="auto"/>
            </w:pPr>
            <w:r/>
            <w:r>
              <w:rPr>
                <w:rFonts w:ascii="Aptos" w:hAnsi="Aptos" w:eastAsia="Aptos"/>
                <w:b w:val="0"/>
                <w:sz w:val="15"/>
              </w:rPr>
              <w:t>Copies are counted in n_copies / syndication share but not counted as unique event or AOI articles.</w:t>
            </w:r>
          </w:p>
        </w:tc>
      </w:tr>
      <w:tr>
        <w:trPr>
          <w:cantSplit/>
        </w:trPr>
        <w:tc>
          <w:tcPr>
            <w:tcW w:type="dxa" w:w="1584"/>
            <w:vAlign w:val="center"/>
            <w:shd w:fill="F5F8FB"/>
          </w:tcPr>
          <w:p>
            <w:pPr>
              <w:spacing w:after="20" w:before="20" w:line="240" w:lineRule="auto"/>
            </w:pPr>
            <w:r/>
            <w:r>
              <w:rPr>
                <w:rFonts w:ascii="Aptos" w:hAnsi="Aptos" w:eastAsia="Aptos"/>
                <w:b w:val="0"/>
                <w:sz w:val="15"/>
              </w:rPr>
              <w:t>Publication day</w:t>
            </w:r>
          </w:p>
        </w:tc>
        <w:tc>
          <w:tcPr>
            <w:tcW w:type="dxa" w:w="4536"/>
            <w:vAlign w:val="center"/>
            <w:shd w:fill="F5F8FB"/>
          </w:tcPr>
          <w:p>
            <w:pPr>
              <w:spacing w:after="20" w:before="20" w:line="240" w:lineRule="auto"/>
            </w:pPr>
            <w:r/>
            <w:r>
              <w:rPr>
                <w:rFonts w:ascii="Aptos" w:hAnsi="Aptos" w:eastAsia="Aptos"/>
                <w:b w:val="0"/>
                <w:sz w:val="15"/>
              </w:rPr>
              <w:t>Bucket published_at in UTC (configured day_tz is UTC).</w:t>
            </w:r>
          </w:p>
        </w:tc>
        <w:tc>
          <w:tcPr>
            <w:tcW w:type="dxa" w:w="4104"/>
            <w:vAlign w:val="center"/>
            <w:shd w:fill="F5F8FB"/>
          </w:tcPr>
          <w:p>
            <w:pPr>
              <w:spacing w:after="20" w:before="20" w:line="240" w:lineRule="auto"/>
            </w:pPr>
            <w:r/>
            <w:r>
              <w:rPr>
                <w:rFonts w:ascii="Aptos" w:hAnsi="Aptos" w:eastAsia="Aptos"/>
                <w:b w:val="0"/>
                <w:sz w:val="15"/>
              </w:rPr>
              <w:t>No scrape-time proxy contaminates daily trend series.</w:t>
            </w:r>
          </w:p>
        </w:tc>
      </w:tr>
      <w:tr>
        <w:trPr>
          <w:cantSplit/>
        </w:trPr>
        <w:tc>
          <w:tcPr>
            <w:tcW w:type="dxa" w:w="1584"/>
            <w:vAlign w:val="center"/>
          </w:tcPr>
          <w:p>
            <w:pPr>
              <w:spacing w:after="20" w:before="20" w:line="240" w:lineRule="auto"/>
            </w:pPr>
            <w:r/>
            <w:r>
              <w:rPr>
                <w:rFonts w:ascii="Aptos" w:hAnsi="Aptos" w:eastAsia="Aptos"/>
                <w:b w:val="0"/>
                <w:sz w:val="15"/>
              </w:rPr>
              <w:t>Geography</w:t>
            </w:r>
          </w:p>
        </w:tc>
        <w:tc>
          <w:tcPr>
            <w:tcW w:type="dxa" w:w="4536"/>
            <w:vAlign w:val="center"/>
          </w:tcPr>
          <w:p>
            <w:pPr>
              <w:spacing w:after="20" w:before="20" w:line="240" w:lineRule="auto"/>
            </w:pPr>
            <w:r/>
            <w:r>
              <w:rPr>
                <w:rFonts w:ascii="Aptos" w:hAnsi="Aptos" w:eastAsia="Aptos"/>
                <w:b w:val="0"/>
                <w:sz w:val="15"/>
              </w:rPr>
              <w:t>GDELT ActionGeo yields event-location codes, coordinates, precision and consistency; GKG locations_country_code yields mentioned-in countries.</w:t>
            </w:r>
          </w:p>
        </w:tc>
        <w:tc>
          <w:tcPr>
            <w:tcW w:type="dxa" w:w="4104"/>
            <w:vAlign w:val="center"/>
          </w:tcPr>
          <w:p>
            <w:pPr>
              <w:spacing w:after="20" w:before="20" w:line="240" w:lineRule="auto"/>
            </w:pPr>
            <w:r/>
            <w:r>
              <w:rPr>
                <w:rFonts w:ascii="Aptos" w:hAnsi="Aptos" w:eastAsia="Aptos"/>
                <w:b w:val="0"/>
                <w:sz w:val="15"/>
              </w:rPr>
              <w:t>These are different concepts. Publisher origin comes from a separate registry and is never used as event location.</w:t>
            </w:r>
          </w:p>
        </w:tc>
      </w:tr>
      <w:tr>
        <w:trPr>
          <w:cantSplit/>
        </w:trPr>
        <w:tc>
          <w:tcPr>
            <w:tcW w:type="dxa" w:w="1584"/>
            <w:vAlign w:val="center"/>
            <w:shd w:fill="F5F8FB"/>
          </w:tcPr>
          <w:p>
            <w:pPr>
              <w:spacing w:after="20" w:before="20" w:line="240" w:lineRule="auto"/>
            </w:pPr>
            <w:r/>
            <w:r>
              <w:rPr>
                <w:rFonts w:ascii="Aptos" w:hAnsi="Aptos" w:eastAsia="Aptos"/>
                <w:b w:val="0"/>
                <w:sz w:val="15"/>
              </w:rPr>
              <w:t>Embedding</w:t>
            </w:r>
          </w:p>
        </w:tc>
        <w:tc>
          <w:tcPr>
            <w:tcW w:type="dxa" w:w="4536"/>
            <w:vAlign w:val="center"/>
            <w:shd w:fill="F5F8FB"/>
          </w:tcPr>
          <w:p>
            <w:pPr>
              <w:spacing w:after="20" w:before="20" w:line="240" w:lineRule="auto"/>
            </w:pPr>
            <w:r/>
            <w:r>
              <w:rPr>
                <w:rFonts w:ascii="Aptos" w:hAnsi="Aptos" w:eastAsia="Aptos"/>
                <w:b w:val="0"/>
                <w:sz w:val="15"/>
              </w:rPr>
              <w:t>1024-d bge-m3 vector is reused from OpenSearch, normalized to unit length before cosine comparisons.</w:t>
            </w:r>
          </w:p>
        </w:tc>
        <w:tc>
          <w:tcPr>
            <w:tcW w:type="dxa" w:w="4104"/>
            <w:vAlign w:val="center"/>
            <w:shd w:fill="F5F8FB"/>
          </w:tcPr>
          <w:p>
            <w:pPr>
              <w:spacing w:after="20" w:before="20" w:line="240" w:lineRule="auto"/>
            </w:pPr>
            <w:r/>
            <w:r>
              <w:rPr>
                <w:rFonts w:ascii="Aptos" w:hAnsi="Aptos" w:eastAsia="Aptos"/>
                <w:b w:val="0"/>
                <w:sz w:val="15"/>
              </w:rPr>
              <w:t>A missing/invalid vector receives a cluster note; it is not silently treated as a text match.</w:t>
            </w:r>
          </w:p>
        </w:tc>
      </w:tr>
    </w:tbl>
    <w:p>
      <w:pPr>
        <w:spacing w:after="20"/>
      </w:pPr>
    </w:p>
    <w:p>
      <w:r>
        <w:t>Pilot accounting: 57,119 documents were seen; 481 date conflicts were excluded; 56,638 facts were ingested. The 4,690 exact duplicates were flagged. 3,762 currently unlabelled rows still contributed to clustering, but not taxonomy-node time series. In the existing pilot, the non-duplicate, successfully clustered population was 51,948.</w:t>
      </w:r>
    </w:p>
    <w:p>
      <w:pPr>
        <w:pStyle w:val="Heading2"/>
      </w:pPr>
      <w:r>
        <w:t>Atomicity and late labels</w:t>
      </w:r>
    </w:p>
    <w:p>
      <w:r>
        <w:t>The run records per-day stage state in day_stage. Ingestion and the “done” checkpoint commit together, so a crash cannot leave a day marked complete without its facts. Unlabelled records remain eligible for events; resolve_pending attaches the taxonomy fields later and causes affected trend data to be recomputed. Incremental processing advances its watermark only after reading the new source range.</w:t>
      </w:r>
    </w:p>
    <w:p>
      <w:pPr>
        <w:pStyle w:val="Heading1"/>
      </w:pPr>
      <w:r>
        <w:t>4. Taxonomy and matching</w:t>
      </w:r>
    </w:p>
    <w:p>
      <w:r>
        <w:t>Taxonomy version v4.1 is loaded from tmc.taxonomy_node and article assignments from tmc.article_label. Its hierarchy is domain → topic → category → subtopic. The pilot snapshot contains 450 nodes: 10 domains, 38 topics, 105 categories and 297 subtopics. D00 (“Non-relevant / Other”) and its descendants are out of scope for topic time-series and emerging-event tests.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584"/>
            <w:vAlign w:val="center"/>
            <w:shd w:fill="17365D"/>
          </w:tcPr>
          <w:p>
            <w:pPr>
              <w:spacing w:after="20" w:before="20" w:line="240" w:lineRule="auto"/>
            </w:pPr>
            <w:r/>
            <w:r>
              <w:rPr>
                <w:rFonts w:ascii="Aptos" w:hAnsi="Aptos" w:eastAsia="Aptos"/>
                <w:b/>
                <w:color w:val="FFFFFF"/>
                <w:sz w:val="16"/>
              </w:rPr>
              <w:t>Tier</w:t>
            </w:r>
          </w:p>
        </w:tc>
        <w:tc>
          <w:tcPr>
            <w:tcW w:type="dxa" w:w="2592"/>
            <w:vAlign w:val="center"/>
            <w:shd w:fill="17365D"/>
          </w:tcPr>
          <w:p>
            <w:pPr>
              <w:spacing w:after="20" w:before="20" w:line="240" w:lineRule="auto"/>
            </w:pPr>
            <w:r/>
            <w:r>
              <w:rPr>
                <w:rFonts w:ascii="Aptos" w:hAnsi="Aptos" w:eastAsia="Aptos"/>
                <w:b/>
                <w:color w:val="FFFFFF"/>
                <w:sz w:val="16"/>
              </w:rPr>
              <w:t>Example code shape</w:t>
            </w:r>
          </w:p>
        </w:tc>
        <w:tc>
          <w:tcPr>
            <w:tcW w:type="dxa" w:w="6048"/>
            <w:vAlign w:val="center"/>
            <w:shd w:fill="17365D"/>
          </w:tcPr>
          <w:p>
            <w:pPr>
              <w:spacing w:after="20" w:before="20" w:line="240" w:lineRule="auto"/>
            </w:pPr>
            <w:r/>
            <w:r>
              <w:rPr>
                <w:rFonts w:ascii="Aptos" w:hAnsi="Aptos" w:eastAsia="Aptos"/>
                <w:b/>
                <w:color w:val="FFFFFF"/>
                <w:sz w:val="16"/>
              </w:rPr>
              <w:t>Usage</w:t>
            </w:r>
          </w:p>
        </w:tc>
      </w:tr>
      <w:tr>
        <w:trPr>
          <w:cantSplit/>
        </w:trPr>
        <w:tc>
          <w:tcPr>
            <w:tcW w:type="dxa" w:w="1584"/>
            <w:vAlign w:val="center"/>
          </w:tcPr>
          <w:p>
            <w:pPr>
              <w:spacing w:after="20" w:before="20" w:line="240" w:lineRule="auto"/>
            </w:pPr>
            <w:r/>
            <w:r>
              <w:rPr>
                <w:rFonts w:ascii="Aptos" w:hAnsi="Aptos" w:eastAsia="Aptos"/>
                <w:b w:val="0"/>
                <w:sz w:val="16"/>
              </w:rPr>
              <w:t>Domain</w:t>
            </w:r>
          </w:p>
        </w:tc>
        <w:tc>
          <w:tcPr>
            <w:tcW w:type="dxa" w:w="2592"/>
            <w:vAlign w:val="center"/>
          </w:tcPr>
          <w:p>
            <w:pPr>
              <w:spacing w:after="20" w:before="20" w:line="240" w:lineRule="auto"/>
            </w:pPr>
            <w:r/>
            <w:r>
              <w:rPr>
                <w:rFonts w:ascii="Aptos" w:hAnsi="Aptos" w:eastAsia="Aptos"/>
                <w:b w:val="0"/>
                <w:sz w:val="16"/>
              </w:rPr>
              <w:t>D02</w:t>
            </w:r>
          </w:p>
        </w:tc>
        <w:tc>
          <w:tcPr>
            <w:tcW w:type="dxa" w:w="6048"/>
            <w:vAlign w:val="center"/>
          </w:tcPr>
          <w:p>
            <w:pPr>
              <w:spacing w:after="20" w:before="20" w:line="240" w:lineRule="auto"/>
            </w:pPr>
            <w:r/>
            <w:r>
              <w:rPr>
                <w:rFonts w:ascii="Aptos" w:hAnsi="Aptos" w:eastAsia="Aptos"/>
                <w:b w:val="0"/>
                <w:sz w:val="16"/>
              </w:rPr>
              <w:t>Broad classification bucket.</w:t>
            </w:r>
          </w:p>
        </w:tc>
      </w:tr>
      <w:tr>
        <w:trPr>
          <w:cantSplit/>
        </w:trPr>
        <w:tc>
          <w:tcPr>
            <w:tcW w:type="dxa" w:w="1584"/>
            <w:vAlign w:val="center"/>
            <w:shd w:fill="F5F8FB"/>
          </w:tcPr>
          <w:p>
            <w:pPr>
              <w:spacing w:after="20" w:before="20" w:line="240" w:lineRule="auto"/>
            </w:pPr>
            <w:r/>
            <w:r>
              <w:rPr>
                <w:rFonts w:ascii="Aptos" w:hAnsi="Aptos" w:eastAsia="Aptos"/>
                <w:b w:val="0"/>
                <w:sz w:val="16"/>
              </w:rPr>
              <w:t>Topic</w:t>
            </w:r>
          </w:p>
        </w:tc>
        <w:tc>
          <w:tcPr>
            <w:tcW w:type="dxa" w:w="2592"/>
            <w:vAlign w:val="center"/>
            <w:shd w:fill="F5F8FB"/>
          </w:tcPr>
          <w:p>
            <w:pPr>
              <w:spacing w:after="20" w:before="20" w:line="240" w:lineRule="auto"/>
            </w:pPr>
            <w:r/>
            <w:r>
              <w:rPr>
                <w:rFonts w:ascii="Aptos" w:hAnsi="Aptos" w:eastAsia="Aptos"/>
                <w:b w:val="0"/>
                <w:sz w:val="16"/>
              </w:rPr>
              <w:t>D02.T01</w:t>
            </w:r>
          </w:p>
        </w:tc>
        <w:tc>
          <w:tcPr>
            <w:tcW w:type="dxa" w:w="6048"/>
            <w:vAlign w:val="center"/>
            <w:shd w:fill="F5F8FB"/>
          </w:tcPr>
          <w:p>
            <w:pPr>
              <w:spacing w:after="20" w:before="20" w:line="240" w:lineRule="auto"/>
            </w:pPr>
            <w:r/>
            <w:r>
              <w:rPr>
                <w:rFonts w:ascii="Aptos" w:hAnsi="Aptos" w:eastAsia="Aptos"/>
                <w:b w:val="0"/>
                <w:sz w:val="16"/>
              </w:rPr>
              <w:t>Primary grain for a trend series; example label below.</w:t>
            </w:r>
          </w:p>
        </w:tc>
      </w:tr>
      <w:tr>
        <w:trPr>
          <w:cantSplit/>
        </w:trPr>
        <w:tc>
          <w:tcPr>
            <w:tcW w:type="dxa" w:w="1584"/>
            <w:vAlign w:val="center"/>
          </w:tcPr>
          <w:p>
            <w:pPr>
              <w:spacing w:after="20" w:before="20" w:line="240" w:lineRule="auto"/>
            </w:pPr>
            <w:r/>
            <w:r>
              <w:rPr>
                <w:rFonts w:ascii="Aptos" w:hAnsi="Aptos" w:eastAsia="Aptos"/>
                <w:b w:val="0"/>
                <w:sz w:val="16"/>
              </w:rPr>
              <w:t>Category</w:t>
            </w:r>
          </w:p>
        </w:tc>
        <w:tc>
          <w:tcPr>
            <w:tcW w:type="dxa" w:w="2592"/>
            <w:vAlign w:val="center"/>
          </w:tcPr>
          <w:p>
            <w:pPr>
              <w:spacing w:after="20" w:before="20" w:line="240" w:lineRule="auto"/>
            </w:pPr>
            <w:r/>
            <w:r>
              <w:rPr>
                <w:rFonts w:ascii="Aptos" w:hAnsi="Aptos" w:eastAsia="Aptos"/>
                <w:b w:val="0"/>
                <w:sz w:val="16"/>
              </w:rPr>
              <w:t>D02.T01.C01</w:t>
            </w:r>
          </w:p>
        </w:tc>
        <w:tc>
          <w:tcPr>
            <w:tcW w:type="dxa" w:w="6048"/>
            <w:vAlign w:val="center"/>
          </w:tcPr>
          <w:p>
            <w:pPr>
              <w:spacing w:after="20" w:before="20" w:line="240" w:lineRule="auto"/>
            </w:pPr>
            <w:r/>
            <w:r>
              <w:rPr>
                <w:rFonts w:ascii="Aptos" w:hAnsi="Aptos" w:eastAsia="Aptos"/>
                <w:b w:val="0"/>
                <w:sz w:val="16"/>
              </w:rPr>
              <w:t>More specific sub-category; also included in stored trend panels.</w:t>
            </w:r>
          </w:p>
        </w:tc>
      </w:tr>
      <w:tr>
        <w:trPr>
          <w:cantSplit/>
        </w:trPr>
        <w:tc>
          <w:tcPr>
            <w:tcW w:type="dxa" w:w="1584"/>
            <w:vAlign w:val="center"/>
            <w:shd w:fill="F5F8FB"/>
          </w:tcPr>
          <w:p>
            <w:pPr>
              <w:spacing w:after="20" w:before="20" w:line="240" w:lineRule="auto"/>
            </w:pPr>
            <w:r/>
            <w:r>
              <w:rPr>
                <w:rFonts w:ascii="Aptos" w:hAnsi="Aptos" w:eastAsia="Aptos"/>
                <w:b w:val="0"/>
                <w:sz w:val="16"/>
              </w:rPr>
              <w:t>Subtopic</w:t>
            </w:r>
          </w:p>
        </w:tc>
        <w:tc>
          <w:tcPr>
            <w:tcW w:type="dxa" w:w="2592"/>
            <w:vAlign w:val="center"/>
            <w:shd w:fill="F5F8FB"/>
          </w:tcPr>
          <w:p>
            <w:pPr>
              <w:spacing w:after="20" w:before="20" w:line="240" w:lineRule="auto"/>
            </w:pPr>
            <w:r/>
            <w:r>
              <w:rPr>
                <w:rFonts w:ascii="Aptos" w:hAnsi="Aptos" w:eastAsia="Aptos"/>
                <w:b w:val="0"/>
                <w:sz w:val="16"/>
              </w:rPr>
              <w:t>D02.T01.C01.S01</w:t>
            </w:r>
          </w:p>
        </w:tc>
        <w:tc>
          <w:tcPr>
            <w:tcW w:type="dxa" w:w="6048"/>
            <w:vAlign w:val="center"/>
            <w:shd w:fill="F5F8FB"/>
          </w:tcPr>
          <w:p>
            <w:pPr>
              <w:spacing w:after="20" w:before="20" w:line="240" w:lineRule="auto"/>
            </w:pPr>
            <w:r/>
            <w:r>
              <w:rPr>
                <w:rFonts w:ascii="Aptos" w:hAnsi="Aptos" w:eastAsia="Aptos"/>
                <w:b w:val="0"/>
                <w:sz w:val="16"/>
              </w:rPr>
              <w:t>Supported by the taxonomy/filter model; subtopic trends are computed on demand in the UI, not stored in the regular pipeline panel.</w:t>
            </w:r>
          </w:p>
        </w:tc>
      </w:tr>
    </w:tbl>
    <w:p>
      <w:pPr>
        <w:spacing w:after="20"/>
      </w:pPr>
    </w:p>
    <w:p>
      <w:r>
        <w:t>Pilot database scope counts: 9/10 domains, 37/38 topics, 103/105 categories, and 293/297 subtopics are marked in-scope. The clusterer deliberately does not split by taxonomy: subtopic confidence is low (documented median 0.38), so a hard partition could split one story across labels. Each cluster carries a modal member label after clustering.</w:t>
      </w:r>
    </w:p>
    <w:p>
      <w:pPr>
        <w:pStyle w:val="Heading2"/>
      </w:pPr>
      <w:r>
        <w:t>Dashboard taxonomy filter behavior</w:t>
      </w:r>
    </w:p>
    <w:p>
      <w:pPr>
        <w:pStyle w:val="ListBullet"/>
        <w:spacing w:after="40"/>
      </w:pPr>
      <w:r>
        <w:t>The selectable hierarchy is loaded from stored taxonomy rows, not hardcoded display names; only in-scope nodes are offered.</w:t>
      </w:r>
    </w:p>
    <w:p>
      <w:pPr>
        <w:pStyle w:val="ListBullet"/>
        <w:spacing w:after="40"/>
      </w:pPr>
      <w:r>
        <w:t>Article matching uses stored taxonomy fields only—never headline keyword matching.</w:t>
      </w:r>
    </w:p>
    <w:p>
      <w:pPr>
        <w:pStyle w:val="ListBullet"/>
        <w:spacing w:after="40"/>
      </w:pPr>
      <w:r>
        <w:t>For an event, the selected-tier “primary” label is the plurality among labelled, non-duplicate members; a tie resolves to the lower taxonomy code. The UI can show how many members carry the selected code.</w:t>
      </w:r>
    </w:p>
    <w:p>
      <w:pPr>
        <w:pStyle w:val="ListBullet"/>
        <w:spacing w:after="40"/>
      </w:pPr>
      <w:r>
        <w:t>Trend rows and node alerts match the selected code and descendants. Event/development/emerging alert membership follows the event’s primary label for the selected tier.</w:t>
      </w:r>
    </w:p>
    <w:p>
      <w:pPr>
        <w:pStyle w:val="ListBullet"/>
        <w:spacing w:after="40"/>
      </w:pPr>
      <w:r>
        <w:t>The pipeline stores domain/topic/category node series. Subtopic series are computed using the same panel function in memory (persist=False), with an FDR family confined to that area’s subtopics.</w:t>
      </w:r>
    </w:p>
    <w:p>
      <w:pPr>
        <w:pStyle w:val="Heading1"/>
      </w:pPr>
      <w:r>
        <w:t>5. Geography and Area of Interest (AOI)</w:t>
      </w:r>
    </w:p>
    <w:p>
      <w:r>
        <w:t>The engine keeps three locations separate. Event location means where the reported event happened (GDELT ActionGeo); mentioned-in means the article names a country (GKG); publisher location means where the outlet is based (registry). Only event or mentioned-in membership selects the analysis population. Publisher geography never feeds AOI membership or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944"/>
            <w:vAlign w:val="center"/>
            <w:shd w:fill="17365D"/>
          </w:tcPr>
          <w:p>
            <w:pPr>
              <w:spacing w:after="20" w:before="20" w:line="240" w:lineRule="auto"/>
            </w:pPr>
            <w:r/>
            <w:r>
              <w:rPr>
                <w:rFonts w:ascii="Aptos" w:hAnsi="Aptos" w:eastAsia="Aptos"/>
                <w:b/>
                <w:color w:val="FFFFFF"/>
                <w:sz w:val="15"/>
              </w:rPr>
              <w:t>AOI kind / mode</w:t>
            </w:r>
          </w:p>
        </w:tc>
        <w:tc>
          <w:tcPr>
            <w:tcW w:type="dxa" w:w="4104"/>
            <w:vAlign w:val="center"/>
            <w:shd w:fill="17365D"/>
          </w:tcPr>
          <w:p>
            <w:pPr>
              <w:spacing w:after="20" w:before="20" w:line="240" w:lineRule="auto"/>
            </w:pPr>
            <w:r/>
            <w:r>
              <w:rPr>
                <w:rFonts w:ascii="Aptos" w:hAnsi="Aptos" w:eastAsia="Aptos"/>
                <w:b/>
                <w:color w:val="FFFFFF"/>
                <w:sz w:val="15"/>
              </w:rPr>
              <w:t>Membership implementation</w:t>
            </w:r>
          </w:p>
        </w:tc>
        <w:tc>
          <w:tcPr>
            <w:tcW w:type="dxa" w:w="4176"/>
            <w:vAlign w:val="center"/>
            <w:shd w:fill="17365D"/>
          </w:tcPr>
          <w:p>
            <w:pPr>
              <w:spacing w:after="20" w:before="20" w:line="240" w:lineRule="auto"/>
            </w:pPr>
            <w:r/>
            <w:r>
              <w:rPr>
                <w:rFonts w:ascii="Aptos" w:hAnsi="Aptos" w:eastAsia="Aptos"/>
                <w:b/>
                <w:color w:val="FFFFFF"/>
                <w:sz w:val="15"/>
              </w:rPr>
              <w:t>Important qualification</w:t>
            </w:r>
          </w:p>
        </w:tc>
      </w:tr>
      <w:tr>
        <w:trPr>
          <w:cantSplit/>
        </w:trPr>
        <w:tc>
          <w:tcPr>
            <w:tcW w:type="dxa" w:w="1944"/>
            <w:vAlign w:val="center"/>
          </w:tcPr>
          <w:p>
            <w:pPr>
              <w:spacing w:after="20" w:before="20" w:line="240" w:lineRule="auto"/>
            </w:pPr>
            <w:r/>
            <w:r>
              <w:rPr>
                <w:rFonts w:ascii="Aptos" w:hAnsi="Aptos" w:eastAsia="Aptos"/>
                <w:b w:val="0"/>
                <w:sz w:val="15"/>
              </w:rPr>
              <w:t>Country / event</w:t>
            </w:r>
          </w:p>
        </w:tc>
        <w:tc>
          <w:tcPr>
            <w:tcW w:type="dxa" w:w="4104"/>
            <w:vAlign w:val="center"/>
          </w:tcPr>
          <w:p>
            <w:pPr>
              <w:spacing w:after="20" w:before="20" w:line="240" w:lineRule="auto"/>
            </w:pPr>
            <w:r/>
            <w:r>
              <w:rPr>
                <w:rFonts w:ascii="Aptos" w:hAnsi="Aptos" w:eastAsia="Aptos"/>
                <w:b w:val="0"/>
                <w:sz w:val="15"/>
              </w:rPr>
              <w:t>Article event-country ISO equals the country.</w:t>
            </w:r>
          </w:p>
        </w:tc>
        <w:tc>
          <w:tcPr>
            <w:tcW w:type="dxa" w:w="4176"/>
            <w:vAlign w:val="center"/>
          </w:tcPr>
          <w:p>
            <w:pPr>
              <w:spacing w:after="20" w:before="20" w:line="240" w:lineRule="auto"/>
            </w:pPr>
            <w:r/>
            <w:r>
              <w:rPr>
                <w:rFonts w:ascii="Aptos" w:hAnsi="Aptos" w:eastAsia="Aptos"/>
                <w:b w:val="0"/>
                <w:sz w:val="15"/>
              </w:rPr>
              <w:t>An article can be unlocated or geo-inconsistent and therefore not belong to an event AOI.</w:t>
            </w:r>
          </w:p>
        </w:tc>
      </w:tr>
      <w:tr>
        <w:trPr>
          <w:cantSplit/>
        </w:trPr>
        <w:tc>
          <w:tcPr>
            <w:tcW w:type="dxa" w:w="1944"/>
            <w:vAlign w:val="center"/>
            <w:shd w:fill="F5F8FB"/>
          </w:tcPr>
          <w:p>
            <w:pPr>
              <w:spacing w:after="20" w:before="20" w:line="240" w:lineRule="auto"/>
            </w:pPr>
            <w:r/>
            <w:r>
              <w:rPr>
                <w:rFonts w:ascii="Aptos" w:hAnsi="Aptos" w:eastAsia="Aptos"/>
                <w:b w:val="0"/>
                <w:sz w:val="15"/>
              </w:rPr>
              <w:t>Admin-1 / event</w:t>
            </w:r>
          </w:p>
        </w:tc>
        <w:tc>
          <w:tcPr>
            <w:tcW w:type="dxa" w:w="4104"/>
            <w:vAlign w:val="center"/>
            <w:shd w:fill="F5F8FB"/>
          </w:tcPr>
          <w:p>
            <w:pPr>
              <w:spacing w:after="20" w:before="20" w:line="240" w:lineRule="auto"/>
            </w:pPr>
            <w:r/>
            <w:r>
              <w:rPr>
                <w:rFonts w:ascii="Aptos" w:hAnsi="Aptos" w:eastAsia="Aptos"/>
                <w:b w:val="0"/>
                <w:sz w:val="15"/>
              </w:rPr>
              <w:t>Event admin-1 code equals AOI code.</w:t>
            </w:r>
          </w:p>
        </w:tc>
        <w:tc>
          <w:tcPr>
            <w:tcW w:type="dxa" w:w="4176"/>
            <w:vAlign w:val="center"/>
            <w:shd w:fill="F5F8FB"/>
          </w:tcPr>
          <w:p>
            <w:pPr>
              <w:spacing w:after="20" w:before="20" w:line="240" w:lineRule="auto"/>
            </w:pPr>
            <w:r/>
            <w:r>
              <w:rPr>
                <w:rFonts w:ascii="Aptos" w:hAnsi="Aptos" w:eastAsia="Aptos"/>
                <w:b w:val="0"/>
                <w:sz w:val="15"/>
              </w:rPr>
              <w:t>Event-level membership requires at least half of located members to agree with the AOI.</w:t>
            </w:r>
          </w:p>
        </w:tc>
      </w:tr>
      <w:tr>
        <w:trPr>
          <w:cantSplit/>
        </w:trPr>
        <w:tc>
          <w:tcPr>
            <w:tcW w:type="dxa" w:w="1944"/>
            <w:vAlign w:val="center"/>
          </w:tcPr>
          <w:p>
            <w:pPr>
              <w:spacing w:after="20" w:before="20" w:line="240" w:lineRule="auto"/>
            </w:pPr>
            <w:r/>
            <w:r>
              <w:rPr>
                <w:rFonts w:ascii="Aptos" w:hAnsi="Aptos" w:eastAsia="Aptos"/>
                <w:b w:val="0"/>
                <w:sz w:val="15"/>
              </w:rPr>
              <w:t>Country / mentioned-in</w:t>
            </w:r>
          </w:p>
        </w:tc>
        <w:tc>
          <w:tcPr>
            <w:tcW w:type="dxa" w:w="4104"/>
            <w:vAlign w:val="center"/>
          </w:tcPr>
          <w:p>
            <w:pPr>
              <w:spacing w:after="20" w:before="20" w:line="240" w:lineRule="auto"/>
            </w:pPr>
            <w:r/>
            <w:r>
              <w:rPr>
                <w:rFonts w:ascii="Aptos" w:hAnsi="Aptos" w:eastAsia="Aptos"/>
                <w:b w:val="0"/>
                <w:sz w:val="15"/>
              </w:rPr>
              <w:t>Country appears in GKG mention-country list.</w:t>
            </w:r>
          </w:p>
        </w:tc>
        <w:tc>
          <w:tcPr>
            <w:tcW w:type="dxa" w:w="4176"/>
            <w:vAlign w:val="center"/>
          </w:tcPr>
          <w:p>
            <w:pPr>
              <w:spacing w:after="20" w:before="20" w:line="240" w:lineRule="auto"/>
            </w:pPr>
            <w:r/>
            <w:r>
              <w:rPr>
                <w:rFonts w:ascii="Aptos" w:hAnsi="Aptos" w:eastAsia="Aptos"/>
                <w:b w:val="0"/>
                <w:sz w:val="15"/>
              </w:rPr>
              <w:t>Country-level only; it is not a claim about where the event occurred.</w:t>
            </w:r>
          </w:p>
        </w:tc>
      </w:tr>
      <w:tr>
        <w:trPr>
          <w:cantSplit/>
        </w:trPr>
        <w:tc>
          <w:tcPr>
            <w:tcW w:type="dxa" w:w="1944"/>
            <w:vAlign w:val="center"/>
            <w:shd w:fill="F5F8FB"/>
          </w:tcPr>
          <w:p>
            <w:pPr>
              <w:spacing w:after="20" w:before="20" w:line="240" w:lineRule="auto"/>
            </w:pPr>
            <w:r/>
            <w:r>
              <w:rPr>
                <w:rFonts w:ascii="Aptos" w:hAnsi="Aptos" w:eastAsia="Aptos"/>
                <w:b w:val="0"/>
                <w:sz w:val="15"/>
              </w:rPr>
              <w:t>Polygon / box / radius</w:t>
            </w:r>
          </w:p>
        </w:tc>
        <w:tc>
          <w:tcPr>
            <w:tcW w:type="dxa" w:w="4104"/>
            <w:vAlign w:val="center"/>
            <w:shd w:fill="F5F8FB"/>
          </w:tcPr>
          <w:p>
            <w:pPr>
              <w:spacing w:after="20" w:before="20" w:line="240" w:lineRule="auto"/>
            </w:pPr>
            <w:r/>
            <w:r>
              <w:rPr>
                <w:rFonts w:ascii="Aptos" w:hAnsi="Aptos" w:eastAsia="Aptos"/>
                <w:b w:val="0"/>
                <w:sz w:val="15"/>
              </w:rPr>
              <w:t>Point-in-geometry using coordinates; default minimum precision is city; geo-inconsistent points excluded.</w:t>
            </w:r>
          </w:p>
        </w:tc>
        <w:tc>
          <w:tcPr>
            <w:tcW w:type="dxa" w:w="4176"/>
            <w:vAlign w:val="center"/>
            <w:shd w:fill="F5F8FB"/>
          </w:tcPr>
          <w:p>
            <w:pPr>
              <w:spacing w:after="20" w:before="20" w:line="240" w:lineRule="auto"/>
            </w:pPr>
            <w:r/>
            <w:r>
              <w:rPr>
                <w:rFonts w:ascii="Aptos" w:hAnsi="Aptos" w:eastAsia="Aptos"/>
                <w:b w:val="0"/>
                <w:sz w:val="15"/>
              </w:rPr>
              <w:t>Country-centroid coordinates are excluded by default. Ad-hoc areas are flagged; no global multiplicity control across many user-drawn areas.</w:t>
            </w:r>
          </w:p>
        </w:tc>
      </w:tr>
    </w:tbl>
    <w:p>
      <w:pPr>
        <w:spacing w:after="20"/>
      </w:pPr>
    </w:p>
    <w:p>
      <w:r>
        <w:t>GDELT uses FIPS country codes; the engine maps them to ISO using the Natural Earth boundary inventory plus explicit overrides. Natural Earth 1:10m v5.1.2 is local/offline at runtime and provides de facto boundaries, not an authoritative position on disputed borders. Unknown ambiguous codes stay unlocated rather than being guessed.</w:t>
      </w:r>
    </w:p>
    <w:p>
      <w:r>
        <w:t>For an event to have a consensus location, at least the configured share (0.50) of its located articles must agree on the country. A high-confidence location requires at least 3 located member articles and at least 80% country agreement. Emerging-event and development alerts require this high-confidence tier.</w:t>
      </w:r>
    </w:p>
    <w:tbl>
      <w:tblPr>
        <w:tblStyle w:val="TableGrid"/>
        <w:tblW w:type="auto" w:w="0"/>
        <w:jc w:val="center"/>
        <w:tblLook w:firstColumn="1" w:firstRow="1" w:lastColumn="0" w:lastRow="0" w:noHBand="0" w:noVBand="1" w:val="04A0"/>
      </w:tblPr>
      <w:tblGrid>
        <w:gridCol w:w="10166"/>
      </w:tblGrid>
      <w:tr>
        <w:trPr>
          <w:cantSplit/>
        </w:trPr>
        <w:tc>
          <w:tcPr>
            <w:tcW w:type="dxa" w:w="10166"/>
            <w:shd w:fill="FCECC9"/>
          </w:tcPr>
          <w:p>
            <w:pPr>
              <w:spacing w:after="40"/>
            </w:pPr>
            <w:r/>
            <w:r>
              <w:rPr>
                <w:b/>
                <w:color w:val="007C91"/>
              </w:rPr>
              <w:t xml:space="preserve">Pilot coverage limitation  </w:t>
            </w:r>
            <w:r>
              <w:t>Only 20,689 of 51,948 non-duplicate articles (39.8%) had a usable event location. Of 2,493 clusters with at least two located members, 504 (20.2%) contained member locations in more than one country. Bangladesh event AOIs are especially sparse; unlocated volume is explicitly shown.</w:t>
            </w:r>
          </w:p>
        </w:tc>
      </w:tr>
    </w:tbl>
    <w:p>
      <w:pPr>
        <w:spacing w:after="20"/>
      </w:pPr>
    </w:p>
    <w:p>
      <w:pPr>
        <w:pStyle w:val="Heading1"/>
      </w:pPr>
      <w:r>
        <w:t>6. Story/event clustering</w:t>
      </w:r>
    </w:p>
    <w:p>
      <w:r>
        <w:t>The clusterer is a deterministic online centroid algorithm, not a supervised “same event” classifier. It processes articles in publication order; each valid unit vector is compared with open cluster centroids whose publication span is within the configured time gate. It joins the best match at or above the similarity threshold, otherwise it starts a new cluster.</w:t>
      </w:r>
    </w:p>
    <w:p>
      <w:pPr>
        <w:pStyle w:val="Formula"/>
        <w:shd w:fill="EEF4F8"/>
      </w:pPr>
      <w:r>
        <w:t>cosine(article, centroid) = unit_article · unit_centroid; join if cosine ≥ 0.80 and the open-cluster time gate is met (max_gap_hours = 72).</w:t>
      </w:r>
    </w:p>
    <w:p>
      <w:pPr>
        <w:pStyle w:val="Formula"/>
        <w:shd w:fill="EEF4F8"/>
      </w:pPr>
      <w:r>
        <w:t>centroid = normalize(sum of member unit vectors); event_id = "ev_" + first 16 hex characters of SHA1(source_table + "-" + founder_article_id).</w:t>
      </w:r>
    </w:p>
    <w:p>
      <w:r>
        <w:t>Exact content-hash duplicates do not enter clusters; they are retained as copy counts. A cluster becomes a qualifying “event” only when it has at least 3 non-duplicate articles from at least 2 distinct source domains. Other clusters—including the many singletons—remain candidates, not events. Old cluster centroids are pruned after 14 days to bound memory/storage, while cluster membership and metrics remain.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096"/>
            <w:vAlign w:val="center"/>
            <w:shd w:fill="17365D"/>
          </w:tcPr>
          <w:p>
            <w:pPr>
              <w:spacing w:after="20" w:before="20" w:line="240" w:lineRule="auto"/>
            </w:pPr>
            <w:r/>
            <w:r>
              <w:rPr>
                <w:rFonts w:ascii="Aptos" w:hAnsi="Aptos" w:eastAsia="Aptos"/>
                <w:b/>
                <w:color w:val="FFFFFF"/>
                <w:sz w:val="16"/>
              </w:rPr>
              <w:t>Pilot cluster check</w:t>
            </w:r>
          </w:p>
        </w:tc>
        <w:tc>
          <w:tcPr>
            <w:tcW w:type="dxa" w:w="7128"/>
            <w:vAlign w:val="center"/>
            <w:shd w:fill="17365D"/>
          </w:tcPr>
          <w:p>
            <w:pPr>
              <w:spacing w:after="20" w:before="20" w:line="240" w:lineRule="auto"/>
            </w:pPr>
            <w:r/>
            <w:r>
              <w:rPr>
                <w:rFonts w:ascii="Aptos" w:hAnsi="Aptos" w:eastAsia="Aptos"/>
                <w:b/>
                <w:color w:val="FFFFFF"/>
                <w:sz w:val="16"/>
              </w:rPr>
              <w:t>Observed</w:t>
            </w:r>
          </w:p>
        </w:tc>
      </w:tr>
      <w:tr>
        <w:trPr>
          <w:cantSplit/>
        </w:trPr>
        <w:tc>
          <w:tcPr>
            <w:tcW w:type="dxa" w:w="3096"/>
            <w:vAlign w:val="center"/>
          </w:tcPr>
          <w:p>
            <w:pPr>
              <w:spacing w:after="20" w:before="20" w:line="240" w:lineRule="auto"/>
            </w:pPr>
            <w:r/>
            <w:r>
              <w:rPr>
                <w:rFonts w:ascii="Aptos" w:hAnsi="Aptos" w:eastAsia="Aptos"/>
                <w:b w:val="0"/>
                <w:sz w:val="16"/>
              </w:rPr>
              <w:t>All clusters</w:t>
            </w:r>
          </w:p>
        </w:tc>
        <w:tc>
          <w:tcPr>
            <w:tcW w:type="dxa" w:w="7128"/>
            <w:vAlign w:val="center"/>
          </w:tcPr>
          <w:p>
            <w:pPr>
              <w:spacing w:after="20" w:before="20" w:line="240" w:lineRule="auto"/>
            </w:pPr>
            <w:r/>
            <w:r>
              <w:rPr>
                <w:rFonts w:ascii="Aptos" w:hAnsi="Aptos" w:eastAsia="Aptos"/>
                <w:b w:val="0"/>
                <w:sz w:val="16"/>
              </w:rPr>
              <w:t>25,549</w:t>
            </w:r>
          </w:p>
        </w:tc>
      </w:tr>
      <w:tr>
        <w:trPr>
          <w:cantSplit/>
        </w:trPr>
        <w:tc>
          <w:tcPr>
            <w:tcW w:type="dxa" w:w="3096"/>
            <w:vAlign w:val="center"/>
            <w:shd w:fill="F5F8FB"/>
          </w:tcPr>
          <w:p>
            <w:pPr>
              <w:spacing w:after="20" w:before="20" w:line="240" w:lineRule="auto"/>
            </w:pPr>
            <w:r/>
            <w:r>
              <w:rPr>
                <w:rFonts w:ascii="Aptos" w:hAnsi="Aptos" w:eastAsia="Aptos"/>
                <w:b w:val="0"/>
                <w:sz w:val="16"/>
              </w:rPr>
              <w:t>Singleton clusters</w:t>
            </w:r>
          </w:p>
        </w:tc>
        <w:tc>
          <w:tcPr>
            <w:tcW w:type="dxa" w:w="7128"/>
            <w:vAlign w:val="center"/>
            <w:shd w:fill="F5F8FB"/>
          </w:tcPr>
          <w:p>
            <w:pPr>
              <w:spacing w:after="20" w:before="20" w:line="240" w:lineRule="auto"/>
            </w:pPr>
            <w:r/>
            <w:r>
              <w:rPr>
                <w:rFonts w:ascii="Aptos" w:hAnsi="Aptos" w:eastAsia="Aptos"/>
                <w:b w:val="0"/>
                <w:sz w:val="16"/>
              </w:rPr>
              <w:t>19,128 (74.9%)</w:t>
            </w:r>
          </w:p>
        </w:tc>
      </w:tr>
      <w:tr>
        <w:trPr>
          <w:cantSplit/>
        </w:trPr>
        <w:tc>
          <w:tcPr>
            <w:tcW w:type="dxa" w:w="3096"/>
            <w:vAlign w:val="center"/>
          </w:tcPr>
          <w:p>
            <w:pPr>
              <w:spacing w:after="20" w:before="20" w:line="240" w:lineRule="auto"/>
            </w:pPr>
            <w:r/>
            <w:r>
              <w:rPr>
                <w:rFonts w:ascii="Aptos" w:hAnsi="Aptos" w:eastAsia="Aptos"/>
                <w:b w:val="0"/>
                <w:sz w:val="16"/>
              </w:rPr>
              <w:t>Qualifying events</w:t>
            </w:r>
          </w:p>
        </w:tc>
        <w:tc>
          <w:tcPr>
            <w:tcW w:type="dxa" w:w="7128"/>
            <w:vAlign w:val="center"/>
          </w:tcPr>
          <w:p>
            <w:pPr>
              <w:spacing w:after="20" w:before="20" w:line="240" w:lineRule="auto"/>
            </w:pPr>
            <w:r/>
            <w:r>
              <w:rPr>
                <w:rFonts w:ascii="Aptos" w:hAnsi="Aptos" w:eastAsia="Aptos"/>
                <w:b w:val="0"/>
                <w:sz w:val="16"/>
              </w:rPr>
              <w:t>2,995</w:t>
            </w:r>
          </w:p>
        </w:tc>
      </w:tr>
      <w:tr>
        <w:trPr>
          <w:cantSplit/>
        </w:trPr>
        <w:tc>
          <w:tcPr>
            <w:tcW w:type="dxa" w:w="3096"/>
            <w:vAlign w:val="center"/>
            <w:shd w:fill="F5F8FB"/>
          </w:tcPr>
          <w:p>
            <w:pPr>
              <w:spacing w:after="20" w:before="20" w:line="240" w:lineRule="auto"/>
            </w:pPr>
            <w:r/>
            <w:r>
              <w:rPr>
                <w:rFonts w:ascii="Aptos" w:hAnsi="Aptos" w:eastAsia="Aptos"/>
                <w:b w:val="0"/>
                <w:sz w:val="16"/>
              </w:rPr>
              <w:t>Largest clusters</w:t>
            </w:r>
          </w:p>
        </w:tc>
        <w:tc>
          <w:tcPr>
            <w:tcW w:type="dxa" w:w="7128"/>
            <w:vAlign w:val="center"/>
            <w:shd w:fill="F5F8FB"/>
          </w:tcPr>
          <w:p>
            <w:pPr>
              <w:spacing w:after="20" w:before="20" w:line="240" w:lineRule="auto"/>
            </w:pPr>
            <w:r/>
            <w:r>
              <w:rPr>
                <w:rFonts w:ascii="Aptos" w:hAnsi="Aptos" w:eastAsia="Aptos"/>
                <w:b w:val="0"/>
                <w:sz w:val="16"/>
              </w:rPr>
              <w:t>434 articles / 203 publishers; 418 / 114; 241 / 87 (large clusters require review)</w:t>
            </w:r>
          </w:p>
        </w:tc>
      </w:tr>
      <w:tr>
        <w:trPr>
          <w:cantSplit/>
        </w:trPr>
        <w:tc>
          <w:tcPr>
            <w:tcW w:type="dxa" w:w="3096"/>
            <w:vAlign w:val="center"/>
          </w:tcPr>
          <w:p>
            <w:pPr>
              <w:spacing w:after="20" w:before="20" w:line="240" w:lineRule="auto"/>
            </w:pPr>
            <w:r/>
            <w:r>
              <w:rPr>
                <w:rFonts w:ascii="Aptos" w:hAnsi="Aptos" w:eastAsia="Aptos"/>
                <w:b w:val="0"/>
                <w:sz w:val="16"/>
              </w:rPr>
              <w:t>Weak silver-label comparison</w:t>
            </w:r>
          </w:p>
        </w:tc>
        <w:tc>
          <w:tcPr>
            <w:tcW w:type="dxa" w:w="7128"/>
            <w:vAlign w:val="center"/>
          </w:tcPr>
          <w:p>
            <w:pPr>
              <w:spacing w:after="20" w:before="20" w:line="240" w:lineRule="auto"/>
            </w:pPr>
            <w:r/>
            <w:r>
              <w:rPr>
                <w:rFonts w:ascii="Aptos" w:hAnsi="Aptos" w:eastAsia="Aptos"/>
                <w:b w:val="0"/>
                <w:sz w:val="16"/>
              </w:rPr>
              <w:t>Pairwise recall 0.310; strict precision 0.061 against shared GDELT event IDs. These labels are weak and not a substitute for human review.</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FCECC9"/>
          </w:tcPr>
          <w:p>
            <w:pPr>
              <w:spacing w:after="40"/>
            </w:pPr>
            <w:r/>
            <w:r>
              <w:rPr>
                <w:b/>
                <w:color w:val="007C91"/>
              </w:rPr>
              <w:t xml:space="preserve">Validation still open  </w:t>
            </w:r>
            <w:r>
              <w:t>The pilot wrote a 42-cluster stratified cluster_inspection_sample.csv with an empty analyst_verdict column. Human judgments of SAME_EVENT / MIXED / DIFFERENT_EVENTS have not been completed. The silver-label numbers alone do not certify cluster quality.</w:t>
            </w:r>
          </w:p>
        </w:tc>
      </w:tr>
    </w:tbl>
    <w:p>
      <w:pPr>
        <w:spacing w:after="20"/>
      </w:pPr>
    </w:p>
    <w:p>
      <w:pPr>
        <w:pStyle w:val="Heading1"/>
      </w:pPr>
      <w:r>
        <w:t>7. Topic trending: formulas and decision gates</w:t>
      </w:r>
    </w:p>
    <w:p>
      <w:r>
        <w:t>A node series is built inside each AOI from labelled, non-duplicate articles whose domain is not D00. AOI baselines are local: a node is compared with its own history in that area, not with global or cross-country volume. A daily exposure is the number of labelled in-scope articles from every other node in that AOI (leave-one-out). This avoids a node’s own spike inflating its own denominator/baseline.</w:t>
      </w:r>
    </w:p>
    <w:p>
      <w:pPr>
        <w:pStyle w:val="Formula"/>
        <w:shd w:fill="EEF4F8"/>
      </w:pPr>
      <w:r>
        <w:t>V(t) = unique, labelled, in-scope articles of this node in this AOI on day t</w:t>
        <w:br/>
        <w:t>E(t) = labelled, in-scope AOI articles on day t from all other taxonomy nodes</w:t>
        <w:br/>
        <w:t>V_rate(t) = V(t) / E(t);    share_V(t) = V(t) / (V(t) + E(t))</w:t>
      </w:r>
    </w:p>
    <w:p>
      <w:r>
        <w:t>A day with AOI exposure below 30 is a data gap. The row is kept explainable, but unknown V and its trend/evidence metrics are NULL; it is not filled with zero. An AOI needs ≥100 labelled in-scope articles before node series are built. A node needs ≥20 articles in the analyzed window to get a time-series row.</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728"/>
            <w:vAlign w:val="center"/>
            <w:shd w:fill="17365D"/>
          </w:tcPr>
          <w:p>
            <w:pPr>
              <w:spacing w:after="20" w:before="20" w:line="240" w:lineRule="auto"/>
            </w:pPr>
            <w:r/>
            <w:r>
              <w:rPr>
                <w:rFonts w:ascii="Aptos" w:hAnsi="Aptos" w:eastAsia="Aptos"/>
                <w:b/>
                <w:color w:val="FFFFFF"/>
                <w:sz w:val="14"/>
              </w:rPr>
              <w:t>Metric</w:t>
            </w:r>
          </w:p>
        </w:tc>
        <w:tc>
          <w:tcPr>
            <w:tcW w:type="dxa" w:w="5976"/>
            <w:vAlign w:val="center"/>
            <w:shd w:fill="17365D"/>
          </w:tcPr>
          <w:p>
            <w:pPr>
              <w:spacing w:after="20" w:before="20" w:line="240" w:lineRule="auto"/>
            </w:pPr>
            <w:r/>
            <w:r>
              <w:rPr>
                <w:rFonts w:ascii="Aptos" w:hAnsi="Aptos" w:eastAsia="Aptos"/>
                <w:b/>
                <w:color w:val="FFFFFF"/>
                <w:sz w:val="14"/>
              </w:rPr>
              <w:t>Implementation formula / meaning</w:t>
            </w:r>
          </w:p>
        </w:tc>
        <w:tc>
          <w:tcPr>
            <w:tcW w:type="dxa" w:w="2520"/>
            <w:vAlign w:val="center"/>
            <w:shd w:fill="17365D"/>
          </w:tcPr>
          <w:p>
            <w:pPr>
              <w:spacing w:after="20" w:before="20" w:line="240" w:lineRule="auto"/>
            </w:pPr>
            <w:r/>
            <w:r>
              <w:rPr>
                <w:rFonts w:ascii="Aptos" w:hAnsi="Aptos" w:eastAsia="Aptos"/>
                <w:b/>
                <w:color w:val="FFFFFF"/>
                <w:sz w:val="14"/>
              </w:rPr>
              <w:t>Gate or use</w:t>
            </w:r>
          </w:p>
        </w:tc>
      </w:tr>
      <w:tr>
        <w:trPr>
          <w:cantSplit/>
        </w:trPr>
        <w:tc>
          <w:tcPr>
            <w:tcW w:type="dxa" w:w="1728"/>
            <w:vAlign w:val="center"/>
          </w:tcPr>
          <w:p>
            <w:pPr>
              <w:spacing w:after="20" w:before="20" w:line="240" w:lineRule="auto"/>
            </w:pPr>
            <w:r/>
            <w:r>
              <w:rPr>
                <w:rFonts w:ascii="Aptos" w:hAnsi="Aptos" w:eastAsia="Aptos"/>
                <w:b w:val="0"/>
                <w:sz w:val="14"/>
              </w:rPr>
              <w:t>Log rate</w:t>
            </w:r>
          </w:p>
        </w:tc>
        <w:tc>
          <w:tcPr>
            <w:tcW w:type="dxa" w:w="5976"/>
            <w:vAlign w:val="center"/>
          </w:tcPr>
          <w:p>
            <w:pPr>
              <w:spacing w:after="20" w:before="20" w:line="240" w:lineRule="auto"/>
            </w:pPr>
            <w:r/>
            <w:r>
              <w:rPr>
                <w:rFonts w:ascii="Aptos" w:hAnsi="Aptos" w:eastAsia="Aptos"/>
                <w:b w:val="0"/>
                <w:sz w:val="14"/>
              </w:rPr>
              <w:t>L(t) = ln(V(t) + α) − ln(E(t)), with α = 1.</w:t>
            </w:r>
          </w:p>
        </w:tc>
        <w:tc>
          <w:tcPr>
            <w:tcW w:type="dxa" w:w="2520"/>
            <w:vAlign w:val="center"/>
          </w:tcPr>
          <w:p>
            <w:pPr>
              <w:spacing w:after="20" w:before="20" w:line="240" w:lineRule="auto"/>
            </w:pPr>
            <w:r/>
            <w:r>
              <w:rPr>
                <w:rFonts w:ascii="Aptos" w:hAnsi="Aptos" w:eastAsia="Aptos"/>
                <w:b w:val="0"/>
                <w:sz w:val="14"/>
              </w:rPr>
              <w:t>Internal rate series; exposure is leave-one-out.</w:t>
            </w:r>
          </w:p>
        </w:tc>
      </w:tr>
      <w:tr>
        <w:trPr>
          <w:cantSplit/>
        </w:trPr>
        <w:tc>
          <w:tcPr>
            <w:tcW w:type="dxa" w:w="1728"/>
            <w:vAlign w:val="center"/>
            <w:shd w:fill="F5F8FB"/>
          </w:tcPr>
          <w:p>
            <w:pPr>
              <w:spacing w:after="20" w:before="20" w:line="240" w:lineRule="auto"/>
            </w:pPr>
            <w:r/>
            <w:r>
              <w:rPr>
                <w:rFonts w:ascii="Aptos" w:hAnsi="Aptos" w:eastAsia="Aptos"/>
                <w:b w:val="0"/>
                <w:sz w:val="14"/>
              </w:rPr>
              <w:t>Growth</w:t>
            </w:r>
          </w:p>
        </w:tc>
        <w:tc>
          <w:tcPr>
            <w:tcW w:type="dxa" w:w="5976"/>
            <w:vAlign w:val="center"/>
            <w:shd w:fill="F5F8FB"/>
          </w:tcPr>
          <w:p>
            <w:pPr>
              <w:spacing w:after="20" w:before="20" w:line="240" w:lineRule="auto"/>
            </w:pPr>
            <w:r/>
            <w:r>
              <w:rPr>
                <w:rFonts w:ascii="Aptos" w:hAnsi="Aptos" w:eastAsia="Aptos"/>
                <w:b w:val="0"/>
                <w:sz w:val="14"/>
              </w:rPr>
              <w:t>L(t) − L(t−1).</w:t>
            </w:r>
          </w:p>
        </w:tc>
        <w:tc>
          <w:tcPr>
            <w:tcW w:type="dxa" w:w="2520"/>
            <w:vAlign w:val="center"/>
            <w:shd w:fill="F5F8FB"/>
          </w:tcPr>
          <w:p>
            <w:pPr>
              <w:spacing w:after="20" w:before="20" w:line="240" w:lineRule="auto"/>
            </w:pPr>
            <w:r/>
            <w:r>
              <w:rPr>
                <w:rFonts w:ascii="Aptos" w:hAnsi="Aptos" w:eastAsia="Aptos"/>
                <w:b w:val="0"/>
                <w:sz w:val="14"/>
              </w:rPr>
              <w:t>NULL unless baseline/support gate passes.</w:t>
            </w:r>
          </w:p>
        </w:tc>
      </w:tr>
      <w:tr>
        <w:trPr>
          <w:cantSplit/>
        </w:trPr>
        <w:tc>
          <w:tcPr>
            <w:tcW w:type="dxa" w:w="1728"/>
            <w:vAlign w:val="center"/>
          </w:tcPr>
          <w:p>
            <w:pPr>
              <w:spacing w:after="20" w:before="20" w:line="240" w:lineRule="auto"/>
            </w:pPr>
            <w:r/>
            <w:r>
              <w:rPr>
                <w:rFonts w:ascii="Aptos" w:hAnsi="Aptos" w:eastAsia="Aptos"/>
                <w:b w:val="0"/>
                <w:sz w:val="14"/>
              </w:rPr>
              <w:t>7-day growth</w:t>
            </w:r>
          </w:p>
        </w:tc>
        <w:tc>
          <w:tcPr>
            <w:tcW w:type="dxa" w:w="5976"/>
            <w:vAlign w:val="center"/>
          </w:tcPr>
          <w:p>
            <w:pPr>
              <w:spacing w:after="20" w:before="20" w:line="240" w:lineRule="auto"/>
            </w:pPr>
            <w:r/>
            <w:r>
              <w:rPr>
                <w:rFonts w:ascii="Aptos" w:hAnsi="Aptos" w:eastAsia="Aptos"/>
                <w:b w:val="0"/>
                <w:sz w:val="14"/>
              </w:rPr>
              <w:t>Log-rate over trailing 7-day summed V and summed E minus the corresponding 7-day rate 7 days earlier.</w:t>
            </w:r>
          </w:p>
        </w:tc>
        <w:tc>
          <w:tcPr>
            <w:tcW w:type="dxa" w:w="2520"/>
            <w:vAlign w:val="center"/>
          </w:tcPr>
          <w:p>
            <w:pPr>
              <w:spacing w:after="20" w:before="20" w:line="240" w:lineRule="auto"/>
            </w:pPr>
            <w:r/>
            <w:r>
              <w:rPr>
                <w:rFonts w:ascii="Aptos" w:hAnsi="Aptos" w:eastAsia="Aptos"/>
                <w:b w:val="0"/>
                <w:sz w:val="14"/>
              </w:rPr>
              <w:t>A multi-day rate change, not a raw article-count difference.</w:t>
            </w:r>
          </w:p>
        </w:tc>
      </w:tr>
      <w:tr>
        <w:trPr>
          <w:cantSplit/>
        </w:trPr>
        <w:tc>
          <w:tcPr>
            <w:tcW w:type="dxa" w:w="1728"/>
            <w:vAlign w:val="center"/>
            <w:shd w:fill="F5F8FB"/>
          </w:tcPr>
          <w:p>
            <w:pPr>
              <w:spacing w:after="20" w:before="20" w:line="240" w:lineRule="auto"/>
            </w:pPr>
            <w:r/>
            <w:r>
              <w:rPr>
                <w:rFonts w:ascii="Aptos" w:hAnsi="Aptos" w:eastAsia="Aptos"/>
                <w:b w:val="0"/>
                <w:sz w:val="14"/>
              </w:rPr>
              <w:t>Momentum</w:t>
            </w:r>
          </w:p>
        </w:tc>
        <w:tc>
          <w:tcPr>
            <w:tcW w:type="dxa" w:w="5976"/>
            <w:vAlign w:val="center"/>
            <w:shd w:fill="F5F8FB"/>
          </w:tcPr>
          <w:p>
            <w:pPr>
              <w:spacing w:after="20" w:before="20" w:line="240" w:lineRule="auto"/>
            </w:pPr>
            <w:r/>
            <w:r>
              <w:rPr>
                <w:rFonts w:ascii="Aptos" w:hAnsi="Aptos" w:eastAsia="Aptos"/>
                <w:b w:val="0"/>
                <w:sz w:val="14"/>
              </w:rPr>
              <w:t>EMA_7(growth) − EMA_21(growth), adjust=False.</w:t>
            </w:r>
          </w:p>
        </w:tc>
        <w:tc>
          <w:tcPr>
            <w:tcW w:type="dxa" w:w="2520"/>
            <w:vAlign w:val="center"/>
            <w:shd w:fill="F5F8FB"/>
          </w:tcPr>
          <w:p>
            <w:pPr>
              <w:spacing w:after="20" w:before="20" w:line="240" w:lineRule="auto"/>
            </w:pPr>
            <w:r/>
            <w:r>
              <w:rPr>
                <w:rFonts w:ascii="Aptos" w:hAnsi="Aptos" w:eastAsia="Aptos"/>
                <w:b w:val="0"/>
                <w:sz w:val="14"/>
              </w:rPr>
              <w:t>Context/speed family; gated.</w:t>
            </w:r>
          </w:p>
        </w:tc>
      </w:tr>
      <w:tr>
        <w:trPr>
          <w:cantSplit/>
        </w:trPr>
        <w:tc>
          <w:tcPr>
            <w:tcW w:type="dxa" w:w="1728"/>
            <w:vAlign w:val="center"/>
          </w:tcPr>
          <w:p>
            <w:pPr>
              <w:spacing w:after="20" w:before="20" w:line="240" w:lineRule="auto"/>
            </w:pPr>
            <w:r/>
            <w:r>
              <w:rPr>
                <w:rFonts w:ascii="Aptos" w:hAnsi="Aptos" w:eastAsia="Aptos"/>
                <w:b w:val="0"/>
                <w:sz w:val="14"/>
              </w:rPr>
              <w:t>Raw acceleration</w:t>
            </w:r>
          </w:p>
        </w:tc>
        <w:tc>
          <w:tcPr>
            <w:tcW w:type="dxa" w:w="5976"/>
            <w:vAlign w:val="center"/>
          </w:tcPr>
          <w:p>
            <w:pPr>
              <w:spacing w:after="20" w:before="20" w:line="240" w:lineRule="auto"/>
            </w:pPr>
            <w:r/>
            <w:r>
              <w:rPr>
                <w:rFonts w:ascii="Aptos" w:hAnsi="Aptos" w:eastAsia="Aptos"/>
                <w:b w:val="0"/>
                <w:sz w:val="14"/>
              </w:rPr>
              <w:t>growth(t) − growth(t−1).</w:t>
            </w:r>
          </w:p>
        </w:tc>
        <w:tc>
          <w:tcPr>
            <w:tcW w:type="dxa" w:w="2520"/>
            <w:vAlign w:val="center"/>
          </w:tcPr>
          <w:p>
            <w:pPr>
              <w:spacing w:after="20" w:before="20" w:line="240" w:lineRule="auto"/>
            </w:pPr>
            <w:r/>
            <w:r>
              <w:rPr>
                <w:rFonts w:ascii="Aptos" w:hAnsi="Aptos" w:eastAsia="Aptos"/>
                <w:b w:val="0"/>
                <w:sz w:val="14"/>
              </w:rPr>
              <w:t>Second difference of log rate; gated.</w:t>
            </w:r>
          </w:p>
        </w:tc>
      </w:tr>
      <w:tr>
        <w:trPr>
          <w:cantSplit/>
        </w:trPr>
        <w:tc>
          <w:tcPr>
            <w:tcW w:type="dxa" w:w="1728"/>
            <w:vAlign w:val="center"/>
            <w:shd w:fill="F5F8FB"/>
          </w:tcPr>
          <w:p>
            <w:pPr>
              <w:spacing w:after="20" w:before="20" w:line="240" w:lineRule="auto"/>
            </w:pPr>
            <w:r/>
            <w:r>
              <w:rPr>
                <w:rFonts w:ascii="Aptos" w:hAnsi="Aptos" w:eastAsia="Aptos"/>
                <w:b w:val="0"/>
                <w:sz w:val="14"/>
              </w:rPr>
              <w:t>Smoothed acceleration</w:t>
            </w:r>
          </w:p>
        </w:tc>
        <w:tc>
          <w:tcPr>
            <w:tcW w:type="dxa" w:w="5976"/>
            <w:vAlign w:val="center"/>
            <w:shd w:fill="F5F8FB"/>
          </w:tcPr>
          <w:p>
            <w:pPr>
              <w:spacing w:after="20" w:before="20" w:line="240" w:lineRule="auto"/>
            </w:pPr>
            <w:r/>
            <w:r>
              <w:rPr>
                <w:rFonts w:ascii="Aptos" w:hAnsi="Aptos" w:eastAsia="Aptos"/>
                <w:b w:val="0"/>
                <w:sz w:val="14"/>
              </w:rPr>
              <w:t>Causal Savitzky–Golay 2nd derivative, trailing window 5, polynomial order 2.</w:t>
            </w:r>
          </w:p>
        </w:tc>
        <w:tc>
          <w:tcPr>
            <w:tcW w:type="dxa" w:w="2520"/>
            <w:vAlign w:val="center"/>
            <w:shd w:fill="F5F8FB"/>
          </w:tcPr>
          <w:p>
            <w:pPr>
              <w:spacing w:after="20" w:before="20" w:line="240" w:lineRule="auto"/>
            </w:pPr>
            <w:r/>
            <w:r>
              <w:rPr>
                <w:rFonts w:ascii="Aptos" w:hAnsi="Aptos" w:eastAsia="Aptos"/>
                <w:b w:val="0"/>
                <w:sz w:val="14"/>
              </w:rPr>
              <w:t>Does not consume future days; the smoothed version is the intended publishable acceleration.</w:t>
            </w:r>
          </w:p>
        </w:tc>
      </w:tr>
      <w:tr>
        <w:trPr>
          <w:cantSplit/>
        </w:trPr>
        <w:tc>
          <w:tcPr>
            <w:tcW w:type="dxa" w:w="1728"/>
            <w:vAlign w:val="center"/>
          </w:tcPr>
          <w:p>
            <w:pPr>
              <w:spacing w:after="20" w:before="20" w:line="240" w:lineRule="auto"/>
            </w:pPr>
            <w:r/>
            <w:r>
              <w:rPr>
                <w:rFonts w:ascii="Aptos" w:hAnsi="Aptos" w:eastAsia="Aptos"/>
                <w:b w:val="0"/>
                <w:sz w:val="14"/>
              </w:rPr>
              <w:t>Baseline</w:t>
            </w:r>
          </w:p>
        </w:tc>
        <w:tc>
          <w:tcPr>
            <w:tcW w:type="dxa" w:w="5976"/>
            <w:vAlign w:val="center"/>
          </w:tcPr>
          <w:p>
            <w:pPr>
              <w:spacing w:after="20" w:before="20" w:line="240" w:lineRule="auto"/>
            </w:pPr>
            <w:r/>
            <w:r>
              <w:rPr>
                <w:rFonts w:ascii="Aptos" w:hAnsi="Aptos" w:eastAsia="Aptos"/>
                <w:b w:val="0"/>
                <w:sz w:val="14"/>
              </w:rPr>
              <w:t>Fit negative-binomial NB2 on up to 28 strictly prior daily counts; minimum 7 prior observations. Poisson fallback if dispersion is underdispersed/unidentifiable.</w:t>
            </w:r>
          </w:p>
        </w:tc>
        <w:tc>
          <w:tcPr>
            <w:tcW w:type="dxa" w:w="2520"/>
            <w:vAlign w:val="center"/>
          </w:tcPr>
          <w:p>
            <w:pPr>
              <w:spacing w:after="20" w:before="20" w:line="240" w:lineRule="auto"/>
            </w:pPr>
            <w:r/>
            <w:r>
              <w:rPr>
                <w:rFonts w:ascii="Aptos" w:hAnsi="Aptos" w:eastAsia="Aptos"/>
                <w:b w:val="0"/>
                <w:sz w:val="14"/>
              </w:rPr>
              <w:t>No look-ahead; baseline method and days are stored.</w:t>
            </w:r>
          </w:p>
        </w:tc>
      </w:tr>
      <w:tr>
        <w:trPr>
          <w:cantSplit/>
        </w:trPr>
        <w:tc>
          <w:tcPr>
            <w:tcW w:type="dxa" w:w="1728"/>
            <w:vAlign w:val="center"/>
            <w:shd w:fill="F5F8FB"/>
          </w:tcPr>
          <w:p>
            <w:pPr>
              <w:spacing w:after="20" w:before="20" w:line="240" w:lineRule="auto"/>
            </w:pPr>
            <w:r/>
            <w:r>
              <w:rPr>
                <w:rFonts w:ascii="Aptos" w:hAnsi="Aptos" w:eastAsia="Aptos"/>
                <w:b w:val="0"/>
                <w:sz w:val="14"/>
              </w:rPr>
              <w:t>Exposure/drift adjustment</w:t>
            </w:r>
          </w:p>
        </w:tc>
        <w:tc>
          <w:tcPr>
            <w:tcW w:type="dxa" w:w="5976"/>
            <w:vAlign w:val="center"/>
            <w:shd w:fill="F5F8FB"/>
          </w:tcPr>
          <w:p>
            <w:pPr>
              <w:spacing w:after="20" w:before="20" w:line="240" w:lineRule="auto"/>
            </w:pPr>
            <w:r/>
            <w:r>
              <w:rPr>
                <w:rFonts w:ascii="Aptos" w:hAnsi="Aptos" w:eastAsia="Aptos"/>
                <w:b w:val="0"/>
                <w:sz w:val="14"/>
              </w:rPr>
              <w:t>Smooth exposure with a trailing 7-day average. Scale μ and θ by current smoothed exposure / mean prior smoothed exposure, clipped to [1/3, 3]; apply configured drift factor.</w:t>
            </w:r>
          </w:p>
        </w:tc>
        <w:tc>
          <w:tcPr>
            <w:tcW w:type="dxa" w:w="2520"/>
            <w:vAlign w:val="center"/>
            <w:shd w:fill="F5F8FB"/>
          </w:tcPr>
          <w:p>
            <w:pPr>
              <w:spacing w:after="20" w:before="20" w:line="240" w:lineRule="auto"/>
            </w:pPr>
            <w:r/>
            <w:r>
              <w:rPr>
                <w:rFonts w:ascii="Aptos" w:hAnsi="Aptos" w:eastAsia="Aptos"/>
                <w:b w:val="0"/>
                <w:sz w:val="14"/>
              </w:rPr>
              <w:t>Intended to cancel slow changes in collection effort and baseline drift.</w:t>
            </w:r>
          </w:p>
        </w:tc>
      </w:tr>
      <w:tr>
        <w:trPr>
          <w:cantSplit/>
        </w:trPr>
        <w:tc>
          <w:tcPr>
            <w:tcW w:type="dxa" w:w="1728"/>
            <w:vAlign w:val="center"/>
          </w:tcPr>
          <w:p>
            <w:pPr>
              <w:spacing w:after="20" w:before="20" w:line="240" w:lineRule="auto"/>
            </w:pPr>
            <w:r/>
            <w:r>
              <w:rPr>
                <w:rFonts w:ascii="Aptos" w:hAnsi="Aptos" w:eastAsia="Aptos"/>
                <w:b w:val="0"/>
                <w:sz w:val="14"/>
              </w:rPr>
              <w:t>Exact surprise p</w:t>
            </w:r>
          </w:p>
        </w:tc>
        <w:tc>
          <w:tcPr>
            <w:tcW w:type="dxa" w:w="5976"/>
            <w:vAlign w:val="center"/>
          </w:tcPr>
          <w:p>
            <w:pPr>
              <w:spacing w:after="20" w:before="20" w:line="240" w:lineRule="auto"/>
            </w:pPr>
            <w:r/>
            <w:r>
              <w:rPr>
                <w:rFonts w:ascii="Aptos" w:hAnsi="Aptos" w:eastAsia="Aptos"/>
                <w:b w:val="0"/>
                <w:sz w:val="14"/>
              </w:rPr>
              <w:t>p = P(X ≥ V(t) | fitted count baseline); NB2 variance is μ + μ²/θ.</w:t>
            </w:r>
          </w:p>
        </w:tc>
        <w:tc>
          <w:tcPr>
            <w:tcW w:type="dxa" w:w="2520"/>
            <w:vAlign w:val="center"/>
          </w:tcPr>
          <w:p>
            <w:pPr>
              <w:spacing w:after="20" w:before="20" w:line="240" w:lineRule="auto"/>
            </w:pPr>
            <w:r/>
            <w:r>
              <w:rPr>
                <w:rFonts w:ascii="Aptos" w:hAnsi="Aptos" w:eastAsia="Aptos"/>
                <w:b w:val="0"/>
                <w:sz w:val="14"/>
              </w:rPr>
              <w:t>Exact inclusive upper tail is the displayed surprise basis.</w:t>
            </w:r>
          </w:p>
        </w:tc>
      </w:tr>
      <w:tr>
        <w:trPr>
          <w:cantSplit/>
        </w:trPr>
        <w:tc>
          <w:tcPr>
            <w:tcW w:type="dxa" w:w="1728"/>
            <w:vAlign w:val="center"/>
            <w:shd w:fill="F5F8FB"/>
          </w:tcPr>
          <w:p>
            <w:pPr>
              <w:spacing w:after="20" w:before="20" w:line="240" w:lineRule="auto"/>
            </w:pPr>
            <w:r/>
            <w:r>
              <w:rPr>
                <w:rFonts w:ascii="Aptos" w:hAnsi="Aptos" w:eastAsia="Aptos"/>
                <w:b w:val="0"/>
                <w:sz w:val="14"/>
              </w:rPr>
              <w:t>Surprise score</w:t>
            </w:r>
          </w:p>
        </w:tc>
        <w:tc>
          <w:tcPr>
            <w:tcW w:type="dxa" w:w="5976"/>
            <w:vAlign w:val="center"/>
            <w:shd w:fill="F5F8FB"/>
          </w:tcPr>
          <w:p>
            <w:pPr>
              <w:spacing w:after="20" w:before="20" w:line="240" w:lineRule="auto"/>
            </w:pPr>
            <w:r/>
            <w:r>
              <w:rPr>
                <w:rFonts w:ascii="Aptos" w:hAnsi="Aptos" w:eastAsia="Aptos"/>
                <w:b w:val="0"/>
                <w:sz w:val="14"/>
              </w:rPr>
              <w:t>surprise = −log10(p).</w:t>
            </w:r>
          </w:p>
        </w:tc>
        <w:tc>
          <w:tcPr>
            <w:tcW w:type="dxa" w:w="2520"/>
            <w:vAlign w:val="center"/>
            <w:shd w:fill="F5F8FB"/>
          </w:tcPr>
          <w:p>
            <w:pPr>
              <w:spacing w:after="20" w:before="20" w:line="240" w:lineRule="auto"/>
            </w:pPr>
            <w:r/>
            <w:r>
              <w:rPr>
                <w:rFonts w:ascii="Aptos" w:hAnsi="Aptos" w:eastAsia="Aptos"/>
                <w:b w:val="0"/>
                <w:sz w:val="14"/>
              </w:rPr>
              <w:t>Larger means more unusual under the fitted baseline; not itself an FDR guarantee.</w:t>
            </w:r>
          </w:p>
        </w:tc>
      </w:tr>
      <w:tr>
        <w:trPr>
          <w:cantSplit/>
        </w:trPr>
        <w:tc>
          <w:tcPr>
            <w:tcW w:type="dxa" w:w="1728"/>
            <w:vAlign w:val="center"/>
          </w:tcPr>
          <w:p>
            <w:pPr>
              <w:spacing w:after="20" w:before="20" w:line="240" w:lineRule="auto"/>
            </w:pPr>
            <w:r/>
            <w:r>
              <w:rPr>
                <w:rFonts w:ascii="Aptos" w:hAnsi="Aptos" w:eastAsia="Aptos"/>
                <w:b w:val="0"/>
                <w:sz w:val="14"/>
              </w:rPr>
              <w:t>FDR q</w:t>
            </w:r>
          </w:p>
        </w:tc>
        <w:tc>
          <w:tcPr>
            <w:tcW w:type="dxa" w:w="5976"/>
            <w:vAlign w:val="center"/>
          </w:tcPr>
          <w:p>
            <w:r>
              <w:t>For each AOI and day, Benjamini-Hochberg (BH)-adjust the mid-p tails across all supported node/level tests. q_(i)=min_{j≥i}(m·p_(j)/j), with p sorted and q clipped to [0,1].</w:t>
            </w:r>
          </w:p>
        </w:tc>
        <w:tc>
          <w:tcPr>
            <w:tcW w:type="dxa" w:w="2520"/>
            <w:vAlign w:val="center"/>
          </w:tcPr>
          <w:p>
            <w:pPr>
              <w:spacing w:after="20" w:before="20" w:line="240" w:lineRule="auto"/>
            </w:pPr>
            <w:r/>
            <w:r>
              <w:rPr>
                <w:rFonts w:ascii="Aptos" w:hAnsi="Aptos" w:eastAsia="Aptos"/>
                <w:b w:val="0"/>
                <w:sz w:val="14"/>
              </w:rPr>
              <w:t>Use q&lt;0.05 for the statistical alert flag; the q family is AOI × day.</w:t>
            </w:r>
          </w:p>
        </w:tc>
      </w:tr>
      <w:tr>
        <w:trPr>
          <w:cantSplit/>
        </w:trPr>
        <w:tc>
          <w:tcPr>
            <w:tcW w:type="dxa" w:w="1728"/>
            <w:vAlign w:val="center"/>
            <w:shd w:fill="F5F8FB"/>
          </w:tcPr>
          <w:p>
            <w:pPr>
              <w:spacing w:after="20" w:before="20" w:line="240" w:lineRule="auto"/>
            </w:pPr>
            <w:r/>
            <w:r>
              <w:rPr>
                <w:rFonts w:ascii="Aptos" w:hAnsi="Aptos" w:eastAsia="Aptos"/>
                <w:b w:val="0"/>
                <w:sz w:val="14"/>
              </w:rPr>
              <w:t>Publisher diversity</w:t>
            </w:r>
          </w:p>
        </w:tc>
        <w:tc>
          <w:tcPr>
            <w:tcW w:type="dxa" w:w="5976"/>
            <w:vAlign w:val="center"/>
            <w:shd w:fill="F5F8FB"/>
          </w:tcPr>
          <w:p>
            <w:pPr>
              <w:spacing w:after="20" w:before="20" w:line="240" w:lineRule="auto"/>
            </w:pPr>
            <w:r/>
            <w:r>
              <w:rPr>
                <w:rFonts w:ascii="Aptos" w:hAnsi="Aptos" w:eastAsia="Aptos"/>
                <w:b w:val="0"/>
                <w:sz w:val="14"/>
              </w:rPr>
              <w:t>Hurlbert PIE = N/(N−1) × (1 − Σ p_i²), where p_i is each publisher’s article share.</w:t>
            </w:r>
          </w:p>
        </w:tc>
        <w:tc>
          <w:tcPr>
            <w:tcW w:type="dxa" w:w="2520"/>
            <w:vAlign w:val="center"/>
            <w:shd w:fill="F5F8FB"/>
          </w:tcPr>
          <w:p>
            <w:pPr>
              <w:spacing w:after="20" w:before="20" w:line="240" w:lineRule="auto"/>
            </w:pPr>
            <w:r/>
            <w:r>
              <w:rPr>
                <w:rFonts w:ascii="Aptos" w:hAnsi="Aptos" w:eastAsia="Aptos"/>
                <w:b w:val="0"/>
                <w:sz w:val="14"/>
              </w:rPr>
              <w:t>NULL if N&lt;2; interpretable as the probability two articles without replacement come from different outlets.</w:t>
            </w:r>
          </w:p>
        </w:tc>
      </w:tr>
    </w:tbl>
    <w:p>
      <w:pPr>
        <w:spacing w:after="20"/>
      </w:pPr>
    </w:p>
    <w:p>
      <w:pPr>
        <w:pStyle w:val="Heading2"/>
      </w:pPr>
      <w:r>
        <w:t>Support and alert decision path</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1. Build daily AOI/node counts</w:t>
            </w:r>
          </w:p>
        </w:tc>
        <w:tc>
          <w:tcPr>
            <w:tcW w:type="dxa" w:w="5083"/>
            <w:vAlign w:val="center"/>
            <w:shd w:fill="F7FAFC"/>
          </w:tcPr>
          <w:p>
            <w:pPr>
              <w:spacing w:after="20" w:before="20" w:line="240" w:lineRule="auto"/>
            </w:pPr>
            <w:r/>
            <w:r>
              <w:rPr>
                <w:rFonts w:ascii="Aptos" w:hAnsi="Aptos" w:eastAsia="Aptos"/>
                <w:b w:val="0"/>
                <w:sz w:val="16"/>
              </w:rPr>
              <w:t>V and leave-one-out exposure</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2. Is AOI supported?</w:t>
            </w:r>
          </w:p>
        </w:tc>
        <w:tc>
          <w:tcPr>
            <w:tcW w:type="dxa" w:w="5083"/>
            <w:vAlign w:val="center"/>
            <w:shd w:fill="F7FAFC"/>
          </w:tcPr>
          <w:p>
            <w:pPr>
              <w:spacing w:after="20" w:before="20" w:line="240" w:lineRule="auto"/>
            </w:pPr>
            <w:r/>
            <w:r>
              <w:rPr>
                <w:rFonts w:ascii="Aptos" w:hAnsi="Aptos" w:eastAsia="Aptos"/>
                <w:b w:val="0"/>
                <w:sz w:val="16"/>
              </w:rPr>
              <w:t>≥100 labelled in-scope articles</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3. Is the day supported?</w:t>
            </w:r>
          </w:p>
        </w:tc>
        <w:tc>
          <w:tcPr>
            <w:tcW w:type="dxa" w:w="5083"/>
            <w:vAlign w:val="center"/>
            <w:shd w:fill="F7FAFC"/>
          </w:tcPr>
          <w:p>
            <w:pPr>
              <w:spacing w:after="20" w:before="20" w:line="240" w:lineRule="auto"/>
            </w:pPr>
            <w:r/>
            <w:r>
              <w:rPr>
                <w:rFonts w:ascii="Aptos" w:hAnsi="Aptos" w:eastAsia="Aptos"/>
                <w:b w:val="0"/>
                <w:sz w:val="16"/>
              </w:rPr>
              <w:t>Exposure ≥30; else data gap / NULL</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4. Is the node supported?</w:t>
            </w:r>
          </w:p>
        </w:tc>
        <w:tc>
          <w:tcPr>
            <w:tcW w:type="dxa" w:w="5083"/>
            <w:vAlign w:val="center"/>
            <w:shd w:fill="F7FAFC"/>
          </w:tcPr>
          <w:p>
            <w:pPr>
              <w:spacing w:after="20" w:before="20" w:line="240" w:lineRule="auto"/>
            </w:pPr>
            <w:r/>
            <w:r>
              <w:rPr>
                <w:rFonts w:ascii="Aptos" w:hAnsi="Aptos" w:eastAsia="Aptos"/>
                <w:b w:val="0"/>
                <w:sz w:val="16"/>
              </w:rPr>
              <w:t>Total node V ≥20; daily V ≥3; ≥7 earlier baseline days; baseline mean ≥0.5</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5. Estimate anomaly</w:t>
            </w:r>
          </w:p>
        </w:tc>
        <w:tc>
          <w:tcPr>
            <w:tcW w:type="dxa" w:w="5083"/>
            <w:vAlign w:val="center"/>
            <w:shd w:fill="F7FAFC"/>
          </w:tcPr>
          <w:p>
            <w:pPr>
              <w:spacing w:after="20" w:before="20" w:line="240" w:lineRule="auto"/>
            </w:pPr>
            <w:r/>
            <w:r>
              <w:rPr>
                <w:rFonts w:ascii="Aptos" w:hAnsi="Aptos" w:eastAsia="Aptos"/>
                <w:b w:val="0"/>
                <w:sz w:val="16"/>
              </w:rPr>
              <w:t>Prior-only NB2/Poisson baseline → exact p/surprise; mid-p enters BH family</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6. Correct multiplicity</w:t>
            </w:r>
          </w:p>
        </w:tc>
        <w:tc>
          <w:tcPr>
            <w:tcW w:type="dxa" w:w="5083"/>
            <w:vAlign w:val="center"/>
            <w:shd w:fill="F7FAFC"/>
          </w:tcPr>
          <w:p>
            <w:pPr>
              <w:spacing w:after="20" w:before="20" w:line="240" w:lineRule="auto"/>
            </w:pPr>
            <w:r/>
            <w:r>
              <w:rPr>
                <w:rFonts w:ascii="Aptos" w:hAnsi="Aptos" w:eastAsia="Aptos"/>
                <w:b w:val="0"/>
                <w:sz w:val="16"/>
              </w:rPr>
              <w:t>BH q-values for every supported node and level in this AOI/day</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7. Apply effect floor</w:t>
            </w:r>
          </w:p>
        </w:tc>
        <w:tc>
          <w:tcPr>
            <w:tcW w:type="dxa" w:w="5083"/>
            <w:vAlign w:val="center"/>
            <w:shd w:fill="F7FAFC"/>
          </w:tcPr>
          <w:p>
            <w:pPr>
              <w:spacing w:after="20" w:before="20" w:line="240" w:lineRule="auto"/>
            </w:pPr>
            <w:r/>
            <w:r>
              <w:rPr>
                <w:rFonts w:ascii="Aptos" w:hAnsi="Aptos" w:eastAsia="Aptos"/>
                <w:b w:val="0"/>
                <w:sz w:val="16"/>
              </w:rPr>
              <w:t>Node alert only if q&lt;0.05 and V / adjusted baseline_mu ≥2</w:t>
            </w:r>
          </w:p>
        </w:tc>
      </w:tr>
    </w:tbl>
    <w:p>
      <w:pPr>
        <w:spacing w:after="0" w:before="0"/>
        <w:jc w:val="center"/>
      </w:pPr>
      <w:r>
        <w:rPr>
          <w:color w:val="007C91"/>
        </w:rP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EAF2F8"/>
          </w:tcPr>
          <w:p>
            <w:pPr>
              <w:spacing w:after="20" w:before="20" w:line="240" w:lineRule="auto"/>
            </w:pPr>
            <w:r/>
            <w:r>
              <w:rPr>
                <w:rFonts w:ascii="Aptos" w:hAnsi="Aptos" w:eastAsia="Aptos"/>
                <w:b/>
                <w:color w:val="17365D"/>
                <w:sz w:val="16"/>
              </w:rPr>
              <w:t>8. Assign severity</w:t>
            </w:r>
          </w:p>
        </w:tc>
        <w:tc>
          <w:tcPr>
            <w:tcW w:type="dxa" w:w="5083"/>
            <w:vAlign w:val="center"/>
            <w:shd w:fill="F7FAFC"/>
          </w:tcPr>
          <w:p>
            <w:pPr>
              <w:spacing w:after="20" w:before="20" w:line="240" w:lineRule="auto"/>
            </w:pPr>
            <w:r/>
            <w:r>
              <w:rPr>
                <w:rFonts w:ascii="Aptos" w:hAnsi="Aptos" w:eastAsia="Aptos"/>
                <w:b w:val="0"/>
                <w:sz w:val="16"/>
              </w:rPr>
              <w:t>High if q&lt;0.01 and V≥10; otherwise medium</w:t>
            </w:r>
          </w:p>
        </w:tc>
      </w:tr>
    </w:tbl>
    <w:p/>
    <w:p>
      <w:pPr>
        <w:spacing w:after="100"/>
      </w:pPr>
      <w:r>
        <w:t>In plain language, Benjamini-Hochberg (BH) ranks the p-values within one AOI/day, scales each by the number of tests divided by its rank, then enforces monotone q-values. This controls the expected false-discovery proportion across that family under the method’s assumptions; it does not validate the story cluster or its location.</w:t>
      </w:r>
    </w:p>
    <w:p>
      <w:r>
        <w:t>Important: `surprise_p` is an exact tail used for the displayed surprise, while `surprise_q` is formed from mid-p inputs to BH (configured fdr_pvalue_kind=midp). The q-value is therefore not obtained by applying BH to the displayed exact p alone.</w:t>
      </w:r>
    </w:p>
    <w:p>
      <w:pPr>
        <w:pStyle w:val="Heading2"/>
      </w:pPr>
      <w:r>
        <w:t>Burst, episodes and persistence</w:t>
      </w:r>
    </w:p>
    <w:p>
      <w:pPr>
        <w:pStyle w:val="ListBullet"/>
        <w:spacing w:after="40"/>
      </w:pPr>
      <w:r>
        <w:t>Burst detector selection is support-aware. Kleinberg’s 2-state Poisson model is used only with at least 21 days, total V≥30 and mean V≥0.5; otherwise the implementation uses the one-sided Poisson CUSUM with current-day-excluded baseline_mu. Method is stored per row. The 14-day pilot’s supported series use the short-series path.</w:t>
      </w:r>
    </w:p>
    <w:p>
      <w:pPr>
        <w:pStyle w:val="ListBullet"/>
        <w:spacing w:after="40"/>
      </w:pPr>
      <w:r>
        <w:t>Kleinberg compares baseline λ0 with λ1 = s·λ0 (s=2), with entry penalty γ·ln(n) (γ=1). CUSUM uses S_t=max(0,S_(t−1)+V_t−k_t), with h=5 and k=(λ1−λ0)/ln(λ1/λ0); burst is on at S_t≥h.</w:t>
      </w:r>
    </w:p>
    <w:p>
      <w:pPr>
        <w:pStyle w:val="ListBullet"/>
        <w:spacing w:after="40"/>
      </w:pPr>
      <w:r>
        <w:t>Contiguous burst-state runs become burst_episode rows with start/peak/end, peak/total V, onset slope and episode-scoped decay half-life. The burst intensity is explicitly marked as volume-related context; it is not ranked or used for alerts.</w:t>
      </w:r>
    </w:p>
    <w:p>
      <w:pPr>
        <w:pStyle w:val="ListBullet"/>
        <w:spacing w:after="40"/>
      </w:pPr>
      <w:r>
        <w:t>The AOI panel code fits AR(1) using `fit_ar1(panel["log_rate"])`; when 0&lt;φ&lt;1, half-life is ln(0.5)/ln(φ). Do not confuse this with the generic shared-module documentation’s log-return examples: the news caller passes log-rate levels. Values require at least 12 observations; Ljung–Box diagnostics are stored alongside.</w:t>
      </w:r>
    </w:p>
    <w:p>
      <w:pPr>
        <w:pStyle w:val="Heading1"/>
      </w:pPr>
      <w:r>
        <w:t>8. Event-level indicators and detection</w:t>
      </w:r>
    </w:p>
    <w:p>
      <w:pPr>
        <w:pStyle w:val="Heading2"/>
      </w:pPr>
      <w:r>
        <w:t>Descriptive event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872"/>
            <w:vAlign w:val="center"/>
            <w:shd w:fill="17365D"/>
          </w:tcPr>
          <w:p>
            <w:pPr>
              <w:spacing w:after="20" w:before="20" w:line="240" w:lineRule="auto"/>
            </w:pPr>
            <w:r/>
            <w:r>
              <w:rPr>
                <w:rFonts w:ascii="Aptos" w:hAnsi="Aptos" w:eastAsia="Aptos"/>
                <w:b/>
                <w:color w:val="FFFFFF"/>
                <w:sz w:val="15"/>
              </w:rPr>
              <w:t>Event signal</w:t>
            </w:r>
          </w:p>
        </w:tc>
        <w:tc>
          <w:tcPr>
            <w:tcW w:type="dxa" w:w="5616"/>
            <w:vAlign w:val="center"/>
            <w:shd w:fill="17365D"/>
          </w:tcPr>
          <w:p>
            <w:pPr>
              <w:spacing w:after="20" w:before="20" w:line="240" w:lineRule="auto"/>
            </w:pPr>
            <w:r/>
            <w:r>
              <w:rPr>
                <w:rFonts w:ascii="Aptos" w:hAnsi="Aptos" w:eastAsia="Aptos"/>
                <w:b/>
                <w:color w:val="FFFFFF"/>
                <w:sz w:val="15"/>
              </w:rPr>
              <w:t>Actual calculation</w:t>
            </w:r>
          </w:p>
        </w:tc>
        <w:tc>
          <w:tcPr>
            <w:tcW w:type="dxa" w:w="2736"/>
            <w:vAlign w:val="center"/>
            <w:shd w:fill="17365D"/>
          </w:tcPr>
          <w:p>
            <w:pPr>
              <w:spacing w:after="20" w:before="20" w:line="240" w:lineRule="auto"/>
            </w:pPr>
            <w:r/>
            <w:r>
              <w:rPr>
                <w:rFonts w:ascii="Aptos" w:hAnsi="Aptos" w:eastAsia="Aptos"/>
                <w:b/>
                <w:color w:val="FFFFFF"/>
                <w:sz w:val="15"/>
              </w:rPr>
              <w:t>Minimum evidence / note</w:t>
            </w:r>
          </w:p>
        </w:tc>
      </w:tr>
      <w:tr>
        <w:trPr>
          <w:cantSplit/>
        </w:trPr>
        <w:tc>
          <w:tcPr>
            <w:tcW w:type="dxa" w:w="1872"/>
            <w:vAlign w:val="center"/>
          </w:tcPr>
          <w:p>
            <w:pPr>
              <w:spacing w:after="20" w:before="20" w:line="240" w:lineRule="auto"/>
            </w:pPr>
            <w:r/>
            <w:r>
              <w:rPr>
                <w:rFonts w:ascii="Aptos" w:hAnsi="Aptos" w:eastAsia="Aptos"/>
                <w:b w:val="0"/>
                <w:sz w:val="15"/>
              </w:rPr>
              <w:t>24-hour growth</w:t>
            </w:r>
          </w:p>
        </w:tc>
        <w:tc>
          <w:tcPr>
            <w:tcW w:type="dxa" w:w="5616"/>
            <w:vAlign w:val="center"/>
          </w:tcPr>
          <w:p>
            <w:pPr>
              <w:spacing w:after="20" w:before="20" w:line="240" w:lineRule="auto"/>
            </w:pPr>
            <w:r/>
            <w:r>
              <w:rPr>
                <w:rFonts w:ascii="Aptos" w:hAnsi="Aptos" w:eastAsia="Aptos"/>
                <w:b w:val="0"/>
                <w:sz w:val="15"/>
              </w:rPr>
              <w:t>ln((articles in last 24h + 1) / (articles in previous 24h + 1)).</w:t>
            </w:r>
          </w:p>
        </w:tc>
        <w:tc>
          <w:tcPr>
            <w:tcW w:type="dxa" w:w="2736"/>
            <w:vAlign w:val="center"/>
          </w:tcPr>
          <w:p>
            <w:pPr>
              <w:spacing w:after="20" w:before="20" w:line="240" w:lineRule="auto"/>
            </w:pPr>
            <w:r/>
            <w:r>
              <w:rPr>
                <w:rFonts w:ascii="Aptos" w:hAnsi="Aptos" w:eastAsia="Aptos"/>
                <w:b w:val="0"/>
                <w:sz w:val="15"/>
              </w:rPr>
              <w:t>Set only if at least 5 articles occur in those 48 hours.</w:t>
            </w:r>
          </w:p>
        </w:tc>
      </w:tr>
      <w:tr>
        <w:trPr>
          <w:cantSplit/>
        </w:trPr>
        <w:tc>
          <w:tcPr>
            <w:tcW w:type="dxa" w:w="1872"/>
            <w:vAlign w:val="center"/>
            <w:shd w:fill="F5F8FB"/>
          </w:tcPr>
          <w:p>
            <w:pPr>
              <w:spacing w:after="20" w:before="20" w:line="240" w:lineRule="auto"/>
            </w:pPr>
            <w:r/>
            <w:r>
              <w:rPr>
                <w:rFonts w:ascii="Aptos" w:hAnsi="Aptos" w:eastAsia="Aptos"/>
                <w:b w:val="0"/>
                <w:sz w:val="15"/>
              </w:rPr>
              <w:t>6-hour acceleration</w:t>
            </w:r>
          </w:p>
        </w:tc>
        <w:tc>
          <w:tcPr>
            <w:tcW w:type="dxa" w:w="5616"/>
            <w:vAlign w:val="center"/>
            <w:shd w:fill="F5F8FB"/>
          </w:tcPr>
          <w:p>
            <w:pPr>
              <w:spacing w:after="20" w:before="20" w:line="240" w:lineRule="auto"/>
            </w:pPr>
            <w:r/>
            <w:r>
              <w:rPr>
                <w:rFonts w:ascii="Aptos" w:hAnsi="Aptos" w:eastAsia="Aptos"/>
                <w:b w:val="0"/>
                <w:sz w:val="15"/>
              </w:rPr>
              <w:t>Put last-48h articles into eight 6-hour buckets, oldest to newest; compute a causal 2nd Savitzky–Golay derivative of ln(bucket_count+1).</w:t>
            </w:r>
          </w:p>
        </w:tc>
        <w:tc>
          <w:tcPr>
            <w:tcW w:type="dxa" w:w="2736"/>
            <w:vAlign w:val="center"/>
            <w:shd w:fill="F5F8FB"/>
          </w:tcPr>
          <w:p>
            <w:pPr>
              <w:spacing w:after="20" w:before="20" w:line="240" w:lineRule="auto"/>
            </w:pPr>
            <w:r/>
            <w:r>
              <w:rPr>
                <w:rFonts w:ascii="Aptos" w:hAnsi="Aptos" w:eastAsia="Aptos"/>
                <w:b w:val="0"/>
                <w:sz w:val="15"/>
              </w:rPr>
              <w:t>Requires at least 8 articles in the last 48 hours.</w:t>
            </w:r>
          </w:p>
        </w:tc>
      </w:tr>
      <w:tr>
        <w:trPr>
          <w:cantSplit/>
        </w:trPr>
        <w:tc>
          <w:tcPr>
            <w:tcW w:type="dxa" w:w="1872"/>
            <w:vAlign w:val="center"/>
          </w:tcPr>
          <w:p>
            <w:pPr>
              <w:spacing w:after="20" w:before="20" w:line="240" w:lineRule="auto"/>
            </w:pPr>
            <w:r/>
            <w:r>
              <w:rPr>
                <w:rFonts w:ascii="Aptos" w:hAnsi="Aptos" w:eastAsia="Aptos"/>
                <w:b w:val="0"/>
                <w:sz w:val="15"/>
              </w:rPr>
              <w:t>Persistence / half-life</w:t>
            </w:r>
          </w:p>
        </w:tc>
        <w:tc>
          <w:tcPr>
            <w:tcW w:type="dxa" w:w="5616"/>
            <w:vAlign w:val="center"/>
          </w:tcPr>
          <w:p>
            <w:pPr>
              <w:spacing w:after="20" w:before="20" w:line="240" w:lineRule="auto"/>
            </w:pPr>
            <w:r/>
            <w:r>
              <w:rPr>
                <w:rFonts w:ascii="Aptos" w:hAnsi="Aptos" w:eastAsia="Aptos"/>
                <w:b w:val="0"/>
                <w:sz w:val="15"/>
              </w:rPr>
              <w:t>Daily event article counts; find peak day, fit ln(V)=a−λt after peak; half-life=ln(2)/λ.</w:t>
            </w:r>
          </w:p>
        </w:tc>
        <w:tc>
          <w:tcPr>
            <w:tcW w:type="dxa" w:w="2736"/>
            <w:vAlign w:val="center"/>
          </w:tcPr>
          <w:p>
            <w:pPr>
              <w:spacing w:after="20" w:before="20" w:line="240" w:lineRule="auto"/>
            </w:pPr>
            <w:r/>
            <w:r>
              <w:rPr>
                <w:rFonts w:ascii="Aptos" w:hAnsi="Aptos" w:eastAsia="Aptos"/>
                <w:b w:val="0"/>
                <w:sz w:val="15"/>
              </w:rPr>
              <w:t>At least 4 post-peak daily points; marked reliable only if fit R²≥0.3 and half-life&lt;365 days.</w:t>
            </w:r>
          </w:p>
        </w:tc>
      </w:tr>
      <w:tr>
        <w:trPr>
          <w:cantSplit/>
        </w:trPr>
        <w:tc>
          <w:tcPr>
            <w:tcW w:type="dxa" w:w="1872"/>
            <w:vAlign w:val="center"/>
            <w:shd w:fill="F5F8FB"/>
          </w:tcPr>
          <w:p>
            <w:pPr>
              <w:spacing w:after="20" w:before="20" w:line="240" w:lineRule="auto"/>
            </w:pPr>
            <w:r/>
            <w:r>
              <w:rPr>
                <w:rFonts w:ascii="Aptos" w:hAnsi="Aptos" w:eastAsia="Aptos"/>
                <w:b w:val="0"/>
                <w:sz w:val="15"/>
              </w:rPr>
              <w:t>Publisher diversity</w:t>
            </w:r>
          </w:p>
        </w:tc>
        <w:tc>
          <w:tcPr>
            <w:tcW w:type="dxa" w:w="5616"/>
            <w:vAlign w:val="center"/>
            <w:shd w:fill="F5F8FB"/>
          </w:tcPr>
          <w:p>
            <w:pPr>
              <w:spacing w:after="20" w:before="20" w:line="240" w:lineRule="auto"/>
            </w:pPr>
            <w:r/>
            <w:r>
              <w:rPr>
                <w:rFonts w:ascii="Aptos" w:hAnsi="Aptos" w:eastAsia="Aptos"/>
                <w:b w:val="0"/>
                <w:sz w:val="15"/>
              </w:rPr>
              <w:t>Hurlbert PIE on publisher article counts.</w:t>
            </w:r>
          </w:p>
        </w:tc>
        <w:tc>
          <w:tcPr>
            <w:tcW w:type="dxa" w:w="2736"/>
            <w:vAlign w:val="center"/>
            <w:shd w:fill="F5F8FB"/>
          </w:tcPr>
          <w:p>
            <w:pPr>
              <w:spacing w:after="20" w:before="20" w:line="240" w:lineRule="auto"/>
            </w:pPr>
            <w:r/>
            <w:r>
              <w:rPr>
                <w:rFonts w:ascii="Aptos" w:hAnsi="Aptos" w:eastAsia="Aptos"/>
                <w:b w:val="0"/>
                <w:sz w:val="15"/>
              </w:rPr>
              <w:t>NULL for fewer than 2 articles.</w:t>
            </w:r>
          </w:p>
        </w:tc>
      </w:tr>
      <w:tr>
        <w:trPr>
          <w:cantSplit/>
        </w:trPr>
        <w:tc>
          <w:tcPr>
            <w:tcW w:type="dxa" w:w="1872"/>
            <w:vAlign w:val="center"/>
          </w:tcPr>
          <w:p>
            <w:pPr>
              <w:spacing w:after="20" w:before="20" w:line="240" w:lineRule="auto"/>
            </w:pPr>
            <w:r/>
            <w:r>
              <w:rPr>
                <w:rFonts w:ascii="Aptos" w:hAnsi="Aptos" w:eastAsia="Aptos"/>
                <w:b w:val="0"/>
                <w:sz w:val="15"/>
              </w:rPr>
              <w:t>Cross-source ratio</w:t>
            </w:r>
          </w:p>
        </w:tc>
        <w:tc>
          <w:tcPr>
            <w:tcW w:type="dxa" w:w="5616"/>
            <w:vAlign w:val="center"/>
          </w:tcPr>
          <w:p>
            <w:pPr>
              <w:spacing w:after="20" w:before="20" w:line="240" w:lineRule="auto"/>
            </w:pPr>
            <w:r/>
            <w:r>
              <w:rPr>
                <w:rFonts w:ascii="Aptos" w:hAnsi="Aptos" w:eastAsia="Aptos"/>
                <w:b w:val="0"/>
                <w:sz w:val="15"/>
              </w:rPr>
              <w:t>distinct publishers / unique articles.</w:t>
            </w:r>
          </w:p>
        </w:tc>
        <w:tc>
          <w:tcPr>
            <w:tcW w:type="dxa" w:w="2736"/>
            <w:vAlign w:val="center"/>
          </w:tcPr>
          <w:p>
            <w:pPr>
              <w:spacing w:after="20" w:before="20" w:line="240" w:lineRule="auto"/>
            </w:pPr>
            <w:r/>
            <w:r>
              <w:rPr>
                <w:rFonts w:ascii="Aptos" w:hAnsi="Aptos" w:eastAsia="Aptos"/>
                <w:b w:val="0"/>
                <w:sz w:val="15"/>
              </w:rPr>
              <w:t>Descriptive; not a probability.</w:t>
            </w:r>
          </w:p>
        </w:tc>
      </w:tr>
      <w:tr>
        <w:trPr>
          <w:cantSplit/>
        </w:trPr>
        <w:tc>
          <w:tcPr>
            <w:tcW w:type="dxa" w:w="1872"/>
            <w:vAlign w:val="center"/>
            <w:shd w:fill="F5F8FB"/>
          </w:tcPr>
          <w:p>
            <w:pPr>
              <w:spacing w:after="20" w:before="20" w:line="240" w:lineRule="auto"/>
            </w:pPr>
            <w:r/>
            <w:r>
              <w:rPr>
                <w:rFonts w:ascii="Aptos" w:hAnsi="Aptos" w:eastAsia="Aptos"/>
                <w:b w:val="0"/>
                <w:sz w:val="15"/>
              </w:rPr>
              <w:t>Syndication share</w:t>
            </w:r>
          </w:p>
        </w:tc>
        <w:tc>
          <w:tcPr>
            <w:tcW w:type="dxa" w:w="5616"/>
            <w:vAlign w:val="center"/>
            <w:shd w:fill="F5F8FB"/>
          </w:tcPr>
          <w:p>
            <w:pPr>
              <w:spacing w:after="20" w:before="20" w:line="240" w:lineRule="auto"/>
            </w:pPr>
            <w:r/>
            <w:r>
              <w:rPr>
                <w:rFonts w:ascii="Aptos" w:hAnsi="Aptos" w:eastAsia="Aptos"/>
                <w:b w:val="0"/>
                <w:sz w:val="15"/>
              </w:rPr>
              <w:t>duplicate copies / (unique articles + duplicate copies).</w:t>
            </w:r>
          </w:p>
        </w:tc>
        <w:tc>
          <w:tcPr>
            <w:tcW w:type="dxa" w:w="2736"/>
            <w:vAlign w:val="center"/>
            <w:shd w:fill="F5F8FB"/>
          </w:tcPr>
          <w:p>
            <w:pPr>
              <w:spacing w:after="20" w:before="20" w:line="240" w:lineRule="auto"/>
            </w:pPr>
            <w:r/>
            <w:r>
              <w:rPr>
                <w:rFonts w:ascii="Aptos" w:hAnsi="Aptos" w:eastAsia="Aptos"/>
                <w:b w:val="0"/>
                <w:sz w:val="15"/>
              </w:rPr>
              <w:t>Quantifies exact content-hash repeats; duplicates are not event members.</w:t>
            </w:r>
          </w:p>
        </w:tc>
      </w:tr>
    </w:tbl>
    <w:p>
      <w:pPr>
        <w:spacing w:after="20"/>
      </w:pPr>
    </w:p>
    <w:p>
      <w:pPr>
        <w:pStyle w:val="Heading2"/>
      </w:pPr>
      <w:r>
        <w:t>Emerging event test: “wide pickup unusually early?”</w:t>
      </w:r>
    </w:p>
    <w:p>
      <w:r>
        <w:t>A new event has too little history for a per-event trend baseline. The engine compares it with recent clusters in the same AOI at the same age. A candidate is within its first 48 hours, has at least 3 articles from at least 2 publishers, is in-scope, and has high-confidence event location. Reference clusters began in the same AOI in the previous 28 days, outside the candidate’s first 48-hour window; singletons are included because they are common.</w:t>
      </w:r>
    </w:p>
    <w:p>
      <w:pPr>
        <w:pStyle w:val="Formula"/>
        <w:shd w:fill="EEF4F8"/>
      </w:pPr>
      <w:r>
        <w:t>k = candidate distinct publishers by age h</w:t>
        <w:br/>
        <w:t>p = (1 + number of reference clusters with ≥ k publishers at age h) / (n_reference + 1)</w:t>
      </w:r>
    </w:p>
    <w:p>
      <w:r>
        <w:t>Reference distribution is stratified by taxonomy domain if that domain has at least 50 references; otherwise it falls back to the AOI-wide pool. Below 50 references, p and q are NULL with an explicit reason. BH is applied across all candidate events for one AOI and evaluation time. An emerging alert needs q&lt;0.05 and at least 3 publishers.</w:t>
      </w:r>
    </w:p>
    <w:p>
      <w:pPr>
        <w:pStyle w:val="Heading2"/>
      </w:pPr>
      <w:r>
        <w:t>New development: “did the story acquire a different sub-story?”</w:t>
      </w:r>
    </w:p>
    <w:p>
      <w:r>
        <w:t>For an established cluster (≥8 articles and ≥3 publishers), compare articles in the latest 24 hours against older articles. Fetch vectors for those event articles only, require at least 80% of the event vectors to be available, and require at least 3 new articles from at least 2 publishers. The implementation compares new articles’ similarity to the old centroid against the event’s own old-article similarity envelope.</w:t>
      </w:r>
    </w:p>
    <w:p>
      <w:pPr>
        <w:pStyle w:val="Formula"/>
        <w:shd w:fill="EEF4F8"/>
      </w:pPr>
      <w:r>
        <w:t>s_j = cosine(old article j, centroid of the other old articles)  [leave-one-out]</w:t>
        <w:br/>
        <w:t>t_i = cosine(new article i, centroid of all old articles)</w:t>
        <w:br/>
        <w:t>p = one-sided Mann–Whitney U test: new similarities are lower than old similarities</w:t>
        <w:br/>
        <w:t>shift = 1 − cosine(new centroid, old centroid)</w:t>
      </w:r>
    </w:p>
    <w:p>
      <w:r>
        <w:t>A result qualifies only if q&lt;0.05, mean coherence of new articles to their own centroid ≥0.75, and median(t) is below the 10th percentile of s. The rank test is BH-adjusted per AOI/evaluation time. A previous label-permutation detector was rejected after it flagged 56% of events; the current envelope/effect-floor method is what the code implements.</w:t>
      </w:r>
    </w:p>
    <w:p>
      <w:pPr>
        <w:pStyle w:val="Heading1"/>
      </w:pPr>
      <w:r>
        <w:t>9. Alerts, revisions and delivery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1800"/>
            <w:vAlign w:val="center"/>
            <w:shd w:fill="17365D"/>
          </w:tcPr>
          <w:p>
            <w:pPr>
              <w:spacing w:after="20" w:before="20" w:line="240" w:lineRule="auto"/>
            </w:pPr>
            <w:r/>
            <w:r>
              <w:rPr>
                <w:rFonts w:ascii="Aptos" w:hAnsi="Aptos" w:eastAsia="Aptos"/>
                <w:b/>
                <w:color w:val="FFFFFF"/>
                <w:sz w:val="15"/>
              </w:rPr>
              <w:t>Alert kind</w:t>
            </w:r>
          </w:p>
        </w:tc>
        <w:tc>
          <w:tcPr>
            <w:tcW w:type="dxa" w:w="2520"/>
            <w:vAlign w:val="center"/>
            <w:shd w:fill="17365D"/>
          </w:tcPr>
          <w:p>
            <w:pPr>
              <w:spacing w:after="20" w:before="20" w:line="240" w:lineRule="auto"/>
            </w:pPr>
            <w:r/>
            <w:r>
              <w:rPr>
                <w:rFonts w:ascii="Aptos" w:hAnsi="Aptos" w:eastAsia="Aptos"/>
                <w:b/>
                <w:color w:val="FFFFFF"/>
                <w:sz w:val="15"/>
              </w:rPr>
              <w:t>Entity tested</w:t>
            </w:r>
          </w:p>
        </w:tc>
        <w:tc>
          <w:tcPr>
            <w:tcW w:type="dxa" w:w="4824"/>
            <w:vAlign w:val="center"/>
            <w:shd w:fill="17365D"/>
          </w:tcPr>
          <w:p>
            <w:pPr>
              <w:spacing w:after="20" w:before="20" w:line="240" w:lineRule="auto"/>
            </w:pPr>
            <w:r/>
            <w:r>
              <w:rPr>
                <w:rFonts w:ascii="Aptos" w:hAnsi="Aptos" w:eastAsia="Aptos"/>
                <w:b/>
                <w:color w:val="FFFFFF"/>
                <w:sz w:val="15"/>
              </w:rPr>
              <w:t>Alert criteria</w:t>
            </w:r>
          </w:p>
        </w:tc>
        <w:tc>
          <w:tcPr>
            <w:tcW w:type="dxa" w:w="1080"/>
            <w:vAlign w:val="center"/>
            <w:shd w:fill="17365D"/>
          </w:tcPr>
          <w:p>
            <w:pPr>
              <w:spacing w:after="20" w:before="20" w:line="240" w:lineRule="auto"/>
            </w:pPr>
            <w:r/>
            <w:r>
              <w:rPr>
                <w:rFonts w:ascii="Aptos" w:hAnsi="Aptos" w:eastAsia="Aptos"/>
                <w:b/>
                <w:color w:val="FFFFFF"/>
                <w:sz w:val="15"/>
              </w:rPr>
              <w:t>Pilot active</w:t>
            </w:r>
          </w:p>
        </w:tc>
      </w:tr>
      <w:tr>
        <w:trPr>
          <w:cantSplit/>
        </w:trPr>
        <w:tc>
          <w:tcPr>
            <w:tcW w:type="dxa" w:w="1800"/>
            <w:vAlign w:val="center"/>
          </w:tcPr>
          <w:p>
            <w:pPr>
              <w:spacing w:after="20" w:before="20" w:line="240" w:lineRule="auto"/>
            </w:pPr>
            <w:r/>
            <w:r>
              <w:rPr>
                <w:rFonts w:ascii="Aptos" w:hAnsi="Aptos" w:eastAsia="Aptos"/>
                <w:b w:val="0"/>
                <w:sz w:val="15"/>
              </w:rPr>
              <w:t>node_trend</w:t>
            </w:r>
          </w:p>
        </w:tc>
        <w:tc>
          <w:tcPr>
            <w:tcW w:type="dxa" w:w="2520"/>
            <w:vAlign w:val="center"/>
          </w:tcPr>
          <w:p>
            <w:pPr>
              <w:spacing w:after="20" w:before="20" w:line="240" w:lineRule="auto"/>
            </w:pPr>
            <w:r/>
            <w:r>
              <w:rPr>
                <w:rFonts w:ascii="Aptos" w:hAnsi="Aptos" w:eastAsia="Aptos"/>
                <w:b w:val="0"/>
                <w:sz w:val="15"/>
              </w:rPr>
              <w:t>taxonomy node × AOI × day</w:t>
            </w:r>
          </w:p>
        </w:tc>
        <w:tc>
          <w:tcPr>
            <w:tcW w:type="dxa" w:w="4824"/>
            <w:vAlign w:val="center"/>
          </w:tcPr>
          <w:p>
            <w:pPr>
              <w:spacing w:after="20" w:before="20" w:line="240" w:lineRule="auto"/>
            </w:pPr>
            <w:r/>
            <w:r>
              <w:rPr>
                <w:rFonts w:ascii="Aptos" w:hAnsi="Aptos" w:eastAsia="Aptos"/>
                <w:b w:val="0"/>
                <w:sz w:val="15"/>
              </w:rPr>
              <w:t>Supported; BH q&lt;0.05; V/adjusted baseline_mu≥2. High if q&lt;0.01 and V≥10; otherwise medium.</w:t>
            </w:r>
          </w:p>
        </w:tc>
        <w:tc>
          <w:tcPr>
            <w:tcW w:type="dxa" w:w="1080"/>
            <w:vAlign w:val="center"/>
          </w:tcPr>
          <w:p>
            <w:pPr>
              <w:spacing w:after="20" w:before="20" w:line="240" w:lineRule="auto"/>
            </w:pPr>
            <w:r/>
            <w:r>
              <w:rPr>
                <w:rFonts w:ascii="Aptos" w:hAnsi="Aptos" w:eastAsia="Aptos"/>
                <w:b w:val="0"/>
                <w:sz w:val="15"/>
              </w:rPr>
              <w:t>96 (31 high, 65 medium)</w:t>
            </w:r>
          </w:p>
        </w:tc>
      </w:tr>
      <w:tr>
        <w:trPr>
          <w:cantSplit/>
        </w:trPr>
        <w:tc>
          <w:tcPr>
            <w:tcW w:type="dxa" w:w="1800"/>
            <w:vAlign w:val="center"/>
            <w:shd w:fill="F5F8FB"/>
          </w:tcPr>
          <w:p>
            <w:pPr>
              <w:spacing w:after="20" w:before="20" w:line="240" w:lineRule="auto"/>
            </w:pPr>
            <w:r/>
            <w:r>
              <w:rPr>
                <w:rFonts w:ascii="Aptos" w:hAnsi="Aptos" w:eastAsia="Aptos"/>
                <w:b w:val="0"/>
                <w:sz w:val="15"/>
              </w:rPr>
              <w:t>emerging_event</w:t>
            </w:r>
          </w:p>
        </w:tc>
        <w:tc>
          <w:tcPr>
            <w:tcW w:type="dxa" w:w="2520"/>
            <w:vAlign w:val="center"/>
            <w:shd w:fill="F5F8FB"/>
          </w:tcPr>
          <w:p>
            <w:pPr>
              <w:spacing w:after="20" w:before="20" w:line="240" w:lineRule="auto"/>
            </w:pPr>
            <w:r/>
            <w:r>
              <w:rPr>
                <w:rFonts w:ascii="Aptos" w:hAnsi="Aptos" w:eastAsia="Aptos"/>
                <w:b w:val="0"/>
                <w:sz w:val="15"/>
              </w:rPr>
              <w:t>event × AOI × evaluation time</w:t>
            </w:r>
          </w:p>
        </w:tc>
        <w:tc>
          <w:tcPr>
            <w:tcW w:type="dxa" w:w="4824"/>
            <w:vAlign w:val="center"/>
            <w:shd w:fill="F5F8FB"/>
          </w:tcPr>
          <w:p>
            <w:pPr>
              <w:spacing w:after="20" w:before="20" w:line="240" w:lineRule="auto"/>
            </w:pPr>
            <w:r/>
            <w:r>
              <w:rPr>
                <w:rFonts w:ascii="Aptos" w:hAnsi="Aptos" w:eastAsia="Aptos"/>
                <w:b w:val="0"/>
                <w:sz w:val="15"/>
              </w:rPr>
              <w:t>High-confidence location; candidate/reference support; empirical upper-tail q&lt;0.05; ≥3 publishers.</w:t>
            </w:r>
          </w:p>
        </w:tc>
        <w:tc>
          <w:tcPr>
            <w:tcW w:type="dxa" w:w="1080"/>
            <w:vAlign w:val="center"/>
            <w:shd w:fill="F5F8FB"/>
          </w:tcPr>
          <w:p>
            <w:pPr>
              <w:spacing w:after="20" w:before="20" w:line="240" w:lineRule="auto"/>
            </w:pPr>
            <w:r/>
            <w:r>
              <w:rPr>
                <w:rFonts w:ascii="Aptos" w:hAnsi="Aptos" w:eastAsia="Aptos"/>
                <w:b w:val="0"/>
                <w:sz w:val="15"/>
              </w:rPr>
              <w:t>62 (2 high, 60 medium)</w:t>
            </w:r>
          </w:p>
        </w:tc>
      </w:tr>
      <w:tr>
        <w:trPr>
          <w:cantSplit/>
        </w:trPr>
        <w:tc>
          <w:tcPr>
            <w:tcW w:type="dxa" w:w="1800"/>
            <w:vAlign w:val="center"/>
          </w:tcPr>
          <w:p>
            <w:pPr>
              <w:spacing w:after="20" w:before="20" w:line="240" w:lineRule="auto"/>
            </w:pPr>
            <w:r/>
            <w:r>
              <w:rPr>
                <w:rFonts w:ascii="Aptos" w:hAnsi="Aptos" w:eastAsia="Aptos"/>
                <w:b w:val="0"/>
                <w:sz w:val="15"/>
              </w:rPr>
              <w:t>new_development</w:t>
            </w:r>
          </w:p>
        </w:tc>
        <w:tc>
          <w:tcPr>
            <w:tcW w:type="dxa" w:w="2520"/>
            <w:vAlign w:val="center"/>
          </w:tcPr>
          <w:p>
            <w:pPr>
              <w:spacing w:after="20" w:before="20" w:line="240" w:lineRule="auto"/>
            </w:pPr>
            <w:r/>
            <w:r>
              <w:rPr>
                <w:rFonts w:ascii="Aptos" w:hAnsi="Aptos" w:eastAsia="Aptos"/>
                <w:b w:val="0"/>
                <w:sz w:val="15"/>
              </w:rPr>
              <w:t>event × AOI × evaluation time</w:t>
            </w:r>
          </w:p>
        </w:tc>
        <w:tc>
          <w:tcPr>
            <w:tcW w:type="dxa" w:w="4824"/>
            <w:vAlign w:val="center"/>
          </w:tcPr>
          <w:p>
            <w:pPr>
              <w:spacing w:after="20" w:before="20" w:line="240" w:lineRule="auto"/>
            </w:pPr>
            <w:r/>
            <w:r>
              <w:rPr>
                <w:rFonts w:ascii="Aptos" w:hAnsi="Aptos" w:eastAsia="Aptos"/>
                <w:b w:val="0"/>
                <w:sz w:val="15"/>
              </w:rPr>
              <w:t>Established event and new subgroup support; rank-test q&lt;0.05; coherence ≥0.75; outside old envelope.</w:t>
            </w:r>
          </w:p>
        </w:tc>
        <w:tc>
          <w:tcPr>
            <w:tcW w:type="dxa" w:w="1080"/>
            <w:vAlign w:val="center"/>
          </w:tcPr>
          <w:p>
            <w:pPr>
              <w:spacing w:after="20" w:before="20" w:line="240" w:lineRule="auto"/>
            </w:pPr>
            <w:r/>
            <w:r>
              <w:rPr>
                <w:rFonts w:ascii="Aptos" w:hAnsi="Aptos" w:eastAsia="Aptos"/>
                <w:b w:val="0"/>
                <w:sz w:val="15"/>
              </w:rPr>
              <w:t>265 (medium)</w:t>
            </w:r>
          </w:p>
        </w:tc>
      </w:tr>
    </w:tbl>
    <w:p>
      <w:pPr>
        <w:spacing w:after="20"/>
      </w:pPr>
    </w:p>
    <w:p>
      <w:r>
        <w:t>Stable alert IDs are hashes of kind, AOI, entity and day (or event-development key) so reruns upsert rather than duplicate. On node-trend recomputation, an alert that no longer qualifies is retained with status=retracted and a timestamp, not deleted. Emerging/development results are point-in-time tests and have their own preservation semantics.</w:t>
      </w:r>
    </w:p>
    <w:p>
      <w:r>
        <w:t>The run exports active alerts to UI/data/news_alerts.json. The dashboard itself reads the derived database through its read-only API. The current codebase does not provide a news-specific Slack, email, webhook or scheduler: this is a batch process to invoke externally, not a live notification service. Do not describe the JSON export as a delivered notification.</w:t>
      </w:r>
    </w:p>
    <w:p>
      <w:pPr>
        <w:pStyle w:val="Heading1"/>
      </w:pPr>
      <w:r>
        <w:t>10. Dashboard: what a user sees</w:t>
      </w:r>
    </w:p>
    <w:p>
      <w:r>
        <w:t>UI/news.html and UI/assets/news.js implement the news dashboard separately from the legacy social dashboard. UI/news_server.py binds to 127.0.0.1 by default, serves a small static allowlist plus /api/news/*, and returns JSON. UI/news_api.py opens the selected derived DuckDB read-only; if a writer lock prevents opening, it serves a point-in-time file copy.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232"/>
            <w:vAlign w:val="center"/>
            <w:shd w:fill="17365D"/>
          </w:tcPr>
          <w:p>
            <w:pPr>
              <w:spacing w:after="20" w:before="20" w:line="240" w:lineRule="auto"/>
            </w:pPr>
            <w:r/>
            <w:r>
              <w:rPr>
                <w:rFonts w:ascii="Aptos" w:hAnsi="Aptos" w:eastAsia="Aptos"/>
                <w:b/>
                <w:color w:val="FFFFFF"/>
                <w:sz w:val="15"/>
              </w:rPr>
              <w:t>Dashboard area</w:t>
            </w:r>
          </w:p>
        </w:tc>
        <w:tc>
          <w:tcPr>
            <w:tcW w:type="dxa" w:w="7992"/>
            <w:vAlign w:val="center"/>
            <w:shd w:fill="17365D"/>
          </w:tcPr>
          <w:p>
            <w:pPr>
              <w:spacing w:after="20" w:before="20" w:line="240" w:lineRule="auto"/>
            </w:pPr>
            <w:r/>
            <w:r>
              <w:rPr>
                <w:rFonts w:ascii="Aptos" w:hAnsi="Aptos" w:eastAsia="Aptos"/>
                <w:b/>
                <w:color w:val="FFFFFF"/>
                <w:sz w:val="15"/>
              </w:rPr>
              <w:t>Behavior</w:t>
            </w:r>
          </w:p>
        </w:tc>
      </w:tr>
      <w:tr>
        <w:trPr>
          <w:cantSplit/>
        </w:trPr>
        <w:tc>
          <w:tcPr>
            <w:tcW w:type="dxa" w:w="2232"/>
            <w:vAlign w:val="center"/>
          </w:tcPr>
          <w:p>
            <w:pPr>
              <w:spacing w:after="20" w:before="20" w:line="240" w:lineRule="auto"/>
            </w:pPr>
            <w:r/>
            <w:r>
              <w:rPr>
                <w:rFonts w:ascii="Aptos" w:hAnsi="Aptos" w:eastAsia="Aptos"/>
                <w:b w:val="0"/>
                <w:sz w:val="15"/>
              </w:rPr>
              <w:t>AOI controls</w:t>
            </w:r>
          </w:p>
        </w:tc>
        <w:tc>
          <w:tcPr>
            <w:tcW w:type="dxa" w:w="7992"/>
            <w:vAlign w:val="center"/>
          </w:tcPr>
          <w:p>
            <w:pPr>
              <w:spacing w:after="20" w:before="20" w:line="240" w:lineRule="auto"/>
            </w:pPr>
            <w:r/>
            <w:r>
              <w:rPr>
                <w:rFonts w:ascii="Aptos" w:hAnsi="Aptos" w:eastAsia="Aptos"/>
                <w:b w:val="0"/>
                <w:sz w:val="15"/>
              </w:rPr>
              <w:t>Country, state/admin-1, event-location vs mentioned-in; draw polygon, box or radius. All metrics are recomputed inside the selected AOI’s own data/baseline.</w:t>
            </w:r>
          </w:p>
        </w:tc>
      </w:tr>
      <w:tr>
        <w:trPr>
          <w:cantSplit/>
        </w:trPr>
        <w:tc>
          <w:tcPr>
            <w:tcW w:type="dxa" w:w="2232"/>
            <w:vAlign w:val="center"/>
            <w:shd w:fill="F5F8FB"/>
          </w:tcPr>
          <w:p>
            <w:pPr>
              <w:spacing w:after="20" w:before="20" w:line="240" w:lineRule="auto"/>
            </w:pPr>
            <w:r/>
            <w:r>
              <w:rPr>
                <w:rFonts w:ascii="Aptos" w:hAnsi="Aptos" w:eastAsia="Aptos"/>
                <w:b w:val="0"/>
                <w:sz w:val="15"/>
              </w:rPr>
              <w:t>Topic controls</w:t>
            </w:r>
          </w:p>
        </w:tc>
        <w:tc>
          <w:tcPr>
            <w:tcW w:type="dxa" w:w="7992"/>
            <w:vAlign w:val="center"/>
            <w:shd w:fill="F5F8FB"/>
          </w:tcPr>
          <w:p>
            <w:pPr>
              <w:spacing w:after="20" w:before="20" w:line="240" w:lineRule="auto"/>
            </w:pPr>
            <w:r/>
            <w:r>
              <w:rPr>
                <w:rFonts w:ascii="Aptos" w:hAnsi="Aptos" w:eastAsia="Aptos"/>
                <w:b w:val="0"/>
                <w:sz w:val="15"/>
              </w:rPr>
              <w:t>Stored Domain → Topic → Subtopic hierarchy (API also supports category-level fields). Label matching uses stored article labels. Reset with All Topics.</w:t>
            </w:r>
          </w:p>
        </w:tc>
      </w:tr>
      <w:tr>
        <w:trPr>
          <w:cantSplit/>
        </w:trPr>
        <w:tc>
          <w:tcPr>
            <w:tcW w:type="dxa" w:w="2232"/>
            <w:vAlign w:val="center"/>
          </w:tcPr>
          <w:p>
            <w:pPr>
              <w:spacing w:after="20" w:before="20" w:line="240" w:lineRule="auto"/>
            </w:pPr>
            <w:r/>
            <w:r>
              <w:rPr>
                <w:rFonts w:ascii="Aptos" w:hAnsi="Aptos" w:eastAsia="Aptos"/>
                <w:b w:val="0"/>
                <w:sz w:val="15"/>
              </w:rPr>
              <w:t>Coverage and summary</w:t>
            </w:r>
          </w:p>
        </w:tc>
        <w:tc>
          <w:tcPr>
            <w:tcW w:type="dxa" w:w="7992"/>
            <w:vAlign w:val="center"/>
          </w:tcPr>
          <w:p>
            <w:pPr>
              <w:spacing w:after="20" w:before="20" w:line="240" w:lineRule="auto"/>
            </w:pPr>
            <w:r/>
            <w:r>
              <w:rPr>
                <w:rFonts w:ascii="Aptos" w:hAnsi="Aptos" w:eastAsia="Aptos"/>
                <w:b w:val="0"/>
                <w:sz w:val="15"/>
              </w:rPr>
              <w:t>AOI articles/publishers, event-location coverage, unlocated scope, supported-series and data-gap context.</w:t>
            </w:r>
          </w:p>
        </w:tc>
      </w:tr>
      <w:tr>
        <w:trPr>
          <w:cantSplit/>
        </w:trPr>
        <w:tc>
          <w:tcPr>
            <w:tcW w:type="dxa" w:w="2232"/>
            <w:vAlign w:val="center"/>
            <w:shd w:fill="F5F8FB"/>
          </w:tcPr>
          <w:p>
            <w:pPr>
              <w:spacing w:after="20" w:before="20" w:line="240" w:lineRule="auto"/>
            </w:pPr>
            <w:r/>
            <w:r>
              <w:rPr>
                <w:rFonts w:ascii="Aptos" w:hAnsi="Aptos" w:eastAsia="Aptos"/>
                <w:b w:val="0"/>
                <w:sz w:val="15"/>
              </w:rPr>
              <w:t>Events</w:t>
            </w:r>
          </w:p>
        </w:tc>
        <w:tc>
          <w:tcPr>
            <w:tcW w:type="dxa" w:w="7992"/>
            <w:vAlign w:val="center"/>
            <w:shd w:fill="F5F8FB"/>
          </w:tcPr>
          <w:p>
            <w:pPr>
              <w:spacing w:after="20" w:before="20" w:line="240" w:lineRule="auto"/>
            </w:pPr>
            <w:r/>
            <w:r>
              <w:rPr>
                <w:rFonts w:ascii="Aptos" w:hAnsi="Aptos" w:eastAsia="Aptos"/>
                <w:b w:val="0"/>
                <w:sz w:val="15"/>
              </w:rPr>
              <w:t>Story clusters, event details, citations and emerging/development context; event requires ≥3 articles from ≥2 publishers.</w:t>
            </w:r>
          </w:p>
        </w:tc>
      </w:tr>
      <w:tr>
        <w:trPr>
          <w:cantSplit/>
        </w:trPr>
        <w:tc>
          <w:tcPr>
            <w:tcW w:type="dxa" w:w="2232"/>
            <w:vAlign w:val="center"/>
          </w:tcPr>
          <w:p>
            <w:pPr>
              <w:spacing w:after="20" w:before="20" w:line="240" w:lineRule="auto"/>
            </w:pPr>
            <w:r/>
            <w:r>
              <w:rPr>
                <w:rFonts w:ascii="Aptos" w:hAnsi="Aptos" w:eastAsia="Aptos"/>
                <w:b w:val="0"/>
                <w:sz w:val="15"/>
              </w:rPr>
              <w:t>Trending topics</w:t>
            </w:r>
          </w:p>
        </w:tc>
        <w:tc>
          <w:tcPr>
            <w:tcW w:type="dxa" w:w="7992"/>
            <w:vAlign w:val="center"/>
          </w:tcPr>
          <w:p>
            <w:pPr>
              <w:spacing w:after="20" w:before="20" w:line="240" w:lineRule="auto"/>
            </w:pPr>
            <w:r/>
            <w:r>
              <w:rPr>
                <w:rFonts w:ascii="Aptos" w:hAnsi="Aptos" w:eastAsia="Aptos"/>
                <w:b w:val="0"/>
                <w:sz w:val="15"/>
              </w:rPr>
              <w:t>Topic or category series loaded from the derived store; subtopics are computed on demand. Unsupported values are shown as “—”/NULL, not zero.</w:t>
            </w:r>
          </w:p>
        </w:tc>
      </w:tr>
      <w:tr>
        <w:trPr>
          <w:cantSplit/>
        </w:trPr>
        <w:tc>
          <w:tcPr>
            <w:tcW w:type="dxa" w:w="2232"/>
            <w:vAlign w:val="center"/>
            <w:shd w:fill="F5F8FB"/>
          </w:tcPr>
          <w:p>
            <w:pPr>
              <w:spacing w:after="20" w:before="20" w:line="240" w:lineRule="auto"/>
            </w:pPr>
            <w:r/>
            <w:r>
              <w:rPr>
                <w:rFonts w:ascii="Aptos" w:hAnsi="Aptos" w:eastAsia="Aptos"/>
                <w:b w:val="0"/>
                <w:sz w:val="15"/>
              </w:rPr>
              <w:t>Alerts</w:t>
            </w:r>
          </w:p>
        </w:tc>
        <w:tc>
          <w:tcPr>
            <w:tcW w:type="dxa" w:w="7992"/>
            <w:vAlign w:val="center"/>
            <w:shd w:fill="F5F8FB"/>
          </w:tcPr>
          <w:p>
            <w:pPr>
              <w:spacing w:after="20" w:before="20" w:line="240" w:lineRule="auto"/>
            </w:pPr>
            <w:r/>
            <w:r>
              <w:rPr>
                <w:rFonts w:ascii="Aptos" w:hAnsi="Aptos" w:eastAsia="Aptos"/>
                <w:b w:val="0"/>
                <w:sz w:val="15"/>
              </w:rPr>
              <w:t>Active/retracted status, severity, p/q, effect, rationale and supporting source links.</w:t>
            </w:r>
          </w:p>
        </w:tc>
      </w:tr>
      <w:tr>
        <w:trPr>
          <w:cantSplit/>
        </w:trPr>
        <w:tc>
          <w:tcPr>
            <w:tcW w:type="dxa" w:w="2232"/>
            <w:vAlign w:val="center"/>
          </w:tcPr>
          <w:p>
            <w:pPr>
              <w:spacing w:after="20" w:before="20" w:line="240" w:lineRule="auto"/>
            </w:pPr>
            <w:r/>
            <w:r>
              <w:rPr>
                <w:rFonts w:ascii="Aptos" w:hAnsi="Aptos" w:eastAsia="Aptos"/>
                <w:b w:val="0"/>
                <w:sz w:val="15"/>
              </w:rPr>
              <w:t>Article list / drawer</w:t>
            </w:r>
          </w:p>
        </w:tc>
        <w:tc>
          <w:tcPr>
            <w:tcW w:type="dxa" w:w="7992"/>
            <w:vAlign w:val="center"/>
          </w:tcPr>
          <w:p>
            <w:pPr>
              <w:spacing w:after="20" w:before="20" w:line="240" w:lineRule="auto"/>
            </w:pPr>
            <w:r/>
            <w:r>
              <w:rPr>
                <w:rFonts w:ascii="Aptos" w:hAnsi="Aptos" w:eastAsia="Aptos"/>
                <w:b w:val="0"/>
                <w:sz w:val="15"/>
              </w:rPr>
              <w:t>Original titles, publisher, publication date (UTC), source URL if http/https; source citations underpin events and alerts.</w:t>
            </w:r>
          </w:p>
        </w:tc>
      </w:tr>
      <w:tr>
        <w:trPr>
          <w:cantSplit/>
        </w:trPr>
        <w:tc>
          <w:tcPr>
            <w:tcW w:type="dxa" w:w="2232"/>
            <w:vAlign w:val="center"/>
            <w:shd w:fill="F5F8FB"/>
          </w:tcPr>
          <w:p>
            <w:pPr>
              <w:spacing w:after="20" w:before="20" w:line="240" w:lineRule="auto"/>
            </w:pPr>
            <w:r/>
            <w:r>
              <w:rPr>
                <w:rFonts w:ascii="Aptos" w:hAnsi="Aptos" w:eastAsia="Aptos"/>
                <w:b w:val="0"/>
                <w:sz w:val="15"/>
              </w:rPr>
              <w:t>Data refresh</w:t>
            </w:r>
          </w:p>
        </w:tc>
        <w:tc>
          <w:tcPr>
            <w:tcW w:type="dxa" w:w="7992"/>
            <w:vAlign w:val="center"/>
            <w:shd w:fill="F5F8FB"/>
          </w:tcPr>
          <w:p>
            <w:pPr>
              <w:spacing w:after="20" w:before="20" w:line="240" w:lineRule="auto"/>
            </w:pPr>
            <w:r/>
            <w:r>
              <w:rPr>
                <w:rFonts w:ascii="Aptos" w:hAnsi="Aptos" w:eastAsia="Aptos"/>
                <w:b w:val="0"/>
                <w:sz w:val="15"/>
              </w:rPr>
              <w:t>Snapshot is refreshed by engine run/export; browsing does not query source PostgreSQL/OpenSearch and the dashboard has no live source connection.</w:t>
            </w:r>
          </w:p>
        </w:tc>
      </w:tr>
    </w:tbl>
    <w:p>
      <w:pPr>
        <w:spacing w:after="20"/>
      </w:pPr>
    </w:p>
    <w:p>
      <w:r>
        <w:t>There is no date-range control in the current dashboard; it shows the processed pilot/store period. Ad-hoc AOI calculations use the same panel/event functions with persist=False and are not stored. FDR is within the selected AOI; trying many custom AOIs introduces uncorrected across-area multiplicity, which the UI states.</w:t>
      </w:r>
    </w:p>
    <w:p>
      <w:pPr>
        <w:pStyle w:val="Heading1"/>
      </w:pPr>
      <w:r>
        <w:t>11. Pilot examples verified from the existing data</w:t>
      </w:r>
    </w:p>
    <w:p>
      <w:pPr>
        <w:pStyle w:val="Heading2"/>
      </w:pPr>
      <w:r>
        <w:t>Example A — actual topic-trend alert</w:t>
      </w:r>
    </w:p>
    <w:p>
      <w:r>
        <w:t>Read-only query against data/news_pilot_india_bangladesh.duckdb found an active high node_trend alert for topic D02.T01 (“Bilateral Political &amp; Diplomatic Relations”) in AOI adm1:IND-2447:event on 2026-10-16. This is a measured pilot row, not a simulated example.</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088"/>
            <w:vAlign w:val="center"/>
            <w:shd w:fill="17365D"/>
          </w:tcPr>
          <w:p>
            <w:pPr>
              <w:spacing w:after="20" w:before="20" w:line="240" w:lineRule="auto"/>
            </w:pPr>
            <w:r/>
            <w:r>
              <w:rPr>
                <w:rFonts w:ascii="Aptos" w:hAnsi="Aptos" w:eastAsia="Aptos"/>
                <w:b/>
                <w:color w:val="FFFFFF"/>
                <w:sz w:val="15"/>
              </w:rPr>
              <w:t>Stored field</w:t>
            </w:r>
          </w:p>
        </w:tc>
        <w:tc>
          <w:tcPr>
            <w:tcW w:type="dxa" w:w="2448"/>
            <w:vAlign w:val="center"/>
            <w:shd w:fill="17365D"/>
          </w:tcPr>
          <w:p>
            <w:pPr>
              <w:spacing w:after="20" w:before="20" w:line="240" w:lineRule="auto"/>
            </w:pPr>
            <w:r/>
            <w:r>
              <w:rPr>
                <w:rFonts w:ascii="Aptos" w:hAnsi="Aptos" w:eastAsia="Aptos"/>
                <w:b/>
                <w:color w:val="FFFFFF"/>
                <w:sz w:val="15"/>
              </w:rPr>
              <w:t>Observed value</w:t>
            </w:r>
          </w:p>
        </w:tc>
        <w:tc>
          <w:tcPr>
            <w:tcW w:type="dxa" w:w="5760"/>
            <w:vAlign w:val="center"/>
            <w:shd w:fill="17365D"/>
          </w:tcPr>
          <w:p>
            <w:pPr>
              <w:spacing w:after="20" w:before="20" w:line="240" w:lineRule="auto"/>
            </w:pPr>
            <w:r/>
            <w:r>
              <w:rPr>
                <w:rFonts w:ascii="Aptos" w:hAnsi="Aptos" w:eastAsia="Aptos"/>
                <w:b/>
                <w:color w:val="FFFFFF"/>
                <w:sz w:val="15"/>
              </w:rPr>
              <w:t>Meaning</w:t>
            </w:r>
          </w:p>
        </w:tc>
      </w:tr>
      <w:tr>
        <w:trPr>
          <w:cantSplit/>
        </w:trPr>
        <w:tc>
          <w:tcPr>
            <w:tcW w:type="dxa" w:w="2088"/>
            <w:vAlign w:val="center"/>
          </w:tcPr>
          <w:p>
            <w:pPr>
              <w:spacing w:after="20" w:before="20" w:line="240" w:lineRule="auto"/>
            </w:pPr>
            <w:r/>
            <w:r>
              <w:rPr>
                <w:rFonts w:ascii="Aptos" w:hAnsi="Aptos" w:eastAsia="Aptos"/>
                <w:b w:val="0"/>
                <w:sz w:val="15"/>
              </w:rPr>
              <w:t>V / exposure</w:t>
            </w:r>
          </w:p>
        </w:tc>
        <w:tc>
          <w:tcPr>
            <w:tcW w:type="dxa" w:w="2448"/>
            <w:vAlign w:val="center"/>
          </w:tcPr>
          <w:p>
            <w:pPr>
              <w:spacing w:after="20" w:before="20" w:line="240" w:lineRule="auto"/>
            </w:pPr>
            <w:r/>
            <w:r>
              <w:rPr>
                <w:rFonts w:ascii="Aptos" w:hAnsi="Aptos" w:eastAsia="Aptos"/>
                <w:b w:val="0"/>
                <w:sz w:val="15"/>
              </w:rPr>
              <w:t>17 / 141</w:t>
            </w:r>
          </w:p>
        </w:tc>
        <w:tc>
          <w:tcPr>
            <w:tcW w:type="dxa" w:w="5760"/>
            <w:vAlign w:val="center"/>
          </w:tcPr>
          <w:p>
            <w:pPr>
              <w:spacing w:after="20" w:before="20" w:line="240" w:lineRule="auto"/>
            </w:pPr>
            <w:r/>
            <w:r>
              <w:rPr>
                <w:rFonts w:ascii="Aptos" w:hAnsi="Aptos" w:eastAsia="Aptos"/>
                <w:b w:val="0"/>
                <w:sz w:val="15"/>
              </w:rPr>
              <w:t>17 articles from this topic; 141 labelled in-scope articles from all other nodes in that AOI/day.</w:t>
            </w:r>
          </w:p>
        </w:tc>
      </w:tr>
      <w:tr>
        <w:trPr>
          <w:cantSplit/>
        </w:trPr>
        <w:tc>
          <w:tcPr>
            <w:tcW w:type="dxa" w:w="2088"/>
            <w:vAlign w:val="center"/>
            <w:shd w:fill="F5F8FB"/>
          </w:tcPr>
          <w:p>
            <w:pPr>
              <w:spacing w:after="20" w:before="20" w:line="240" w:lineRule="auto"/>
            </w:pPr>
            <w:r/>
            <w:r>
              <w:rPr>
                <w:rFonts w:ascii="Aptos" w:hAnsi="Aptos" w:eastAsia="Aptos"/>
                <w:b w:val="0"/>
                <w:sz w:val="15"/>
              </w:rPr>
              <w:t>V_rate / share_V</w:t>
            </w:r>
          </w:p>
        </w:tc>
        <w:tc>
          <w:tcPr>
            <w:tcW w:type="dxa" w:w="2448"/>
            <w:vAlign w:val="center"/>
            <w:shd w:fill="F5F8FB"/>
          </w:tcPr>
          <w:p>
            <w:pPr>
              <w:spacing w:after="20" w:before="20" w:line="240" w:lineRule="auto"/>
            </w:pPr>
            <w:r/>
            <w:r>
              <w:rPr>
                <w:rFonts w:ascii="Aptos" w:hAnsi="Aptos" w:eastAsia="Aptos"/>
                <w:b w:val="0"/>
                <w:sz w:val="15"/>
              </w:rPr>
              <w:t>0.120567 / 0.107595</w:t>
            </w:r>
          </w:p>
        </w:tc>
        <w:tc>
          <w:tcPr>
            <w:tcW w:type="dxa" w:w="5760"/>
            <w:vAlign w:val="center"/>
            <w:shd w:fill="F5F8FB"/>
          </w:tcPr>
          <w:p>
            <w:pPr>
              <w:spacing w:after="20" w:before="20" w:line="240" w:lineRule="auto"/>
            </w:pPr>
            <w:r/>
            <w:r>
              <w:rPr>
                <w:rFonts w:ascii="Aptos" w:hAnsi="Aptos" w:eastAsia="Aptos"/>
                <w:b w:val="0"/>
                <w:sz w:val="15"/>
              </w:rPr>
              <w:t>17÷141; and 17÷(17+141).</w:t>
            </w:r>
          </w:p>
        </w:tc>
      </w:tr>
      <w:tr>
        <w:trPr>
          <w:cantSplit/>
        </w:trPr>
        <w:tc>
          <w:tcPr>
            <w:tcW w:type="dxa" w:w="2088"/>
            <w:vAlign w:val="center"/>
          </w:tcPr>
          <w:p>
            <w:pPr>
              <w:spacing w:after="20" w:before="20" w:line="240" w:lineRule="auto"/>
            </w:pPr>
            <w:r/>
            <w:r>
              <w:rPr>
                <w:rFonts w:ascii="Aptos" w:hAnsi="Aptos" w:eastAsia="Aptos"/>
                <w:b w:val="0"/>
                <w:sz w:val="15"/>
              </w:rPr>
              <w:t>Prior baseline</w:t>
            </w:r>
          </w:p>
        </w:tc>
        <w:tc>
          <w:tcPr>
            <w:tcW w:type="dxa" w:w="2448"/>
            <w:vAlign w:val="center"/>
          </w:tcPr>
          <w:p>
            <w:pPr>
              <w:spacing w:after="20" w:before="20" w:line="240" w:lineRule="auto"/>
            </w:pPr>
            <w:r/>
            <w:r>
              <w:rPr>
                <w:rFonts w:ascii="Aptos" w:hAnsi="Aptos" w:eastAsia="Aptos"/>
                <w:b w:val="0"/>
                <w:sz w:val="15"/>
              </w:rPr>
              <w:t>10 days; Poisson; adjusted μ=1.930815</w:t>
            </w:r>
          </w:p>
        </w:tc>
        <w:tc>
          <w:tcPr>
            <w:tcW w:type="dxa" w:w="5760"/>
            <w:vAlign w:val="center"/>
          </w:tcPr>
          <w:p>
            <w:pPr>
              <w:spacing w:after="20" w:before="20" w:line="240" w:lineRule="auto"/>
            </w:pPr>
            <w:r/>
            <w:r>
              <w:rPr>
                <w:rFonts w:ascii="Aptos" w:hAnsi="Aptos" w:eastAsia="Aptos"/>
                <w:b w:val="0"/>
                <w:sz w:val="15"/>
              </w:rPr>
              <w:t>The daily baseline excludes the tested date. Poisson was selected because NB dispersion was not identifiable.</w:t>
            </w:r>
          </w:p>
        </w:tc>
      </w:tr>
      <w:tr>
        <w:trPr>
          <w:cantSplit/>
        </w:trPr>
        <w:tc>
          <w:tcPr>
            <w:tcW w:type="dxa" w:w="2088"/>
            <w:vAlign w:val="center"/>
            <w:shd w:fill="F5F8FB"/>
          </w:tcPr>
          <w:p>
            <w:pPr>
              <w:spacing w:after="20" w:before="20" w:line="240" w:lineRule="auto"/>
            </w:pPr>
            <w:r/>
            <w:r>
              <w:rPr>
                <w:rFonts w:ascii="Aptos" w:hAnsi="Aptos" w:eastAsia="Aptos"/>
                <w:b w:val="0"/>
                <w:sz w:val="15"/>
              </w:rPr>
              <w:t>Exact upper-tail p</w:t>
            </w:r>
          </w:p>
        </w:tc>
        <w:tc>
          <w:tcPr>
            <w:tcW w:type="dxa" w:w="2448"/>
            <w:vAlign w:val="center"/>
            <w:shd w:fill="F5F8FB"/>
          </w:tcPr>
          <w:p>
            <w:pPr>
              <w:spacing w:after="20" w:before="20" w:line="240" w:lineRule="auto"/>
            </w:pPr>
            <w:r/>
            <w:r>
              <w:rPr>
                <w:rFonts w:ascii="Aptos" w:hAnsi="Aptos" w:eastAsia="Aptos"/>
                <w:b w:val="0"/>
                <w:sz w:val="15"/>
              </w:rPr>
              <w:t>3.288038×10⁻¹¹</w:t>
            </w:r>
          </w:p>
        </w:tc>
        <w:tc>
          <w:tcPr>
            <w:tcW w:type="dxa" w:w="5760"/>
            <w:vAlign w:val="center"/>
            <w:shd w:fill="F5F8FB"/>
          </w:tcPr>
          <w:p>
            <w:pPr>
              <w:spacing w:after="20" w:before="20" w:line="240" w:lineRule="auto"/>
            </w:pPr>
            <w:r/>
            <w:r>
              <w:rPr>
                <w:rFonts w:ascii="Aptos" w:hAnsi="Aptos" w:eastAsia="Aptos"/>
                <w:b w:val="0"/>
                <w:sz w:val="15"/>
              </w:rPr>
              <w:t>Stored exact P(X≥17) under the adjusted baseline.</w:t>
            </w:r>
          </w:p>
        </w:tc>
      </w:tr>
      <w:tr>
        <w:trPr>
          <w:cantSplit/>
        </w:trPr>
        <w:tc>
          <w:tcPr>
            <w:tcW w:type="dxa" w:w="2088"/>
            <w:vAlign w:val="center"/>
          </w:tcPr>
          <w:p>
            <w:pPr>
              <w:spacing w:after="20" w:before="20" w:line="240" w:lineRule="auto"/>
            </w:pPr>
            <w:r/>
            <w:r>
              <w:rPr>
                <w:rFonts w:ascii="Aptos" w:hAnsi="Aptos" w:eastAsia="Aptos"/>
                <w:b w:val="0"/>
                <w:sz w:val="15"/>
              </w:rPr>
              <w:t>Surprise</w:t>
            </w:r>
          </w:p>
        </w:tc>
        <w:tc>
          <w:tcPr>
            <w:tcW w:type="dxa" w:w="2448"/>
            <w:vAlign w:val="center"/>
          </w:tcPr>
          <w:p>
            <w:pPr>
              <w:spacing w:after="20" w:before="20" w:line="240" w:lineRule="auto"/>
            </w:pPr>
            <w:r/>
            <w:r>
              <w:rPr>
                <w:rFonts w:ascii="Aptos" w:hAnsi="Aptos" w:eastAsia="Aptos"/>
                <w:b w:val="0"/>
                <w:sz w:val="15"/>
              </w:rPr>
              <w:t>10.483063</w:t>
            </w:r>
          </w:p>
        </w:tc>
        <w:tc>
          <w:tcPr>
            <w:tcW w:type="dxa" w:w="5760"/>
            <w:vAlign w:val="center"/>
          </w:tcPr>
          <w:p>
            <w:pPr>
              <w:spacing w:after="20" w:before="20" w:line="240" w:lineRule="auto"/>
            </w:pPr>
            <w:r/>
            <w:r>
              <w:rPr>
                <w:rFonts w:ascii="Aptos" w:hAnsi="Aptos" w:eastAsia="Aptos"/>
                <w:b w:val="0"/>
                <w:sz w:val="15"/>
              </w:rPr>
              <w:t>−log10(3.288038×10⁻¹¹).</w:t>
            </w:r>
          </w:p>
        </w:tc>
      </w:tr>
      <w:tr>
        <w:trPr>
          <w:cantSplit/>
        </w:trPr>
        <w:tc>
          <w:tcPr>
            <w:tcW w:type="dxa" w:w="2088"/>
            <w:vAlign w:val="center"/>
            <w:shd w:fill="F5F8FB"/>
          </w:tcPr>
          <w:p>
            <w:pPr>
              <w:spacing w:after="20" w:before="20" w:line="240" w:lineRule="auto"/>
            </w:pPr>
            <w:r/>
            <w:r>
              <w:rPr>
                <w:rFonts w:ascii="Aptos" w:hAnsi="Aptos" w:eastAsia="Aptos"/>
                <w:b w:val="0"/>
                <w:sz w:val="15"/>
              </w:rPr>
              <w:t>BH q</w:t>
            </w:r>
          </w:p>
        </w:tc>
        <w:tc>
          <w:tcPr>
            <w:tcW w:type="dxa" w:w="2448"/>
            <w:vAlign w:val="center"/>
            <w:shd w:fill="F5F8FB"/>
          </w:tcPr>
          <w:p>
            <w:pPr>
              <w:spacing w:after="20" w:before="20" w:line="240" w:lineRule="auto"/>
            </w:pPr>
            <w:r/>
            <w:r>
              <w:rPr>
                <w:rFonts w:ascii="Aptos" w:hAnsi="Aptos" w:eastAsia="Aptos"/>
                <w:b w:val="0"/>
                <w:sz w:val="15"/>
              </w:rPr>
              <w:t>6.003627×10⁻¹⁰</w:t>
            </w:r>
          </w:p>
        </w:tc>
        <w:tc>
          <w:tcPr>
            <w:tcW w:type="dxa" w:w="5760"/>
            <w:vAlign w:val="center"/>
            <w:shd w:fill="F5F8FB"/>
          </w:tcPr>
          <w:p>
            <w:pPr>
              <w:spacing w:after="20" w:before="20" w:line="240" w:lineRule="auto"/>
            </w:pPr>
            <w:r/>
            <w:r>
              <w:rPr>
                <w:rFonts w:ascii="Aptos" w:hAnsi="Aptos" w:eastAsia="Aptos"/>
                <w:b w:val="0"/>
                <w:sz w:val="15"/>
              </w:rPr>
              <w:t>AOI/day correction across the supported topic/category tests; BH uses mid-p inputs.</w:t>
            </w:r>
          </w:p>
        </w:tc>
      </w:tr>
      <w:tr>
        <w:trPr>
          <w:cantSplit/>
        </w:trPr>
        <w:tc>
          <w:tcPr>
            <w:tcW w:type="dxa" w:w="2088"/>
            <w:vAlign w:val="center"/>
          </w:tcPr>
          <w:p>
            <w:pPr>
              <w:spacing w:after="20" w:before="20" w:line="240" w:lineRule="auto"/>
            </w:pPr>
            <w:r/>
            <w:r>
              <w:rPr>
                <w:rFonts w:ascii="Aptos" w:hAnsi="Aptos" w:eastAsia="Aptos"/>
                <w:b w:val="0"/>
                <w:sz w:val="15"/>
              </w:rPr>
              <w:t>Effect ratio</w:t>
            </w:r>
          </w:p>
        </w:tc>
        <w:tc>
          <w:tcPr>
            <w:tcW w:type="dxa" w:w="2448"/>
            <w:vAlign w:val="center"/>
          </w:tcPr>
          <w:p>
            <w:pPr>
              <w:spacing w:after="20" w:before="20" w:line="240" w:lineRule="auto"/>
            </w:pPr>
            <w:r/>
            <w:r>
              <w:rPr>
                <w:rFonts w:ascii="Aptos" w:hAnsi="Aptos" w:eastAsia="Aptos"/>
                <w:b w:val="0"/>
                <w:sz w:val="15"/>
              </w:rPr>
              <w:t>17÷1.930815 = 8.8046×</w:t>
            </w:r>
          </w:p>
        </w:tc>
        <w:tc>
          <w:tcPr>
            <w:tcW w:type="dxa" w:w="5760"/>
            <w:vAlign w:val="center"/>
          </w:tcPr>
          <w:p>
            <w:pPr>
              <w:spacing w:after="20" w:before="20" w:line="240" w:lineRule="auto"/>
            </w:pPr>
            <w:r/>
            <w:r>
              <w:rPr>
                <w:rFonts w:ascii="Aptos" w:hAnsi="Aptos" w:eastAsia="Aptos"/>
                <w:b w:val="0"/>
                <w:sz w:val="15"/>
              </w:rPr>
              <w:t>Exceeds the required 2× floor.</w:t>
            </w:r>
          </w:p>
        </w:tc>
      </w:tr>
      <w:tr>
        <w:trPr>
          <w:cantSplit/>
        </w:trPr>
        <w:tc>
          <w:tcPr>
            <w:tcW w:type="dxa" w:w="2088"/>
            <w:vAlign w:val="center"/>
            <w:shd w:fill="F5F8FB"/>
          </w:tcPr>
          <w:p>
            <w:pPr>
              <w:spacing w:after="20" w:before="20" w:line="240" w:lineRule="auto"/>
            </w:pPr>
            <w:r/>
            <w:r>
              <w:rPr>
                <w:rFonts w:ascii="Aptos" w:hAnsi="Aptos" w:eastAsia="Aptos"/>
                <w:b w:val="0"/>
                <w:sz w:val="15"/>
              </w:rPr>
              <w:t>Decision</w:t>
            </w:r>
          </w:p>
        </w:tc>
        <w:tc>
          <w:tcPr>
            <w:tcW w:type="dxa" w:w="2448"/>
            <w:vAlign w:val="center"/>
            <w:shd w:fill="F5F8FB"/>
          </w:tcPr>
          <w:p>
            <w:pPr>
              <w:spacing w:after="20" w:before="20" w:line="240" w:lineRule="auto"/>
            </w:pPr>
            <w:r/>
            <w:r>
              <w:rPr>
                <w:rFonts w:ascii="Aptos" w:hAnsi="Aptos" w:eastAsia="Aptos"/>
                <w:b w:val="0"/>
                <w:sz w:val="15"/>
              </w:rPr>
              <w:t>HIGH / active</w:t>
            </w:r>
          </w:p>
        </w:tc>
        <w:tc>
          <w:tcPr>
            <w:tcW w:type="dxa" w:w="5760"/>
            <w:vAlign w:val="center"/>
            <w:shd w:fill="F5F8FB"/>
          </w:tcPr>
          <w:p>
            <w:pPr>
              <w:spacing w:after="20" w:before="20" w:line="240" w:lineRule="auto"/>
            </w:pPr>
            <w:r/>
            <w:r>
              <w:rPr>
                <w:rFonts w:ascii="Aptos" w:hAnsi="Aptos" w:eastAsia="Aptos"/>
                <w:b w:val="0"/>
                <w:sz w:val="15"/>
              </w:rPr>
              <w:t>q&lt;0.01, V≥10, and effect≥2×; all gates pass.</w:t>
            </w:r>
          </w:p>
        </w:tc>
      </w:tr>
    </w:tbl>
    <w:p>
      <w:pPr>
        <w:spacing w:after="20"/>
      </w:pPr>
    </w:p>
    <w:p>
      <w:pPr>
        <w:pStyle w:val="Formula"/>
        <w:shd w:fill="EEF4F8"/>
      </w:pPr>
      <w:r>
        <w:t>Example arithmetic: 17 / 141 = 0.1206 rate; 17 / 158 = 0.1076 AOI share; −log10(p) = 10.4831; V / baseline_mu = 8.8046.</w:t>
      </w:r>
    </w:p>
    <w:p>
      <w:pPr>
        <w:pStyle w:val="Heading2"/>
      </w:pPr>
      <w:r>
        <w:t>Example B — actual emerging-event alert</w:t>
      </w:r>
    </w:p>
    <w:p>
      <w:r>
        <w:t>At the 2026-10-09 05:30 UTC-equivalent evaluation, the Nana Patekar story in the same pilot AOI had 23 articles from 18 distinct publishers at age 21.22 hours. It exceeded 0 of 125 AOI reference clusters at that age. The empirical p-value is (1+0)/(125+1)=0.0079365; the stored BH q is 0.043651, so it passed the 0.05 FDR threshold and received a medium emerging_event alert. At a later point the cluster contained 30 articles / 20 publishers; the 23/18 numbers are explicitly the candidate state at the alert evaluation time, not its final cluster size.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312"/>
            <w:vAlign w:val="center"/>
            <w:shd w:fill="17365D"/>
          </w:tcPr>
          <w:p>
            <w:pPr>
              <w:spacing w:after="20" w:before="20" w:line="240" w:lineRule="auto"/>
            </w:pPr>
            <w:r/>
            <w:r>
              <w:rPr>
                <w:rFonts w:ascii="Aptos" w:hAnsi="Aptos" w:eastAsia="Aptos"/>
                <w:b/>
                <w:color w:val="FFFFFF"/>
                <w:sz w:val="16"/>
              </w:rPr>
              <w:t>Evidence item</w:t>
            </w:r>
          </w:p>
        </w:tc>
        <w:tc>
          <w:tcPr>
            <w:tcW w:type="dxa" w:w="6912"/>
            <w:vAlign w:val="center"/>
            <w:shd w:fill="17365D"/>
          </w:tcPr>
          <w:p>
            <w:pPr>
              <w:spacing w:after="20" w:before="20" w:line="240" w:lineRule="auto"/>
            </w:pPr>
            <w:r/>
            <w:r>
              <w:rPr>
                <w:rFonts w:ascii="Aptos" w:hAnsi="Aptos" w:eastAsia="Aptos"/>
                <w:b/>
                <w:color w:val="FFFFFF"/>
                <w:sz w:val="16"/>
              </w:rPr>
              <w:t>Observed value</w:t>
            </w:r>
          </w:p>
        </w:tc>
      </w:tr>
      <w:tr>
        <w:trPr>
          <w:cantSplit/>
        </w:trPr>
        <w:tc>
          <w:tcPr>
            <w:tcW w:type="dxa" w:w="3312"/>
            <w:vAlign w:val="center"/>
          </w:tcPr>
          <w:p>
            <w:pPr>
              <w:spacing w:after="20" w:before="20" w:line="240" w:lineRule="auto"/>
            </w:pPr>
            <w:r/>
            <w:r>
              <w:rPr>
                <w:rFonts w:ascii="Aptos" w:hAnsi="Aptos" w:eastAsia="Aptos"/>
                <w:b w:val="0"/>
                <w:sz w:val="16"/>
              </w:rPr>
              <w:t>AOI / event</w:t>
            </w:r>
          </w:p>
        </w:tc>
        <w:tc>
          <w:tcPr>
            <w:tcW w:type="dxa" w:w="6912"/>
            <w:vAlign w:val="center"/>
          </w:tcPr>
          <w:p>
            <w:pPr>
              <w:spacing w:after="20" w:before="20" w:line="240" w:lineRule="auto"/>
            </w:pPr>
            <w:r/>
            <w:r>
              <w:rPr>
                <w:rFonts w:ascii="Aptos" w:hAnsi="Aptos" w:eastAsia="Aptos"/>
                <w:b w:val="0"/>
                <w:sz w:val="16"/>
              </w:rPr>
              <w:t>adm1:IND-2447:event / ev_76f293a84c1df1e7</w:t>
            </w:r>
          </w:p>
        </w:tc>
      </w:tr>
      <w:tr>
        <w:trPr>
          <w:cantSplit/>
        </w:trPr>
        <w:tc>
          <w:tcPr>
            <w:tcW w:type="dxa" w:w="3312"/>
            <w:vAlign w:val="center"/>
            <w:shd w:fill="F5F8FB"/>
          </w:tcPr>
          <w:p>
            <w:pPr>
              <w:spacing w:after="20" w:before="20" w:line="240" w:lineRule="auto"/>
            </w:pPr>
            <w:r/>
            <w:r>
              <w:rPr>
                <w:rFonts w:ascii="Aptos" w:hAnsi="Aptos" w:eastAsia="Aptos"/>
                <w:b w:val="0"/>
                <w:sz w:val="16"/>
              </w:rPr>
              <w:t>Representative headline</w:t>
            </w:r>
          </w:p>
        </w:tc>
        <w:tc>
          <w:tcPr>
            <w:tcW w:type="dxa" w:w="6912"/>
            <w:vAlign w:val="center"/>
            <w:shd w:fill="F5F8FB"/>
          </w:tcPr>
          <w:p>
            <w:pPr>
              <w:spacing w:after="20" w:before="20" w:line="240" w:lineRule="auto"/>
            </w:pPr>
            <w:r/>
            <w:r>
              <w:rPr>
                <w:rFonts w:ascii="Aptos" w:hAnsi="Aptos" w:eastAsia="Aptos"/>
                <w:b w:val="0"/>
                <w:sz w:val="16"/>
              </w:rPr>
              <w:t>“Nana Patekar, 1951–2026: The Voice, the Fury &amp; the Ache Beneath”</w:t>
            </w:r>
          </w:p>
        </w:tc>
      </w:tr>
      <w:tr>
        <w:trPr>
          <w:cantSplit/>
        </w:trPr>
        <w:tc>
          <w:tcPr>
            <w:tcW w:type="dxa" w:w="3312"/>
            <w:vAlign w:val="center"/>
          </w:tcPr>
          <w:p>
            <w:pPr>
              <w:spacing w:after="20" w:before="20" w:line="240" w:lineRule="auto"/>
            </w:pPr>
            <w:r/>
            <w:r>
              <w:rPr>
                <w:rFonts w:ascii="Aptos" w:hAnsi="Aptos" w:eastAsia="Aptos"/>
                <w:b w:val="0"/>
                <w:sz w:val="16"/>
              </w:rPr>
              <w:t>Age / candidate coverage at evaluation</w:t>
            </w:r>
          </w:p>
        </w:tc>
        <w:tc>
          <w:tcPr>
            <w:tcW w:type="dxa" w:w="6912"/>
            <w:vAlign w:val="center"/>
          </w:tcPr>
          <w:p>
            <w:pPr>
              <w:spacing w:after="20" w:before="20" w:line="240" w:lineRule="auto"/>
            </w:pPr>
            <w:r/>
            <w:r>
              <w:rPr>
                <w:rFonts w:ascii="Aptos" w:hAnsi="Aptos" w:eastAsia="Aptos"/>
                <w:b w:val="0"/>
                <w:sz w:val="16"/>
              </w:rPr>
              <w:t>21.2178 hours; 23 articles; 18 publishers</w:t>
            </w:r>
          </w:p>
        </w:tc>
      </w:tr>
      <w:tr>
        <w:trPr>
          <w:cantSplit/>
        </w:trPr>
        <w:tc>
          <w:tcPr>
            <w:tcW w:type="dxa" w:w="3312"/>
            <w:vAlign w:val="center"/>
            <w:shd w:fill="F5F8FB"/>
          </w:tcPr>
          <w:p>
            <w:pPr>
              <w:spacing w:after="20" w:before="20" w:line="240" w:lineRule="auto"/>
            </w:pPr>
            <w:r/>
            <w:r>
              <w:rPr>
                <w:rFonts w:ascii="Aptos" w:hAnsi="Aptos" w:eastAsia="Aptos"/>
                <w:b w:val="0"/>
                <w:sz w:val="16"/>
              </w:rPr>
              <w:t>Reference pool</w:t>
            </w:r>
          </w:p>
        </w:tc>
        <w:tc>
          <w:tcPr>
            <w:tcW w:type="dxa" w:w="6912"/>
            <w:vAlign w:val="center"/>
            <w:shd w:fill="F5F8FB"/>
          </w:tcPr>
          <w:p>
            <w:pPr>
              <w:spacing w:after="20" w:before="20" w:line="240" w:lineRule="auto"/>
            </w:pPr>
            <w:r/>
            <w:r>
              <w:rPr>
                <w:rFonts w:ascii="Aptos" w:hAnsi="Aptos" w:eastAsia="Aptos"/>
                <w:b w:val="0"/>
                <w:sz w:val="16"/>
              </w:rPr>
              <w:t>125 AOI-wide clusters; 0 had ≥18 publishers at that age</w:t>
            </w:r>
          </w:p>
        </w:tc>
      </w:tr>
      <w:tr>
        <w:trPr>
          <w:cantSplit/>
        </w:trPr>
        <w:tc>
          <w:tcPr>
            <w:tcW w:type="dxa" w:w="3312"/>
            <w:vAlign w:val="center"/>
          </w:tcPr>
          <w:p>
            <w:pPr>
              <w:spacing w:after="20" w:before="20" w:line="240" w:lineRule="auto"/>
            </w:pPr>
            <w:r/>
            <w:r>
              <w:rPr>
                <w:rFonts w:ascii="Aptos" w:hAnsi="Aptos" w:eastAsia="Aptos"/>
                <w:b w:val="0"/>
                <w:sz w:val="16"/>
              </w:rPr>
              <w:t>Empirical p / stored q</w:t>
            </w:r>
          </w:p>
        </w:tc>
        <w:tc>
          <w:tcPr>
            <w:tcW w:type="dxa" w:w="6912"/>
            <w:vAlign w:val="center"/>
          </w:tcPr>
          <w:p>
            <w:pPr>
              <w:spacing w:after="20" w:before="20" w:line="240" w:lineRule="auto"/>
            </w:pPr>
            <w:r/>
            <w:r>
              <w:rPr>
                <w:rFonts w:ascii="Aptos" w:hAnsi="Aptos" w:eastAsia="Aptos"/>
                <w:b w:val="0"/>
                <w:sz w:val="16"/>
              </w:rPr>
              <w:t>0.007937 / 0.043651</w:t>
            </w:r>
          </w:p>
        </w:tc>
      </w:tr>
      <w:tr>
        <w:trPr>
          <w:cantSplit/>
        </w:trPr>
        <w:tc>
          <w:tcPr>
            <w:tcW w:type="dxa" w:w="3312"/>
            <w:vAlign w:val="center"/>
            <w:shd w:fill="F5F8FB"/>
          </w:tcPr>
          <w:p>
            <w:pPr>
              <w:spacing w:after="20" w:before="20" w:line="240" w:lineRule="auto"/>
            </w:pPr>
            <w:r/>
            <w:r>
              <w:rPr>
                <w:rFonts w:ascii="Aptos" w:hAnsi="Aptos" w:eastAsia="Aptos"/>
                <w:b w:val="0"/>
                <w:sz w:val="16"/>
              </w:rPr>
              <w:t>Confidence and outcome</w:t>
            </w:r>
          </w:p>
        </w:tc>
        <w:tc>
          <w:tcPr>
            <w:tcW w:type="dxa" w:w="6912"/>
            <w:vAlign w:val="center"/>
            <w:shd w:fill="F5F8FB"/>
          </w:tcPr>
          <w:p>
            <w:pPr>
              <w:spacing w:after="20" w:before="20" w:line="240" w:lineRule="auto"/>
            </w:pPr>
            <w:r/>
            <w:r>
              <w:rPr>
                <w:rFonts w:ascii="Aptos" w:hAnsi="Aptos" w:eastAsia="Aptos"/>
                <w:b w:val="0"/>
                <w:sz w:val="16"/>
              </w:rPr>
              <w:t>High-confidence event location; q&lt;0.05 and 18≥3 publishers → active medium alert</w:t>
            </w:r>
          </w:p>
        </w:tc>
      </w:tr>
    </w:tbl>
    <w:p>
      <w:pPr>
        <w:spacing w:after="20"/>
      </w:pPr>
    </w:p>
    <w:p>
      <w:r>
        <w:t>These examples are verifiable using SELECT-only SQL in the pilot DuckDB. For example, query alert and node_aoi_day for the first row, and event_aoi_test joined to event_cluster and alert for the second. The pilot database’s metric_meta table had zero stored rows in the inspected snapshot; NewsAPI.meta explicitly falls back to the in-code METRIC_META definitions, so consult /api/news/meta rather than assuming old snapshots carry that table.</w:t>
      </w:r>
    </w:p>
    <w:p>
      <w:pPr>
        <w:pStyle w:val="Heading1"/>
      </w:pPr>
      <w:r>
        <w:t>12. Testing and repeatable verification</w:t>
      </w:r>
    </w:p>
    <w:p>
      <w:r>
        <w:t>The project’s own news tests are designed to avoid source-system calls: they exercise pure functions, mock the source clients, and use temporary DuckDB files. The exact documented command was run while preparing this guide: 174 passed in 72.68 seconds.</w:t>
      </w:r>
    </w:p>
    <w:p>
      <w:pPr>
        <w:pStyle w:val="Formula"/>
        <w:shd w:fill="EEF4F8"/>
      </w:pPr>
      <w:r>
        <w:t>.venv/bin/python -m pytest scripts/tests/test_news_*.py -q</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800"/>
            <w:vAlign w:val="center"/>
            <w:shd w:fill="17365D"/>
          </w:tcPr>
          <w:p>
            <w:pPr>
              <w:spacing w:after="20" w:before="20" w:line="240" w:lineRule="auto"/>
            </w:pPr>
            <w:r/>
            <w:r>
              <w:rPr>
                <w:rFonts w:ascii="Aptos" w:hAnsi="Aptos" w:eastAsia="Aptos"/>
                <w:b/>
                <w:color w:val="FFFFFF"/>
                <w:sz w:val="15"/>
              </w:rPr>
              <w:t>Test area</w:t>
            </w:r>
          </w:p>
        </w:tc>
        <w:tc>
          <w:tcPr>
            <w:tcW w:type="dxa" w:w="5400"/>
            <w:vAlign w:val="center"/>
            <w:shd w:fill="17365D"/>
          </w:tcPr>
          <w:p>
            <w:pPr>
              <w:spacing w:after="20" w:before="20" w:line="240" w:lineRule="auto"/>
            </w:pPr>
            <w:r/>
            <w:r>
              <w:rPr>
                <w:rFonts w:ascii="Aptos" w:hAnsi="Aptos" w:eastAsia="Aptos"/>
                <w:b/>
                <w:color w:val="FFFFFF"/>
                <w:sz w:val="15"/>
              </w:rPr>
              <w:t>What the tests assert</w:t>
            </w:r>
          </w:p>
        </w:tc>
        <w:tc>
          <w:tcPr>
            <w:tcW w:type="dxa" w:w="3024"/>
            <w:vAlign w:val="center"/>
            <w:shd w:fill="17365D"/>
          </w:tcPr>
          <w:p>
            <w:pPr>
              <w:spacing w:after="20" w:before="20" w:line="240" w:lineRule="auto"/>
            </w:pPr>
            <w:r/>
            <w:r>
              <w:rPr>
                <w:rFonts w:ascii="Aptos" w:hAnsi="Aptos" w:eastAsia="Aptos"/>
                <w:b/>
                <w:color w:val="FFFFFF"/>
                <w:sz w:val="15"/>
              </w:rPr>
              <w:t>Expected result</w:t>
            </w:r>
          </w:p>
        </w:tc>
      </w:tr>
      <w:tr>
        <w:trPr>
          <w:cantSplit/>
        </w:trPr>
        <w:tc>
          <w:tcPr>
            <w:tcW w:type="dxa" w:w="1800"/>
            <w:vAlign w:val="center"/>
          </w:tcPr>
          <w:p>
            <w:pPr>
              <w:spacing w:after="20" w:before="20" w:line="240" w:lineRule="auto"/>
            </w:pPr>
            <w:r/>
            <w:r>
              <w:rPr>
                <w:rFonts w:ascii="Aptos" w:hAnsi="Aptos" w:eastAsia="Aptos"/>
                <w:b w:val="0"/>
                <w:sz w:val="15"/>
              </w:rPr>
              <w:t>Read-only/source guards</w:t>
            </w:r>
          </w:p>
        </w:tc>
        <w:tc>
          <w:tcPr>
            <w:tcW w:type="dxa" w:w="5400"/>
            <w:vAlign w:val="center"/>
          </w:tcPr>
          <w:p>
            <w:pPr>
              <w:spacing w:after="20" w:before="20" w:line="240" w:lineRule="auto"/>
            </w:pPr>
            <w:r/>
            <w:r>
              <w:rPr>
                <w:rFonts w:ascii="Aptos" w:hAnsi="Aptos" w:eastAsia="Aptos"/>
                <w:b w:val="0"/>
                <w:sz w:val="15"/>
              </w:rPr>
              <w:t>Reject non-SELECT PostgreSQL statements and non-whitelisted OpenSearch methods/paths; no credential defaults; no scrape-date substitution.</w:t>
            </w:r>
          </w:p>
        </w:tc>
        <w:tc>
          <w:tcPr>
            <w:tcW w:type="dxa" w:w="3024"/>
            <w:vAlign w:val="center"/>
          </w:tcPr>
          <w:p>
            <w:pPr>
              <w:spacing w:after="20" w:before="20" w:line="240" w:lineRule="auto"/>
            </w:pPr>
            <w:r/>
            <w:r>
              <w:rPr>
                <w:rFonts w:ascii="Aptos" w:hAnsi="Aptos" w:eastAsia="Aptos"/>
                <w:b w:val="0"/>
                <w:sz w:val="15"/>
              </w:rPr>
              <w:t>No network call in tests; forbidden operations raise PermissionError.</w:t>
            </w:r>
          </w:p>
        </w:tc>
      </w:tr>
      <w:tr>
        <w:trPr>
          <w:cantSplit/>
        </w:trPr>
        <w:tc>
          <w:tcPr>
            <w:tcW w:type="dxa" w:w="1800"/>
            <w:vAlign w:val="center"/>
            <w:shd w:fill="F5F8FB"/>
          </w:tcPr>
          <w:p>
            <w:pPr>
              <w:spacing w:after="20" w:before="20" w:line="240" w:lineRule="auto"/>
            </w:pPr>
            <w:r/>
            <w:r>
              <w:rPr>
                <w:rFonts w:ascii="Aptos" w:hAnsi="Aptos" w:eastAsia="Aptos"/>
                <w:b w:val="0"/>
                <w:sz w:val="15"/>
              </w:rPr>
              <w:t>Ingest/store</w:t>
            </w:r>
          </w:p>
        </w:tc>
        <w:tc>
          <w:tcPr>
            <w:tcW w:type="dxa" w:w="5400"/>
            <w:vAlign w:val="center"/>
            <w:shd w:fill="F5F8FB"/>
          </w:tcPr>
          <w:p>
            <w:pPr>
              <w:spacing w:after="20" w:before="20" w:line="240" w:lineRule="auto"/>
            </w:pPr>
            <w:r/>
            <w:r>
              <w:rPr>
                <w:rFonts w:ascii="Aptos" w:hAnsi="Aptos" w:eastAsia="Aptos"/>
                <w:b w:val="0"/>
                <w:sz w:val="15"/>
              </w:rPr>
              <w:t>Atomic day checkpoint; idempotent upserts; content-hash duplicate behavior; pending-label resolution; failed-day retry; timezone bucketing; exclusive run lock.</w:t>
            </w:r>
          </w:p>
        </w:tc>
        <w:tc>
          <w:tcPr>
            <w:tcW w:type="dxa" w:w="3024"/>
            <w:vAlign w:val="center"/>
            <w:shd w:fill="F5F8FB"/>
          </w:tcPr>
          <w:p>
            <w:pPr>
              <w:spacing w:after="20" w:before="20" w:line="240" w:lineRule="auto"/>
            </w:pPr>
            <w:r/>
            <w:r>
              <w:rPr>
                <w:rFonts w:ascii="Aptos" w:hAnsi="Aptos" w:eastAsia="Aptos"/>
                <w:b w:val="0"/>
                <w:sz w:val="15"/>
              </w:rPr>
              <w:t>Reruns do not duplicate facts; failed transaction leaves no partial day.</w:t>
            </w:r>
          </w:p>
        </w:tc>
      </w:tr>
      <w:tr>
        <w:trPr>
          <w:cantSplit/>
        </w:trPr>
        <w:tc>
          <w:tcPr>
            <w:tcW w:type="dxa" w:w="1800"/>
            <w:vAlign w:val="center"/>
          </w:tcPr>
          <w:p>
            <w:pPr>
              <w:spacing w:after="20" w:before="20" w:line="240" w:lineRule="auto"/>
            </w:pPr>
            <w:r/>
            <w:r>
              <w:rPr>
                <w:rFonts w:ascii="Aptos" w:hAnsi="Aptos" w:eastAsia="Aptos"/>
                <w:b w:val="0"/>
                <w:sz w:val="15"/>
              </w:rPr>
              <w:t>Clustering/geography</w:t>
            </w:r>
          </w:p>
        </w:tc>
        <w:tc>
          <w:tcPr>
            <w:tcW w:type="dxa" w:w="5400"/>
            <w:vAlign w:val="center"/>
          </w:tcPr>
          <w:p>
            <w:pPr>
              <w:spacing w:after="20" w:before="20" w:line="240" w:lineRule="auto"/>
            </w:pPr>
            <w:r/>
            <w:r>
              <w:rPr>
                <w:rFonts w:ascii="Aptos" w:hAnsi="Aptos" w:eastAsia="Aptos"/>
                <w:b w:val="0"/>
                <w:sz w:val="15"/>
              </w:rPr>
              <w:t>Vector validation, centroid assignment, deterministic IDs, AOI membership, FIPS/ISO mapping and precision/consensus rules.</w:t>
            </w:r>
          </w:p>
        </w:tc>
        <w:tc>
          <w:tcPr>
            <w:tcW w:type="dxa" w:w="3024"/>
            <w:vAlign w:val="center"/>
          </w:tcPr>
          <w:p>
            <w:pPr>
              <w:spacing w:after="20" w:before="20" w:line="240" w:lineRule="auto"/>
            </w:pPr>
            <w:r/>
            <w:r>
              <w:rPr>
                <w:rFonts w:ascii="Aptos" w:hAnsi="Aptos" w:eastAsia="Aptos"/>
                <w:b w:val="0"/>
                <w:sz w:val="15"/>
              </w:rPr>
              <w:t>Same fixture input produces deterministic memberships; unknown/unlocated stays explicit.</w:t>
            </w:r>
          </w:p>
        </w:tc>
      </w:tr>
      <w:tr>
        <w:trPr>
          <w:cantSplit/>
        </w:trPr>
        <w:tc>
          <w:tcPr>
            <w:tcW w:type="dxa" w:w="1800"/>
            <w:vAlign w:val="center"/>
            <w:shd w:fill="F5F8FB"/>
          </w:tcPr>
          <w:p>
            <w:pPr>
              <w:spacing w:after="20" w:before="20" w:line="240" w:lineRule="auto"/>
            </w:pPr>
            <w:r/>
            <w:r>
              <w:rPr>
                <w:rFonts w:ascii="Aptos" w:hAnsi="Aptos" w:eastAsia="Aptos"/>
                <w:b w:val="0"/>
                <w:sz w:val="15"/>
              </w:rPr>
              <w:t>Metrics</w:t>
            </w:r>
          </w:p>
        </w:tc>
        <w:tc>
          <w:tcPr>
            <w:tcW w:type="dxa" w:w="5400"/>
            <w:vAlign w:val="center"/>
            <w:shd w:fill="F5F8FB"/>
          </w:tcPr>
          <w:p>
            <w:pPr>
              <w:spacing w:after="20" w:before="20" w:line="240" w:lineRule="auto"/>
            </w:pPr>
            <w:r/>
            <w:r>
              <w:rPr>
                <w:rFonts w:ascii="Aptos" w:hAnsi="Aptos" w:eastAsia="Aptos"/>
                <w:b w:val="0"/>
                <w:sz w:val="15"/>
              </w:rPr>
              <w:t>Null calibration, planted spike detection, collector-ramp false-alarm check, no look-ahead, NULL on thin support, leave-one-out AOI exposure, AOI-specific baselines, retracted alerts.</w:t>
            </w:r>
          </w:p>
        </w:tc>
        <w:tc>
          <w:tcPr>
            <w:tcW w:type="dxa" w:w="3024"/>
            <w:vAlign w:val="center"/>
            <w:shd w:fill="F5F8FB"/>
          </w:tcPr>
          <w:p>
            <w:pPr>
              <w:spacing w:after="20" w:before="20" w:line="240" w:lineRule="auto"/>
            </w:pPr>
            <w:r/>
            <w:r>
              <w:rPr>
                <w:rFonts w:ascii="Aptos" w:hAnsi="Aptos" w:eastAsia="Aptos"/>
                <w:b w:val="0"/>
                <w:sz w:val="15"/>
              </w:rPr>
              <w:t>Synthetic null series near nominal; planted spike produces evidence; unsupported values remain NULL.</w:t>
            </w:r>
          </w:p>
        </w:tc>
      </w:tr>
      <w:tr>
        <w:trPr>
          <w:cantSplit/>
        </w:trPr>
        <w:tc>
          <w:tcPr>
            <w:tcW w:type="dxa" w:w="1800"/>
            <w:vAlign w:val="center"/>
          </w:tcPr>
          <w:p>
            <w:pPr>
              <w:spacing w:after="20" w:before="20" w:line="240" w:lineRule="auto"/>
            </w:pPr>
            <w:r/>
            <w:r>
              <w:rPr>
                <w:rFonts w:ascii="Aptos" w:hAnsi="Aptos" w:eastAsia="Aptos"/>
                <w:b w:val="0"/>
                <w:sz w:val="15"/>
              </w:rPr>
              <w:t>Events/developments</w:t>
            </w:r>
          </w:p>
        </w:tc>
        <w:tc>
          <w:tcPr>
            <w:tcW w:type="dxa" w:w="5400"/>
            <w:vAlign w:val="center"/>
          </w:tcPr>
          <w:p>
            <w:pPr>
              <w:spacing w:after="20" w:before="20" w:line="240" w:lineRule="auto"/>
            </w:pPr>
            <w:r/>
            <w:r>
              <w:rPr>
                <w:rFonts w:ascii="Aptos" w:hAnsi="Aptos" w:eastAsia="Aptos"/>
                <w:b w:val="0"/>
                <w:sz w:val="15"/>
              </w:rPr>
              <w:t>Empirical emerging-event tests, insufficient reference NULL behavior, no look-ahead, common-event rejection, location gate, synthetic development calibration/power.</w:t>
            </w:r>
          </w:p>
        </w:tc>
        <w:tc>
          <w:tcPr>
            <w:tcW w:type="dxa" w:w="3024"/>
            <w:vAlign w:val="center"/>
          </w:tcPr>
          <w:p>
            <w:pPr>
              <w:spacing w:after="20" w:before="20" w:line="240" w:lineRule="auto"/>
            </w:pPr>
            <w:r/>
            <w:r>
              <w:rPr>
                <w:rFonts w:ascii="Aptos" w:hAnsi="Aptos" w:eastAsia="Aptos"/>
                <w:b w:val="0"/>
                <w:sz w:val="15"/>
              </w:rPr>
              <w:t>Only supported, significant candidates alert; known/common and thin-reference cases do not.</w:t>
            </w:r>
          </w:p>
        </w:tc>
      </w:tr>
      <w:tr>
        <w:trPr>
          <w:cantSplit/>
        </w:trPr>
        <w:tc>
          <w:tcPr>
            <w:tcW w:type="dxa" w:w="1800"/>
            <w:vAlign w:val="center"/>
            <w:shd w:fill="F5F8FB"/>
          </w:tcPr>
          <w:p>
            <w:pPr>
              <w:spacing w:after="20" w:before="20" w:line="240" w:lineRule="auto"/>
            </w:pPr>
            <w:r/>
            <w:r>
              <w:rPr>
                <w:rFonts w:ascii="Aptos" w:hAnsi="Aptos" w:eastAsia="Aptos"/>
                <w:b w:val="0"/>
                <w:sz w:val="15"/>
              </w:rPr>
              <w:t>News API</w:t>
            </w:r>
          </w:p>
        </w:tc>
        <w:tc>
          <w:tcPr>
            <w:tcW w:type="dxa" w:w="5400"/>
            <w:vAlign w:val="center"/>
            <w:shd w:fill="F5F8FB"/>
          </w:tcPr>
          <w:p>
            <w:pPr>
              <w:spacing w:after="20" w:before="20" w:line="240" w:lineRule="auto"/>
            </w:pPr>
            <w:r/>
            <w:r>
              <w:rPr>
                <w:rFonts w:ascii="Aptos" w:hAnsi="Aptos" w:eastAsia="Aptos"/>
                <w:b w:val="0"/>
                <w:sz w:val="15"/>
              </w:rPr>
              <w:t>Read-only store, filters use stored labels, deterministic event plurality, citations, paging, ad-hoc persistence behavior.</w:t>
            </w:r>
          </w:p>
        </w:tc>
        <w:tc>
          <w:tcPr>
            <w:tcW w:type="dxa" w:w="3024"/>
            <w:vAlign w:val="center"/>
            <w:shd w:fill="F5F8FB"/>
          </w:tcPr>
          <w:p>
            <w:pPr>
              <w:spacing w:after="20" w:before="20" w:line="240" w:lineRule="auto"/>
            </w:pPr>
            <w:r/>
            <w:r>
              <w:rPr>
                <w:rFonts w:ascii="Aptos" w:hAnsi="Aptos" w:eastAsia="Aptos"/>
                <w:b w:val="0"/>
                <w:sz w:val="15"/>
              </w:rPr>
              <w:t>API bundle/filter/citation semantics match test fixtures; write attempts fail.</w:t>
            </w:r>
          </w:p>
        </w:tc>
      </w:tr>
      <w:tr>
        <w:trPr>
          <w:cantSplit/>
        </w:trPr>
        <w:tc>
          <w:tcPr>
            <w:tcW w:type="dxa" w:w="1800"/>
            <w:vAlign w:val="center"/>
          </w:tcPr>
          <w:p>
            <w:pPr>
              <w:spacing w:after="20" w:before="20" w:line="240" w:lineRule="auto"/>
            </w:pPr>
            <w:r/>
            <w:r>
              <w:rPr>
                <w:rFonts w:ascii="Aptos" w:hAnsi="Aptos" w:eastAsia="Aptos"/>
                <w:b w:val="0"/>
                <w:sz w:val="15"/>
              </w:rPr>
              <w:t>Browser UI</w:t>
            </w:r>
          </w:p>
        </w:tc>
        <w:tc>
          <w:tcPr>
            <w:tcW w:type="dxa" w:w="5400"/>
            <w:vAlign w:val="center"/>
          </w:tcPr>
          <w:p>
            <w:pPr>
              <w:spacing w:after="20" w:before="20" w:line="240" w:lineRule="auto"/>
            </w:pPr>
            <w:r/>
            <w:r>
              <w:rPr>
                <w:rFonts w:ascii="Aptos" w:hAnsi="Aptos" w:eastAsia="Aptos"/>
                <w:b w:val="0"/>
                <w:sz w:val="15"/>
              </w:rPr>
              <w:t>Live page against pilot DB and filter/citation values compared with independent SQL.</w:t>
            </w:r>
          </w:p>
        </w:tc>
        <w:tc>
          <w:tcPr>
            <w:tcW w:type="dxa" w:w="3024"/>
            <w:vAlign w:val="center"/>
          </w:tcPr>
          <w:p>
            <w:pPr>
              <w:spacing w:after="20" w:before="20" w:line="240" w:lineRule="auto"/>
            </w:pPr>
            <w:r/>
            <w:r>
              <w:rPr>
                <w:rFonts w:ascii="Aptos" w:hAnsi="Aptos" w:eastAsia="Aptos"/>
                <w:b w:val="0"/>
                <w:sz w:val="15"/>
              </w:rPr>
              <w:t>All checks print PASS and exit 0; requires running server, Playwright and browser.</w:t>
            </w:r>
          </w:p>
        </w:tc>
      </w:tr>
    </w:tbl>
    <w:p>
      <w:pPr>
        <w:spacing w:after="20"/>
      </w:pPr>
    </w:p>
    <w:p>
      <w:pPr>
        <w:pStyle w:val="Heading2"/>
      </w:pPr>
      <w:r>
        <w:t>Optional UI checks (separate from pytest)</w:t>
      </w:r>
    </w:p>
    <w:p>
      <w:pPr>
        <w:pStyle w:val="Formula"/>
        <w:shd w:fill="EEF4F8"/>
      </w:pPr>
      <w:r>
        <w:t>NEWS_UI_DB=data/news_pilot_india_bangladesh.duckdb .venv/bin/python UI/news_server.py 8878</w:t>
      </w:r>
    </w:p>
    <w:p>
      <w:pPr>
        <w:pStyle w:val="Formula"/>
        <w:shd w:fill="EEF4F8"/>
      </w:pPr>
      <w:r>
        <w:t>.venv/bin/python UI/tests/check_news_ui.py --url http://127.0.0.1:8878 --shots /tmp/news-ui-shots</w:t>
      </w:r>
    </w:p>
    <w:p>
      <w:pPr>
        <w:pStyle w:val="Formula"/>
        <w:shd w:fill="EEF4F8"/>
      </w:pPr>
      <w:r>
        <w:t>.venv/bin/python UI/tests/check_news_filter_ui.py --url http://127.0.0.1:8878 --shots /tmp/news-filter-shots</w:t>
      </w:r>
    </w:p>
    <w:p>
      <w:r>
        <w:t>Run the UI checks only after the read-only server is available. They require the optional Playwright/browser setup; the filter test stubs external publisher navigation and compares displayed counts/citations with independent SQL on the pilot database. They are not claimed as run for this guide.</w:t>
      </w:r>
    </w:p>
    <w:p>
      <w:pPr>
        <w:pStyle w:val="Heading2"/>
      </w:pPr>
      <w:r>
        <w:t>Read-only pilot inspection examples</w:t>
      </w:r>
    </w:p>
    <w:p>
      <w:pPr>
        <w:pStyle w:val="Formula"/>
        <w:shd w:fill="EEF4F8"/>
      </w:pPr>
      <w:r>
        <w:t>.venv/bin/python - &lt;&lt;'PY'</w:t>
        <w:br/>
        <w:t>import duckdb</w:t>
        <w:br/>
        <w:t>c = duckdb.connect('data/news_pilot_india_bangladesh.duckdb', read_only=True)</w:t>
        <w:br/>
        <w:t>print(c.execute("SELECT kind, severity, status, count(*) FROM alert GROUP BY ALL ORDER BY 1,2,3").fetchdf())</w:t>
        <w:br/>
        <w:t>print(c.execute("SELECT aoi_id, level, node_code, day, V, baseline_mu, surprise_p, surprise_q FROM node_aoi_day WHERE alert_flag ORDER BY surprise_q LIMIT 10").fetchdf())</w:t>
        <w:br/>
        <w:t>PY</w:t>
      </w:r>
    </w:p>
    <w:p>
      <w:r>
        <w:t>These are SELECT-only review queries; unlike scripts/20_news_run.py, they do not ingest or recompute anything.</w:t>
      </w:r>
    </w:p>
    <w:p>
      <w:pPr>
        <w:pStyle w:val="Heading1"/>
      </w:pPr>
      <w:r>
        <w:t>13. Operational limits and interpretation checklist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952"/>
            <w:vAlign w:val="center"/>
            <w:shd w:fill="17365D"/>
          </w:tcPr>
          <w:p>
            <w:pPr>
              <w:spacing w:after="20" w:before="20" w:line="240" w:lineRule="auto"/>
            </w:pPr>
            <w:r/>
            <w:r>
              <w:rPr>
                <w:rFonts w:ascii="Aptos" w:hAnsi="Aptos" w:eastAsia="Aptos"/>
                <w:b/>
                <w:color w:val="FFFFFF"/>
                <w:sz w:val="15"/>
              </w:rPr>
              <w:t>Known limit</w:t>
            </w:r>
          </w:p>
        </w:tc>
        <w:tc>
          <w:tcPr>
            <w:tcW w:type="dxa" w:w="7272"/>
            <w:vAlign w:val="center"/>
            <w:shd w:fill="17365D"/>
          </w:tcPr>
          <w:p>
            <w:pPr>
              <w:spacing w:after="20" w:before="20" w:line="240" w:lineRule="auto"/>
            </w:pPr>
            <w:r/>
            <w:r>
              <w:rPr>
                <w:rFonts w:ascii="Aptos" w:hAnsi="Aptos" w:eastAsia="Aptos"/>
                <w:b/>
                <w:color w:val="FFFFFF"/>
                <w:sz w:val="15"/>
              </w:rPr>
              <w:t>Practical interpretation</w:t>
            </w:r>
          </w:p>
        </w:tc>
      </w:tr>
      <w:tr>
        <w:trPr>
          <w:cantSplit/>
        </w:trPr>
        <w:tc>
          <w:tcPr>
            <w:tcW w:type="dxa" w:w="2952"/>
            <w:vAlign w:val="center"/>
          </w:tcPr>
          <w:p>
            <w:pPr>
              <w:spacing w:after="20" w:before="20" w:line="240" w:lineRule="auto"/>
            </w:pPr>
            <w:r/>
            <w:r>
              <w:rPr>
                <w:rFonts w:ascii="Aptos" w:hAnsi="Aptos" w:eastAsia="Aptos"/>
                <w:b w:val="0"/>
                <w:sz w:val="15"/>
              </w:rPr>
              <w:t>Fourteen-day pilot</w:t>
            </w:r>
          </w:p>
        </w:tc>
        <w:tc>
          <w:tcPr>
            <w:tcW w:type="dxa" w:w="7272"/>
            <w:vAlign w:val="center"/>
          </w:tcPr>
          <w:p>
            <w:pPr>
              <w:spacing w:after="20" w:before="20" w:line="240" w:lineRule="auto"/>
            </w:pPr>
            <w:r/>
            <w:r>
              <w:rPr>
                <w:rFonts w:ascii="Aptos" w:hAnsi="Aptos" w:eastAsia="Aptos"/>
                <w:b w:val="0"/>
                <w:sz w:val="15"/>
              </w:rPr>
              <w:t>Only about seven baseline days are available per series; production baseline window is configured to 28 days and needs more history.</w:t>
            </w:r>
          </w:p>
        </w:tc>
      </w:tr>
      <w:tr>
        <w:trPr>
          <w:cantSplit/>
        </w:trPr>
        <w:tc>
          <w:tcPr>
            <w:tcW w:type="dxa" w:w="2952"/>
            <w:vAlign w:val="center"/>
            <w:shd w:fill="F5F8FB"/>
          </w:tcPr>
          <w:p>
            <w:pPr>
              <w:spacing w:after="20" w:before="20" w:line="240" w:lineRule="auto"/>
            </w:pPr>
            <w:r/>
            <w:r>
              <w:rPr>
                <w:rFonts w:ascii="Aptos" w:hAnsi="Aptos" w:eastAsia="Aptos"/>
                <w:b w:val="0"/>
                <w:sz w:val="15"/>
              </w:rPr>
              <w:t>Geographic uncertainty</w:t>
            </w:r>
          </w:p>
        </w:tc>
        <w:tc>
          <w:tcPr>
            <w:tcW w:type="dxa" w:w="7272"/>
            <w:vAlign w:val="center"/>
            <w:shd w:fill="F5F8FB"/>
          </w:tcPr>
          <w:p>
            <w:pPr>
              <w:spacing w:after="20" w:before="20" w:line="240" w:lineRule="auto"/>
            </w:pPr>
            <w:r/>
            <w:r>
              <w:rPr>
                <w:rFonts w:ascii="Aptos" w:hAnsi="Aptos" w:eastAsia="Aptos"/>
                <w:b w:val="0"/>
                <w:sz w:val="15"/>
              </w:rPr>
              <w:t>GDELT ActionGeo coverage is about 40%; 20.2% of clusters with ≥2 located articles disagree across countries. High-confidence alert gate reduces but does not eliminate mislocation.</w:t>
            </w:r>
          </w:p>
        </w:tc>
      </w:tr>
      <w:tr>
        <w:trPr>
          <w:cantSplit/>
        </w:trPr>
        <w:tc>
          <w:tcPr>
            <w:tcW w:type="dxa" w:w="2952"/>
            <w:vAlign w:val="center"/>
          </w:tcPr>
          <w:p>
            <w:pPr>
              <w:spacing w:after="20" w:before="20" w:line="240" w:lineRule="auto"/>
            </w:pPr>
            <w:r/>
            <w:r>
              <w:rPr>
                <w:rFonts w:ascii="Aptos" w:hAnsi="Aptos" w:eastAsia="Aptos"/>
                <w:b w:val="0"/>
                <w:sz w:val="15"/>
              </w:rPr>
              <w:t>Cluster quality</w:t>
            </w:r>
          </w:p>
        </w:tc>
        <w:tc>
          <w:tcPr>
            <w:tcW w:type="dxa" w:w="7272"/>
            <w:vAlign w:val="center"/>
          </w:tcPr>
          <w:p>
            <w:pPr>
              <w:spacing w:after="20" w:before="20" w:line="240" w:lineRule="auto"/>
            </w:pPr>
            <w:r/>
            <w:r>
              <w:rPr>
                <w:rFonts w:ascii="Aptos" w:hAnsi="Aptos" w:eastAsia="Aptos"/>
                <w:b w:val="0"/>
                <w:sz w:val="15"/>
              </w:rPr>
              <w:t>Singletons dominate; silver GDELT pair labels are weak (pair recall .310, strict precision .061). Human cluster review is outstanding.</w:t>
            </w:r>
          </w:p>
        </w:tc>
      </w:tr>
      <w:tr>
        <w:trPr>
          <w:cantSplit/>
        </w:trPr>
        <w:tc>
          <w:tcPr>
            <w:tcW w:type="dxa" w:w="2952"/>
            <w:vAlign w:val="center"/>
            <w:shd w:fill="F5F8FB"/>
          </w:tcPr>
          <w:p>
            <w:pPr>
              <w:spacing w:after="20" w:before="20" w:line="240" w:lineRule="auto"/>
            </w:pPr>
            <w:r/>
            <w:r>
              <w:rPr>
                <w:rFonts w:ascii="Aptos" w:hAnsi="Aptos" w:eastAsia="Aptos"/>
                <w:b w:val="0"/>
                <w:sz w:val="15"/>
              </w:rPr>
              <w:t>Development alert volume</w:t>
            </w:r>
          </w:p>
        </w:tc>
        <w:tc>
          <w:tcPr>
            <w:tcW w:type="dxa" w:w="7272"/>
            <w:vAlign w:val="center"/>
            <w:shd w:fill="F5F8FB"/>
          </w:tcPr>
          <w:p>
            <w:pPr>
              <w:spacing w:after="20" w:before="20" w:line="240" w:lineRule="auto"/>
            </w:pPr>
            <w:r/>
            <w:r>
              <w:rPr>
                <w:rFonts w:ascii="Aptos" w:hAnsi="Aptos" w:eastAsia="Aptos"/>
                <w:b w:val="0"/>
                <w:sz w:val="15"/>
              </w:rPr>
              <w:t>265 development alerts were flagged across 859 tests. Large real stories evolve; a high flag rate needs analyst review before operational use.</w:t>
            </w:r>
          </w:p>
        </w:tc>
      </w:tr>
      <w:tr>
        <w:trPr>
          <w:cantSplit/>
        </w:trPr>
        <w:tc>
          <w:tcPr>
            <w:tcW w:type="dxa" w:w="2952"/>
            <w:vAlign w:val="center"/>
          </w:tcPr>
          <w:p>
            <w:pPr>
              <w:spacing w:after="20" w:before="20" w:line="240" w:lineRule="auto"/>
            </w:pPr>
            <w:r/>
            <w:r>
              <w:rPr>
                <w:rFonts w:ascii="Aptos" w:hAnsi="Aptos" w:eastAsia="Aptos"/>
                <w:b w:val="0"/>
                <w:sz w:val="15"/>
              </w:rPr>
              <w:t>NB plug-in calibration</w:t>
            </w:r>
          </w:p>
        </w:tc>
        <w:tc>
          <w:tcPr>
            <w:tcW w:type="dxa" w:w="7272"/>
            <w:vAlign w:val="center"/>
          </w:tcPr>
          <w:p>
            <w:pPr>
              <w:spacing w:after="20" w:before="20" w:line="240" w:lineRule="auto"/>
            </w:pPr>
            <w:r/>
            <w:r>
              <w:rPr>
                <w:rFonts w:ascii="Aptos" w:hAnsi="Aptos" w:eastAsia="Aptos"/>
                <w:b w:val="0"/>
                <w:sz w:val="15"/>
              </w:rPr>
              <w:t>Shared stats_v2.py documents that NB/Poisson tail p-values treat fitted parameters as known; parameter uncertainty is not propagated. A posterior-predictive or bootstrap calibration remains open; Poisson fallback can be anti-conservative on sparse/underdispersed cells.</w:t>
            </w:r>
          </w:p>
        </w:tc>
      </w:tr>
      <w:tr>
        <w:trPr>
          <w:cantSplit/>
        </w:trPr>
        <w:tc>
          <w:tcPr>
            <w:tcW w:type="dxa" w:w="2952"/>
            <w:vAlign w:val="center"/>
            <w:shd w:fill="F5F8FB"/>
          </w:tcPr>
          <w:p>
            <w:pPr>
              <w:spacing w:after="20" w:before="20" w:line="240" w:lineRule="auto"/>
            </w:pPr>
            <w:r/>
            <w:r>
              <w:rPr>
                <w:rFonts w:ascii="Aptos" w:hAnsi="Aptos" w:eastAsia="Aptos"/>
                <w:b w:val="0"/>
                <w:sz w:val="15"/>
              </w:rPr>
              <w:t>Publisher coverage</w:t>
            </w:r>
          </w:p>
        </w:tc>
        <w:tc>
          <w:tcPr>
            <w:tcW w:type="dxa" w:w="7272"/>
            <w:vAlign w:val="center"/>
            <w:shd w:fill="F5F8FB"/>
          </w:tcPr>
          <w:p>
            <w:pPr>
              <w:spacing w:after="20" w:before="20" w:line="240" w:lineRule="auto"/>
            </w:pPr>
            <w:r/>
            <w:r>
              <w:rPr>
                <w:rFonts w:ascii="Aptos" w:hAnsi="Aptos" w:eastAsia="Aptos"/>
                <w:b w:val="0"/>
                <w:sz w:val="15"/>
              </w:rPr>
              <w:t>Publisher registry classifies roughly 53% of corpus volume and is not yet human-verified; it is descriptive and is not an event-location source.</w:t>
            </w:r>
          </w:p>
        </w:tc>
      </w:tr>
      <w:tr>
        <w:trPr>
          <w:cantSplit/>
        </w:trPr>
        <w:tc>
          <w:tcPr>
            <w:tcW w:type="dxa" w:w="2952"/>
            <w:vAlign w:val="center"/>
          </w:tcPr>
          <w:p>
            <w:pPr>
              <w:spacing w:after="20" w:before="20" w:line="240" w:lineRule="auto"/>
            </w:pPr>
            <w:r/>
            <w:r>
              <w:rPr>
                <w:rFonts w:ascii="Aptos" w:hAnsi="Aptos" w:eastAsia="Aptos"/>
                <w:b w:val="0"/>
                <w:sz w:val="15"/>
              </w:rPr>
              <w:t>Custom AOI multiplicity</w:t>
            </w:r>
          </w:p>
        </w:tc>
        <w:tc>
          <w:tcPr>
            <w:tcW w:type="dxa" w:w="7272"/>
            <w:vAlign w:val="center"/>
          </w:tcPr>
          <w:p>
            <w:pPr>
              <w:spacing w:after="20" w:before="20" w:line="240" w:lineRule="auto"/>
            </w:pPr>
            <w:r/>
            <w:r>
              <w:rPr>
                <w:rFonts w:ascii="Aptos" w:hAnsi="Aptos" w:eastAsia="Aptos"/>
                <w:b w:val="0"/>
                <w:sz w:val="15"/>
              </w:rPr>
              <w:t>FDR is controlled within one AOI’s test family. Many custom areas queried by a user are not jointly corrected.</w:t>
            </w:r>
          </w:p>
        </w:tc>
      </w:tr>
      <w:tr>
        <w:trPr>
          <w:cantSplit/>
        </w:trPr>
        <w:tc>
          <w:tcPr>
            <w:tcW w:type="dxa" w:w="2952"/>
            <w:vAlign w:val="center"/>
            <w:shd w:fill="F5F8FB"/>
          </w:tcPr>
          <w:p>
            <w:pPr>
              <w:spacing w:after="20" w:before="20" w:line="240" w:lineRule="auto"/>
            </w:pPr>
            <w:r/>
            <w:r>
              <w:rPr>
                <w:rFonts w:ascii="Aptos" w:hAnsi="Aptos" w:eastAsia="Aptos"/>
                <w:b w:val="0"/>
                <w:sz w:val="15"/>
              </w:rPr>
              <w:t>Not production live</w:t>
            </w:r>
          </w:p>
        </w:tc>
        <w:tc>
          <w:tcPr>
            <w:tcW w:type="dxa" w:w="7272"/>
            <w:vAlign w:val="center"/>
            <w:shd w:fill="F5F8FB"/>
          </w:tcPr>
          <w:p>
            <w:pPr>
              <w:spacing w:after="20" w:before="20" w:line="240" w:lineRule="auto"/>
            </w:pPr>
            <w:r/>
            <w:r>
              <w:rPr>
                <w:rFonts w:ascii="Aptos" w:hAnsi="Aptos" w:eastAsia="Aptos"/>
                <w:b w:val="0"/>
                <w:sz w:val="15"/>
              </w:rPr>
              <w:t>No scheduler or outbound notification integration belongs to this engine. Incremental is batch-on-invocation; dashboard data is from the derived store/snapshot.</w:t>
            </w:r>
          </w:p>
        </w:tc>
      </w:tr>
      <w:tr>
        <w:trPr>
          <w:cantSplit/>
        </w:trPr>
        <w:tc>
          <w:tcPr>
            <w:tcW w:type="dxa" w:w="2952"/>
            <w:vAlign w:val="center"/>
          </w:tcPr>
          <w:p>
            <w:pPr>
              <w:spacing w:after="20" w:before="20" w:line="240" w:lineRule="auto"/>
            </w:pPr>
            <w:r/>
            <w:r>
              <w:rPr>
                <w:rFonts w:ascii="Aptos" w:hAnsi="Aptos" w:eastAsia="Aptos"/>
                <w:b w:val="0"/>
                <w:sz w:val="15"/>
              </w:rPr>
              <w:t>Review data sensitivity</w:t>
            </w:r>
          </w:p>
        </w:tc>
        <w:tc>
          <w:tcPr>
            <w:tcW w:type="dxa" w:w="7272"/>
            <w:vAlign w:val="center"/>
          </w:tcPr>
          <w:p>
            <w:pPr>
              <w:spacing w:after="20" w:before="20" w:line="240" w:lineRule="auto"/>
            </w:pPr>
            <w:r/>
            <w:r>
              <w:rPr>
                <w:rFonts w:ascii="Aptos" w:hAnsi="Aptos" w:eastAsia="Aptos"/>
                <w:b w:val="0"/>
                <w:sz w:val="15"/>
              </w:rPr>
              <w:t>Pilot inspection CSVs include headlines and are git-ignored; keep them local and complete analyst_verdict before a backfill decision.</w:t>
            </w:r>
          </w:p>
        </w:tc>
      </w:tr>
    </w:tbl>
    <w:p>
      <w:pPr>
        <w:spacing w:after="20"/>
      </w:pPr>
    </w:p>
    <w:p>
      <w:pPr>
        <w:pStyle w:val="Heading2"/>
      </w:pPr>
      <w:r>
        <w:t>Before treating an alert as an operational fact</w:t>
      </w:r>
    </w:p>
    <w:p>
      <w:pPr>
        <w:pStyle w:val="ListBullet"/>
        <w:spacing w:after="40"/>
      </w:pPr>
      <w:r>
        <w:t>Check the AOI mode: event happened there, or country was merely mentioned?</w:t>
      </w:r>
    </w:p>
    <w:p>
      <w:pPr>
        <w:pStyle w:val="ListBullet"/>
        <w:spacing w:after="40"/>
      </w:pPr>
      <w:r>
        <w:t>Check support: baseline days/mean, V, exposure and any coverage gap.</w:t>
      </w:r>
    </w:p>
    <w:p>
      <w:pPr>
        <w:pStyle w:val="ListBullet"/>
        <w:spacing w:after="40"/>
      </w:pPr>
      <w:r>
        <w:t>For node trends, read q and effect ratio together; q alone does not say the change is practically large.</w:t>
      </w:r>
    </w:p>
    <w:p>
      <w:pPr>
        <w:pStyle w:val="ListBullet"/>
        <w:spacing w:after="40"/>
      </w:pPr>
      <w:r>
        <w:t>For emerging/development signals, inspect article citations and the event’s high-confidence location.</w:t>
      </w:r>
    </w:p>
    <w:p>
      <w:pPr>
        <w:pStyle w:val="ListBullet"/>
        <w:spacing w:after="40"/>
      </w:pPr>
      <w:r>
        <w:t>Check duplicates, publisher diversity and the event cluster’s topic plurality; large clusters may merge sub-stories.</w:t>
      </w:r>
    </w:p>
    <w:p>
      <w:pPr>
        <w:pStyle w:val="ListBullet"/>
        <w:spacing w:after="40"/>
      </w:pPr>
      <w:r>
        <w:t>Look for analyst-reviewed cluster/location samples and account for the pilot’s short history.</w:t>
      </w:r>
    </w:p>
    <w:p>
      <w:pPr>
        <w:pStyle w:val="ListBullet"/>
        <w:spacing w:after="40"/>
      </w:pPr>
      <w:r>
        <w:t>Use retracted status as a revision, not as an erased alert.</w:t>
      </w:r>
    </w:p>
    <w:p>
      <w:pPr>
        <w:pStyle w:val="Heading1"/>
      </w:pPr>
      <w:r>
        <w:t>14. Code and artifact reference map</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816"/>
            <w:vAlign w:val="center"/>
            <w:shd w:fill="17365D"/>
          </w:tcPr>
          <w:p>
            <w:pPr>
              <w:spacing w:after="20" w:before="20" w:line="240" w:lineRule="auto"/>
            </w:pPr>
            <w:r/>
            <w:r>
              <w:rPr>
                <w:rFonts w:ascii="Aptos" w:hAnsi="Aptos" w:eastAsia="Aptos"/>
                <w:b/>
                <w:color w:val="FFFFFF"/>
                <w:sz w:val="14"/>
              </w:rPr>
              <w:t>File / artifact</w:t>
            </w:r>
          </w:p>
        </w:tc>
        <w:tc>
          <w:tcPr>
            <w:tcW w:type="dxa" w:w="6408"/>
            <w:vAlign w:val="center"/>
            <w:shd w:fill="17365D"/>
          </w:tcPr>
          <w:p>
            <w:pPr>
              <w:spacing w:after="20" w:before="20" w:line="240" w:lineRule="auto"/>
            </w:pPr>
            <w:r/>
            <w:r>
              <w:rPr>
                <w:rFonts w:ascii="Aptos" w:hAnsi="Aptos" w:eastAsia="Aptos"/>
                <w:b/>
                <w:color w:val="FFFFFF"/>
                <w:sz w:val="14"/>
              </w:rPr>
              <w:t>What it implements or verifies</w:t>
            </w:r>
          </w:p>
        </w:tc>
      </w:tr>
      <w:tr>
        <w:trPr>
          <w:cantSplit/>
        </w:trPr>
        <w:tc>
          <w:tcPr>
            <w:tcW w:type="dxa" w:w="3816"/>
            <w:vAlign w:val="center"/>
          </w:tcPr>
          <w:p>
            <w:pPr>
              <w:spacing w:after="20" w:before="20" w:line="240" w:lineRule="auto"/>
            </w:pPr>
            <w:r/>
            <w:r>
              <w:rPr>
                <w:rFonts w:ascii="Aptos" w:hAnsi="Aptos" w:eastAsia="Aptos"/>
                <w:b w:val="0"/>
                <w:sz w:val="14"/>
              </w:rPr>
              <w:t>docs/NEWS_ENGINE.md</w:t>
            </w:r>
          </w:p>
        </w:tc>
        <w:tc>
          <w:tcPr>
            <w:tcW w:type="dxa" w:w="6408"/>
            <w:vAlign w:val="center"/>
          </w:tcPr>
          <w:p>
            <w:pPr>
              <w:spacing w:after="20" w:before="20" w:line="240" w:lineRule="auto"/>
            </w:pPr>
            <w:r/>
            <w:r>
              <w:rPr>
                <w:rFonts w:ascii="Aptos" w:hAnsi="Aptos" w:eastAsia="Aptos"/>
                <w:b w:val="0"/>
                <w:sz w:val="14"/>
              </w:rPr>
              <w:t>Canonical news-engine description, run modes, safety invariants, limitations and tests.</w:t>
            </w:r>
          </w:p>
        </w:tc>
      </w:tr>
      <w:tr>
        <w:trPr>
          <w:cantSplit/>
        </w:trPr>
        <w:tc>
          <w:tcPr>
            <w:tcW w:type="dxa" w:w="3816"/>
            <w:vAlign w:val="center"/>
            <w:shd w:fill="F5F8FB"/>
          </w:tcPr>
          <w:p>
            <w:pPr>
              <w:spacing w:after="20" w:before="20" w:line="240" w:lineRule="auto"/>
            </w:pPr>
            <w:r/>
            <w:r>
              <w:rPr>
                <w:rFonts w:ascii="Aptos" w:hAnsi="Aptos" w:eastAsia="Aptos"/>
                <w:b w:val="0"/>
                <w:sz w:val="14"/>
              </w:rPr>
              <w:t>scripts/20_news_run.py</w:t>
            </w:r>
          </w:p>
        </w:tc>
        <w:tc>
          <w:tcPr>
            <w:tcW w:type="dxa" w:w="6408"/>
            <w:vAlign w:val="center"/>
            <w:shd w:fill="F5F8FB"/>
          </w:tcPr>
          <w:p>
            <w:pPr>
              <w:spacing w:after="20" w:before="20" w:line="240" w:lineRule="auto"/>
            </w:pPr>
            <w:r/>
            <w:r>
              <w:rPr>
                <w:rFonts w:ascii="Aptos" w:hAnsi="Aptos" w:eastAsia="Aptos"/>
                <w:b w:val="0"/>
                <w:sz w:val="14"/>
              </w:rPr>
              <w:t>CLI entry point: pilot/range/backfill/incremental/plan/status; backfill approval guard; lock and export.</w:t>
            </w:r>
          </w:p>
        </w:tc>
      </w:tr>
      <w:tr>
        <w:trPr>
          <w:cantSplit/>
        </w:trPr>
        <w:tc>
          <w:tcPr>
            <w:tcW w:type="dxa" w:w="3816"/>
            <w:vAlign w:val="center"/>
          </w:tcPr>
          <w:p>
            <w:pPr>
              <w:spacing w:after="20" w:before="20" w:line="240" w:lineRule="auto"/>
            </w:pPr>
            <w:r/>
            <w:r>
              <w:rPr>
                <w:rFonts w:ascii="Aptos" w:hAnsi="Aptos" w:eastAsia="Aptos"/>
                <w:b w:val="0"/>
                <w:sz w:val="14"/>
              </w:rPr>
              <w:t>scripts/lib/news_config.py</w:t>
            </w:r>
          </w:p>
        </w:tc>
        <w:tc>
          <w:tcPr>
            <w:tcW w:type="dxa" w:w="6408"/>
            <w:vAlign w:val="center"/>
          </w:tcPr>
          <w:p>
            <w:pPr>
              <w:spacing w:after="20" w:before="20" w:line="240" w:lineRule="auto"/>
            </w:pPr>
            <w:r/>
            <w:r>
              <w:rPr>
                <w:rFonts w:ascii="Aptos" w:hAnsi="Aptos" w:eastAsia="Aptos"/>
                <w:b w:val="0"/>
                <w:sz w:val="14"/>
              </w:rPr>
              <w:t>News parameters, source configuration aliases, thresholds and pilot scope.</w:t>
            </w:r>
          </w:p>
        </w:tc>
      </w:tr>
      <w:tr>
        <w:trPr>
          <w:cantSplit/>
        </w:trPr>
        <w:tc>
          <w:tcPr>
            <w:tcW w:type="dxa" w:w="3816"/>
            <w:vAlign w:val="center"/>
            <w:shd w:fill="F5F8FB"/>
          </w:tcPr>
          <w:p>
            <w:pPr>
              <w:spacing w:after="20" w:before="20" w:line="240" w:lineRule="auto"/>
            </w:pPr>
            <w:r/>
            <w:r>
              <w:rPr>
                <w:rFonts w:ascii="Aptos" w:hAnsi="Aptos" w:eastAsia="Aptos"/>
                <w:b w:val="0"/>
                <w:sz w:val="14"/>
              </w:rPr>
              <w:t>scripts/lib/news_sources.py</w:t>
            </w:r>
          </w:p>
        </w:tc>
        <w:tc>
          <w:tcPr>
            <w:tcW w:type="dxa" w:w="6408"/>
            <w:vAlign w:val="center"/>
            <w:shd w:fill="F5F8FB"/>
          </w:tcPr>
          <w:p>
            <w:pPr>
              <w:spacing w:after="20" w:before="20" w:line="240" w:lineRule="auto"/>
            </w:pPr>
            <w:r/>
            <w:r>
              <w:rPr>
                <w:rFonts w:ascii="Aptos" w:hAnsi="Aptos" w:eastAsia="Aptos"/>
                <w:b w:val="0"/>
                <w:sz w:val="14"/>
              </w:rPr>
              <w:t>Read-only PostgreSQL/OpenSearch clients, guards, date validation, label/taxonomy fetch.</w:t>
            </w:r>
          </w:p>
        </w:tc>
      </w:tr>
      <w:tr>
        <w:trPr>
          <w:cantSplit/>
        </w:trPr>
        <w:tc>
          <w:tcPr>
            <w:tcW w:type="dxa" w:w="3816"/>
            <w:vAlign w:val="center"/>
          </w:tcPr>
          <w:p>
            <w:pPr>
              <w:spacing w:after="20" w:before="20" w:line="240" w:lineRule="auto"/>
            </w:pPr>
            <w:r/>
            <w:r>
              <w:rPr>
                <w:rFonts w:ascii="Aptos" w:hAnsi="Aptos" w:eastAsia="Aptos"/>
                <w:b w:val="0"/>
                <w:sz w:val="14"/>
              </w:rPr>
              <w:t>scripts/lib/news_ingest.py</w:t>
            </w:r>
          </w:p>
        </w:tc>
        <w:tc>
          <w:tcPr>
            <w:tcW w:type="dxa" w:w="6408"/>
            <w:vAlign w:val="center"/>
          </w:tcPr>
          <w:p>
            <w:pPr>
              <w:spacing w:after="20" w:before="20" w:line="240" w:lineRule="auto"/>
            </w:pPr>
            <w:r/>
            <w:r>
              <w:rPr>
                <w:rFonts w:ascii="Aptos" w:hAnsi="Aptos" w:eastAsia="Aptos"/>
                <w:b w:val="0"/>
                <w:sz w:val="14"/>
              </w:rPr>
              <w:t>OpenSearch date discovery, normalization, article facts, dedupe, labels, pending labels and checkpoints.</w:t>
            </w:r>
          </w:p>
        </w:tc>
      </w:tr>
      <w:tr>
        <w:trPr>
          <w:cantSplit/>
        </w:trPr>
        <w:tc>
          <w:tcPr>
            <w:tcW w:type="dxa" w:w="3816"/>
            <w:vAlign w:val="center"/>
            <w:shd w:fill="F5F8FB"/>
          </w:tcPr>
          <w:p>
            <w:pPr>
              <w:spacing w:after="20" w:before="20" w:line="240" w:lineRule="auto"/>
            </w:pPr>
            <w:r/>
            <w:r>
              <w:rPr>
                <w:rFonts w:ascii="Aptos" w:hAnsi="Aptos" w:eastAsia="Aptos"/>
                <w:b w:val="0"/>
                <w:sz w:val="14"/>
              </w:rPr>
              <w:t>scripts/lib/news_store.py</w:t>
            </w:r>
          </w:p>
        </w:tc>
        <w:tc>
          <w:tcPr>
            <w:tcW w:type="dxa" w:w="6408"/>
            <w:vAlign w:val="center"/>
            <w:shd w:fill="F5F8FB"/>
          </w:tcPr>
          <w:p>
            <w:pPr>
              <w:spacing w:after="20" w:before="20" w:line="240" w:lineRule="auto"/>
            </w:pPr>
            <w:r/>
            <w:r>
              <w:rPr>
                <w:rFonts w:ascii="Aptos" w:hAnsi="Aptos" w:eastAsia="Aptos"/>
                <w:b w:val="0"/>
                <w:sz w:val="14"/>
              </w:rPr>
              <w:t>DuckDB schemas, transaction/upsert helpers, run logging and process lock.</w:t>
            </w:r>
          </w:p>
        </w:tc>
      </w:tr>
      <w:tr>
        <w:trPr>
          <w:cantSplit/>
        </w:trPr>
        <w:tc>
          <w:tcPr>
            <w:tcW w:type="dxa" w:w="3816"/>
            <w:vAlign w:val="center"/>
          </w:tcPr>
          <w:p>
            <w:pPr>
              <w:spacing w:after="20" w:before="20" w:line="240" w:lineRule="auto"/>
            </w:pPr>
            <w:r/>
            <w:r>
              <w:rPr>
                <w:rFonts w:ascii="Aptos" w:hAnsi="Aptos" w:eastAsia="Aptos"/>
                <w:b w:val="0"/>
                <w:sz w:val="14"/>
              </w:rPr>
              <w:t>scripts/lib/news_cluster.py</w:t>
            </w:r>
          </w:p>
        </w:tc>
        <w:tc>
          <w:tcPr>
            <w:tcW w:type="dxa" w:w="6408"/>
            <w:vAlign w:val="center"/>
          </w:tcPr>
          <w:p>
            <w:pPr>
              <w:spacing w:after="20" w:before="20" w:line="240" w:lineRule="auto"/>
            </w:pPr>
            <w:r/>
            <w:r>
              <w:rPr>
                <w:rFonts w:ascii="Aptos" w:hAnsi="Aptos" w:eastAsia="Aptos"/>
                <w:b w:val="0"/>
                <w:sz w:val="14"/>
              </w:rPr>
              <w:t>Cosine centroid online event clustering, deterministic IDs, cluster statistics and location consensus.</w:t>
            </w:r>
          </w:p>
        </w:tc>
      </w:tr>
      <w:tr>
        <w:trPr>
          <w:cantSplit/>
        </w:trPr>
        <w:tc>
          <w:tcPr>
            <w:tcW w:type="dxa" w:w="3816"/>
            <w:vAlign w:val="center"/>
            <w:shd w:fill="F5F8FB"/>
          </w:tcPr>
          <w:p>
            <w:pPr>
              <w:spacing w:after="20" w:before="20" w:line="240" w:lineRule="auto"/>
            </w:pPr>
            <w:r/>
            <w:r>
              <w:rPr>
                <w:rFonts w:ascii="Aptos" w:hAnsi="Aptos" w:eastAsia="Aptos"/>
                <w:b w:val="0"/>
                <w:sz w:val="14"/>
              </w:rPr>
              <w:t>scripts/lib/news_geo.py</w:t>
            </w:r>
          </w:p>
        </w:tc>
        <w:tc>
          <w:tcPr>
            <w:tcW w:type="dxa" w:w="6408"/>
            <w:vAlign w:val="center"/>
            <w:shd w:fill="F5F8FB"/>
          </w:tcPr>
          <w:p>
            <w:pPr>
              <w:spacing w:after="20" w:before="20" w:line="240" w:lineRule="auto"/>
            </w:pPr>
            <w:r/>
            <w:r>
              <w:rPr>
                <w:rFonts w:ascii="Aptos" w:hAnsi="Aptos" w:eastAsia="Aptos"/>
                <w:b w:val="0"/>
                <w:sz w:val="14"/>
              </w:rPr>
              <w:t>GDELT FIPS/ISO mapping, event/mention separation, geometry and AOI definitions.</w:t>
            </w:r>
          </w:p>
        </w:tc>
      </w:tr>
      <w:tr>
        <w:trPr>
          <w:cantSplit/>
        </w:trPr>
        <w:tc>
          <w:tcPr>
            <w:tcW w:type="dxa" w:w="3816"/>
            <w:vAlign w:val="center"/>
          </w:tcPr>
          <w:p>
            <w:pPr>
              <w:spacing w:after="20" w:before="20" w:line="240" w:lineRule="auto"/>
            </w:pPr>
            <w:r/>
            <w:r>
              <w:rPr>
                <w:rFonts w:ascii="Aptos" w:hAnsi="Aptos" w:eastAsia="Aptos"/>
                <w:b w:val="0"/>
                <w:sz w:val="14"/>
              </w:rPr>
              <w:t>scripts/lib/news_aoi.py</w:t>
            </w:r>
          </w:p>
        </w:tc>
        <w:tc>
          <w:tcPr>
            <w:tcW w:type="dxa" w:w="6408"/>
            <w:vAlign w:val="center"/>
          </w:tcPr>
          <w:p>
            <w:pPr>
              <w:spacing w:after="20" w:before="20" w:line="240" w:lineRule="auto"/>
            </w:pPr>
            <w:r/>
            <w:r>
              <w:rPr>
                <w:rFonts w:ascii="Aptos" w:hAnsi="Aptos" w:eastAsia="Aptos"/>
                <w:b w:val="0"/>
                <w:sz w:val="14"/>
              </w:rPr>
              <w:t>Article/event membership and pilot AOI family.</w:t>
            </w:r>
          </w:p>
        </w:tc>
      </w:tr>
      <w:tr>
        <w:trPr>
          <w:cantSplit/>
        </w:trPr>
        <w:tc>
          <w:tcPr>
            <w:tcW w:type="dxa" w:w="3816"/>
            <w:vAlign w:val="center"/>
            <w:shd w:fill="F5F8FB"/>
          </w:tcPr>
          <w:p>
            <w:pPr>
              <w:spacing w:after="20" w:before="20" w:line="240" w:lineRule="auto"/>
            </w:pPr>
            <w:r/>
            <w:r>
              <w:rPr>
                <w:rFonts w:ascii="Aptos" w:hAnsi="Aptos" w:eastAsia="Aptos"/>
                <w:b w:val="0"/>
                <w:sz w:val="14"/>
              </w:rPr>
              <w:t>scripts/lib/news_metrics.py</w:t>
            </w:r>
          </w:p>
        </w:tc>
        <w:tc>
          <w:tcPr>
            <w:tcW w:type="dxa" w:w="6408"/>
            <w:vAlign w:val="center"/>
            <w:shd w:fill="F5F8FB"/>
          </w:tcPr>
          <w:p>
            <w:pPr>
              <w:spacing w:after="20" w:before="20" w:line="240" w:lineRule="auto"/>
            </w:pPr>
            <w:r/>
            <w:r>
              <w:rPr>
                <w:rFonts w:ascii="Aptos" w:hAnsi="Aptos" w:eastAsia="Aptos"/>
                <w:b w:val="0"/>
                <w:sz w:val="14"/>
              </w:rPr>
              <w:t>AOI taxonomy node panels, exposure, NB baseline, support gates, FDR, alerts, coverage and metric definitions.</w:t>
            </w:r>
          </w:p>
        </w:tc>
      </w:tr>
      <w:tr>
        <w:trPr>
          <w:cantSplit/>
        </w:trPr>
        <w:tc>
          <w:tcPr>
            <w:tcW w:type="dxa" w:w="3816"/>
            <w:vAlign w:val="center"/>
          </w:tcPr>
          <w:p>
            <w:pPr>
              <w:spacing w:after="20" w:before="20" w:line="240" w:lineRule="auto"/>
            </w:pPr>
            <w:r/>
            <w:r>
              <w:rPr>
                <w:rFonts w:ascii="Aptos" w:hAnsi="Aptos" w:eastAsia="Aptos"/>
                <w:b w:val="0"/>
                <w:sz w:val="14"/>
              </w:rPr>
              <w:t>scripts/lib/stats_v2.py</w:t>
            </w:r>
          </w:p>
        </w:tc>
        <w:tc>
          <w:tcPr>
            <w:tcW w:type="dxa" w:w="6408"/>
            <w:vAlign w:val="center"/>
          </w:tcPr>
          <w:p>
            <w:pPr>
              <w:spacing w:after="20" w:before="20" w:line="240" w:lineRule="auto"/>
            </w:pPr>
            <w:r/>
            <w:r>
              <w:rPr>
                <w:rFonts w:ascii="Aptos" w:hAnsi="Aptos" w:eastAsia="Aptos"/>
                <w:b w:val="0"/>
                <w:sz w:val="14"/>
              </w:rPr>
              <w:t>Shared statistical primitives: NB/Poisson fits, tails, BH, causal derivatives, burst detectors, AR(1), rank/decay routines.</w:t>
            </w:r>
          </w:p>
        </w:tc>
      </w:tr>
      <w:tr>
        <w:trPr>
          <w:cantSplit/>
        </w:trPr>
        <w:tc>
          <w:tcPr>
            <w:tcW w:type="dxa" w:w="3816"/>
            <w:vAlign w:val="center"/>
            <w:shd w:fill="F5F8FB"/>
          </w:tcPr>
          <w:p>
            <w:pPr>
              <w:spacing w:after="20" w:before="20" w:line="240" w:lineRule="auto"/>
            </w:pPr>
            <w:r/>
            <w:r>
              <w:rPr>
                <w:rFonts w:ascii="Aptos" w:hAnsi="Aptos" w:eastAsia="Aptos"/>
                <w:b w:val="0"/>
                <w:sz w:val="14"/>
              </w:rPr>
              <w:t>scripts/lib/news_events.py</w:t>
            </w:r>
          </w:p>
        </w:tc>
        <w:tc>
          <w:tcPr>
            <w:tcW w:type="dxa" w:w="6408"/>
            <w:vAlign w:val="center"/>
            <w:shd w:fill="F5F8FB"/>
          </w:tcPr>
          <w:p>
            <w:pPr>
              <w:spacing w:after="20" w:before="20" w:line="240" w:lineRule="auto"/>
            </w:pPr>
            <w:r/>
            <w:r>
              <w:rPr>
                <w:rFonts w:ascii="Aptos" w:hAnsi="Aptos" w:eastAsia="Aptos"/>
                <w:b w:val="0"/>
                <w:sz w:val="14"/>
              </w:rPr>
              <w:t>Event metrics, emerging empirical-reference tests and new-development detection.</w:t>
            </w:r>
          </w:p>
        </w:tc>
      </w:tr>
      <w:tr>
        <w:trPr>
          <w:cantSplit/>
        </w:trPr>
        <w:tc>
          <w:tcPr>
            <w:tcW w:type="dxa" w:w="3816"/>
            <w:vAlign w:val="center"/>
          </w:tcPr>
          <w:p>
            <w:pPr>
              <w:spacing w:after="20" w:before="20" w:line="240" w:lineRule="auto"/>
            </w:pPr>
            <w:r/>
            <w:r>
              <w:rPr>
                <w:rFonts w:ascii="Aptos" w:hAnsi="Aptos" w:eastAsia="Aptos"/>
                <w:b w:val="0"/>
                <w:sz w:val="14"/>
              </w:rPr>
              <w:t>scripts/lib/news_pipeline.py</w:t>
            </w:r>
          </w:p>
        </w:tc>
        <w:tc>
          <w:tcPr>
            <w:tcW w:type="dxa" w:w="6408"/>
            <w:vAlign w:val="center"/>
          </w:tcPr>
          <w:p>
            <w:pPr>
              <w:spacing w:after="20" w:before="20" w:line="240" w:lineRule="auto"/>
            </w:pPr>
            <w:r/>
            <w:r>
              <w:rPr>
                <w:rFonts w:ascii="Aptos" w:hAnsi="Aptos" w:eastAsia="Aptos"/>
                <w:b w:val="0"/>
                <w:sz w:val="14"/>
              </w:rPr>
              <w:t>Shared orchestration for range/pilot and incremental runs; recompute and alert export.</w:t>
            </w:r>
          </w:p>
        </w:tc>
      </w:tr>
      <w:tr>
        <w:trPr>
          <w:cantSplit/>
        </w:trPr>
        <w:tc>
          <w:tcPr>
            <w:tcW w:type="dxa" w:w="3816"/>
            <w:vAlign w:val="center"/>
            <w:shd w:fill="F5F8FB"/>
          </w:tcPr>
          <w:p>
            <w:pPr>
              <w:spacing w:after="20" w:before="20" w:line="240" w:lineRule="auto"/>
            </w:pPr>
            <w:r/>
            <w:r>
              <w:rPr>
                <w:rFonts w:ascii="Aptos" w:hAnsi="Aptos" w:eastAsia="Aptos"/>
                <w:b w:val="0"/>
                <w:sz w:val="14"/>
              </w:rPr>
              <w:t>UI/news.html; UI/assets/news.js</w:t>
            </w:r>
          </w:p>
        </w:tc>
        <w:tc>
          <w:tcPr>
            <w:tcW w:type="dxa" w:w="6408"/>
            <w:vAlign w:val="center"/>
            <w:shd w:fill="F5F8FB"/>
          </w:tcPr>
          <w:p>
            <w:pPr>
              <w:spacing w:after="20" w:before="20" w:line="240" w:lineRule="auto"/>
            </w:pPr>
            <w:r/>
            <w:r>
              <w:rPr>
                <w:rFonts w:ascii="Aptos" w:hAnsi="Aptos" w:eastAsia="Aptos"/>
                <w:b w:val="0"/>
                <w:sz w:val="14"/>
              </w:rPr>
              <w:t>News dashboard view and browser interactions.</w:t>
            </w:r>
          </w:p>
        </w:tc>
      </w:tr>
      <w:tr>
        <w:trPr>
          <w:cantSplit/>
        </w:trPr>
        <w:tc>
          <w:tcPr>
            <w:tcW w:type="dxa" w:w="3816"/>
            <w:vAlign w:val="center"/>
          </w:tcPr>
          <w:p>
            <w:pPr>
              <w:spacing w:after="20" w:before="20" w:line="240" w:lineRule="auto"/>
            </w:pPr>
            <w:r/>
            <w:r>
              <w:rPr>
                <w:rFonts w:ascii="Aptos" w:hAnsi="Aptos" w:eastAsia="Aptos"/>
                <w:b w:val="0"/>
                <w:sz w:val="14"/>
              </w:rPr>
              <w:t>UI/news_server.py; UI/news_api.py</w:t>
            </w:r>
          </w:p>
        </w:tc>
        <w:tc>
          <w:tcPr>
            <w:tcW w:type="dxa" w:w="6408"/>
            <w:vAlign w:val="center"/>
          </w:tcPr>
          <w:p>
            <w:pPr>
              <w:spacing w:after="20" w:before="20" w:line="240" w:lineRule="auto"/>
            </w:pPr>
            <w:r/>
            <w:r>
              <w:rPr>
                <w:rFonts w:ascii="Aptos" w:hAnsi="Aptos" w:eastAsia="Aptos"/>
                <w:b w:val="0"/>
                <w:sz w:val="14"/>
              </w:rPr>
              <w:t>Local server, read-only API, AOI/filter logic, citations and on-demand subtopic/ad-hoc computations.</w:t>
            </w:r>
          </w:p>
        </w:tc>
      </w:tr>
      <w:tr>
        <w:trPr>
          <w:cantSplit/>
        </w:trPr>
        <w:tc>
          <w:tcPr>
            <w:tcW w:type="dxa" w:w="3816"/>
            <w:vAlign w:val="center"/>
            <w:shd w:fill="F5F8FB"/>
          </w:tcPr>
          <w:p>
            <w:pPr>
              <w:spacing w:after="20" w:before="20" w:line="240" w:lineRule="auto"/>
            </w:pPr>
            <w:r/>
            <w:r>
              <w:rPr>
                <w:rFonts w:ascii="Aptos" w:hAnsi="Aptos" w:eastAsia="Aptos"/>
                <w:b w:val="0"/>
                <w:sz w:val="14"/>
              </w:rPr>
              <w:t>scripts/23_news_pilot_report.py; reports/news/pilot_report.md</w:t>
            </w:r>
          </w:p>
        </w:tc>
        <w:tc>
          <w:tcPr>
            <w:tcW w:type="dxa" w:w="6408"/>
            <w:vAlign w:val="center"/>
            <w:shd w:fill="F5F8FB"/>
          </w:tcPr>
          <w:p>
            <w:pPr>
              <w:spacing w:after="20" w:before="20" w:line="240" w:lineRule="auto"/>
            </w:pPr>
            <w:r/>
            <w:r>
              <w:rPr>
                <w:rFonts w:ascii="Aptos" w:hAnsi="Aptos" w:eastAsia="Aptos"/>
                <w:b w:val="0"/>
                <w:sz w:val="14"/>
              </w:rPr>
              <w:t>Pilot validation calculations, coverage, cluster/location samples, anti-restatement audit and alert summary.</w:t>
            </w:r>
          </w:p>
        </w:tc>
      </w:tr>
      <w:tr>
        <w:trPr>
          <w:cantSplit/>
        </w:trPr>
        <w:tc>
          <w:tcPr>
            <w:tcW w:type="dxa" w:w="3816"/>
            <w:vAlign w:val="center"/>
          </w:tcPr>
          <w:p>
            <w:pPr>
              <w:spacing w:after="20" w:before="20" w:line="240" w:lineRule="auto"/>
            </w:pPr>
            <w:r/>
            <w:r>
              <w:rPr>
                <w:rFonts w:ascii="Aptos" w:hAnsi="Aptos" w:eastAsia="Aptos"/>
                <w:b w:val="0"/>
                <w:sz w:val="14"/>
              </w:rPr>
              <w:t>scripts/tests/test_news_*.py</w:t>
            </w:r>
          </w:p>
        </w:tc>
        <w:tc>
          <w:tcPr>
            <w:tcW w:type="dxa" w:w="6408"/>
            <w:vAlign w:val="center"/>
          </w:tcPr>
          <w:p>
            <w:pPr>
              <w:spacing w:after="20" w:before="20" w:line="240" w:lineRule="auto"/>
            </w:pPr>
            <w:r/>
            <w:r>
              <w:rPr>
                <w:rFonts w:ascii="Aptos" w:hAnsi="Aptos" w:eastAsia="Aptos"/>
                <w:b w:val="0"/>
                <w:sz w:val="14"/>
              </w:rPr>
              <w:t>Offline regression suite; verified result recorded above.</w:t>
            </w:r>
          </w:p>
        </w:tc>
      </w:tr>
      <w:tr>
        <w:trPr>
          <w:cantSplit/>
        </w:trPr>
        <w:tc>
          <w:tcPr>
            <w:tcW w:type="dxa" w:w="3816"/>
            <w:vAlign w:val="center"/>
            <w:shd w:fill="F5F8FB"/>
          </w:tcPr>
          <w:p>
            <w:pPr>
              <w:spacing w:after="20" w:before="20" w:line="240" w:lineRule="auto"/>
            </w:pPr>
            <w:r/>
            <w:r>
              <w:rPr>
                <w:rFonts w:ascii="Aptos" w:hAnsi="Aptos" w:eastAsia="Aptos"/>
                <w:b w:val="0"/>
                <w:sz w:val="14"/>
              </w:rPr>
              <w:t>UI/tests/check_news_ui.py; UI/tests/check_news_filter_ui.py</w:t>
            </w:r>
          </w:p>
        </w:tc>
        <w:tc>
          <w:tcPr>
            <w:tcW w:type="dxa" w:w="6408"/>
            <w:vAlign w:val="center"/>
            <w:shd w:fill="F5F8FB"/>
          </w:tcPr>
          <w:p>
            <w:pPr>
              <w:spacing w:after="20" w:before="20" w:line="240" w:lineRule="auto"/>
            </w:pPr>
            <w:r/>
            <w:r>
              <w:rPr>
                <w:rFonts w:ascii="Aptos" w:hAnsi="Aptos" w:eastAsia="Aptos"/>
                <w:b w:val="0"/>
                <w:sz w:val="14"/>
              </w:rPr>
              <w:t>Browser checks against the real pilot DB; filter/citation values checked against independent SQL.</w:t>
            </w:r>
          </w:p>
        </w:tc>
      </w:tr>
      <w:tr>
        <w:trPr>
          <w:cantSplit/>
        </w:trPr>
        <w:tc>
          <w:tcPr>
            <w:tcW w:type="dxa" w:w="3816"/>
            <w:vAlign w:val="center"/>
          </w:tcPr>
          <w:p>
            <w:pPr>
              <w:spacing w:after="20" w:before="20" w:line="240" w:lineRule="auto"/>
            </w:pPr>
            <w:r/>
            <w:r>
              <w:rPr>
                <w:rFonts w:ascii="Aptos" w:hAnsi="Aptos" w:eastAsia="Aptos"/>
                <w:b w:val="0"/>
                <w:sz w:val="14"/>
              </w:rPr>
              <w:t>data/news_pilot_india_bangladesh.duckdb</w:t>
            </w:r>
          </w:p>
        </w:tc>
        <w:tc>
          <w:tcPr>
            <w:tcW w:type="dxa" w:w="6408"/>
            <w:vAlign w:val="center"/>
          </w:tcPr>
          <w:p>
            <w:pPr>
              <w:spacing w:after="20" w:before="20" w:line="240" w:lineRule="auto"/>
            </w:pPr>
            <w:r/>
            <w:r>
              <w:rPr>
                <w:rFonts w:ascii="Aptos" w:hAnsi="Aptos" w:eastAsia="Aptos"/>
                <w:b w:val="0"/>
                <w:sz w:val="14"/>
              </w:rPr>
              <w:t>Inspected pilot results, opened read-only for this guide; no data was modified.</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E9F5F6"/>
          </w:tcPr>
          <w:p>
            <w:pPr>
              <w:spacing w:after="40"/>
            </w:pPr>
            <w:r/>
            <w:r>
              <w:rPr>
                <w:b/>
                <w:color w:val="007C91"/>
              </w:rPr>
              <w:t xml:space="preserve">Bottom line  </w:t>
            </w:r>
            <w:r>
              <w:t>The implementation is a local, statistically gated, batch news-trend and story-event engine. The strongest current evidence is a reproducible pilot and passing offline tests; the main readiness work is human validation of clusters/locations, longer baseline history, and calibration review—not a backfill or live notification rollout.</w:t>
            </w:r>
          </w:p>
        </w:tc>
      </w:tr>
    </w:tbl>
    <w:p>
      <w:pPr>
        <w:spacing w:after="2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C"/>
        <w:sz w:val="16"/>
      </w:rPr>
      <w:t xml:space="preserve">Implementation guide  •  Pilot data: 6–19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7C91"/>
      </w:rPr>
      <w:t>METRICSCRITIQUE  /  NEWS MEDIA TRENDING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B35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7C9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254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40" w:after="100"/>
      <w:ind w:left="173"/>
    </w:pPr>
    <w:rPr>
      <w:rFonts w:ascii="Consolas" w:hAnsi="Consolas" w:eastAsia="Consolas"/>
      <w:color w:val="1C40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Media Trending Engine Guide</dc:title>
  <dc:subject>Implementation-grounded architecture, formulas, pilot evidence, dashboard, and tests</dc:subject>
  <dc:creator>MetricsCritique Engineering Guide</dc:creator>
  <cp:keywords>news, trending, events, AOI, taxonomy, alerts, pilot</cp:keywords>
  <dc:description>generated by python-docx</dc:description>
  <cp:lastModifiedBy/>
  <cp:revision>1</cp:revision>
  <dcterms:created xsi:type="dcterms:W3CDTF">2013-12-23T23:15:00Z</dcterms:created>
  <dcterms:modified xsi:type="dcterms:W3CDTF">2013-12-23T23:15:00Z</dcterms:modified>
  <cp:category/>
</cp:coreProperties>
</file>