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 w:after="40"/>
      </w:pPr>
      <w:r>
        <w:rPr>
          <w:b/>
          <w:color w:val="2E74B5"/>
          <w:sz w:val="20"/>
        </w:rPr>
        <w:t>PILOT PROPOSAL</w:t>
      </w:r>
    </w:p>
    <w:p>
      <w:pPr>
        <w:pStyle w:val="Title"/>
        <w:widowControl/>
      </w:pPr>
      <w:r>
        <w:t>AI-Assisted Sales Productivity Pilot</w:t>
      </w:r>
    </w:p>
    <w:p>
      <w:pPr>
        <w:pStyle w:val="Subtitle"/>
        <w:widowControl/>
      </w:pPr>
      <w:r>
        <w:t>12-week controlled pilot for 40 sales users</w:t>
      </w:r>
    </w:p>
    <w:p>
      <w:pPr>
        <w:widowControl/>
        <w:spacing w:after="20"/>
      </w:pPr>
      <w:r>
        <w:rPr>
          <w:b/>
          <w:color w:val="17365D"/>
        </w:rPr>
        <w:t xml:space="preserve">To: </w:t>
      </w:r>
      <w:r>
        <w:t>Executive Leadership Team</w:t>
      </w:r>
    </w:p>
    <w:p>
      <w:pPr>
        <w:widowControl/>
        <w:spacing w:after="20"/>
      </w:pPr>
      <w:r>
        <w:rPr>
          <w:b/>
          <w:color w:val="17365D"/>
        </w:rPr>
        <w:t xml:space="preserve">From: </w:t>
      </w:r>
      <w:r>
        <w:t>Head of Sales Transformation</w:t>
      </w:r>
    </w:p>
    <w:p>
      <w:pPr>
        <w:widowControl/>
        <w:spacing w:after="20"/>
      </w:pPr>
      <w:r>
        <w:rPr>
          <w:b/>
          <w:color w:val="17365D"/>
        </w:rPr>
        <w:t xml:space="preserve">Technology support: </w:t>
      </w:r>
      <w:r>
        <w:t>Product / IT</w:t>
      </w:r>
    </w:p>
    <w:p>
      <w:pPr>
        <w:widowControl/>
        <w:spacing w:after="20"/>
      </w:pPr>
      <w:r>
        <w:rPr>
          <w:b/>
          <w:color w:val="17365D"/>
        </w:rPr>
        <w:t xml:space="preserve">Decision: </w:t>
      </w:r>
      <w:r>
        <w:t>Approval to initiate pilot</w:t>
      </w:r>
    </w:p>
    <w:p>
      <w:pPr>
        <w:widowControl/>
        <w:spacing w:after="20"/>
      </w:pPr>
      <w:r>
        <w:rPr>
          <w:b/>
          <w:color w:val="17365D"/>
        </w:rPr>
        <w:t xml:space="preserve">External budget: </w:t>
      </w:r>
      <w:r>
        <w:t>$120,000</w:t>
      </w:r>
    </w:p>
    <w:p>
      <w:pPr>
        <w:pStyle w:val="Callout"/>
        <w:shd w:fill="EAF1F8"/>
        <w:widowControl/>
        <w:pBdr>
          <w:left w:val="single" w:sz="18" w:space="8" w:color="2E74B5"/>
        </w:pBdr>
      </w:pPr>
      <w:r>
        <w:rPr>
          <w:b/>
          <w:color w:val="2E74B5"/>
        </w:rPr>
        <w:t xml:space="preserve">Decision requested  </w:t>
      </w:r>
      <w:r>
        <w:t>Approve a 12-week pilot of an AI-assisted sales productivity platform for 40 sales users, with a total external pilot budget of $120,000. A broader rollout to approximately 250 users would require a separate leadership decision after the pilot.</w:t>
      </w:r>
    </w:p>
    <w:p>
      <w:pPr>
        <w:pStyle w:val="Heading1"/>
        <w:widowControl/>
      </w:pPr>
      <w:r>
        <w:t>Business problem and opportunity</w:t>
      </w:r>
    </w:p>
    <w:p>
      <w:pPr>
        <w:widowControl/>
      </w:pPr>
      <w:r>
        <w:t>Sales teams spend substantial time preparing for customer engagement rather than conducting it. Account research, proposal drafting, CRM updates, and next-best-action preparation are estimated to require approximately eight hours per salesperson each week. The pilot will test whether AI assistance can reduce this administrative burden and convert recovered capacity into additional customer-facing activity and commercial outcomes.</w:t>
      </w:r>
    </w:p>
    <w:p>
      <w:pPr>
        <w:pStyle w:val="Heading1"/>
        <w:widowControl/>
      </w:pPr>
      <w:r>
        <w:t>Proposed pilot</w:t>
      </w:r>
    </w:p>
    <w:p>
      <w:pPr>
        <w:widowControl/>
      </w:pPr>
      <w:r>
        <w:t>The pilot will provide a selected cohort with AI-enabled research, drafting, CRM assistance, and next-best-action support. The Head of Sales Transformation will own delivery and performance, supported by Product / IT for technology enablement. The 12-week design provides sufficient operating time to establish usage patterns, compare baseline and pilot performance, and assess whether a larger rollout merits a separate business case.</w:t>
      </w:r>
    </w:p>
    <w:tbl>
      <w:tblPr>
        <w:tblW w:type="auto" w:w="0"/>
        <w:jc w:val="center"/>
        <w:tblLayout w:type="fixed"/>
        <w:tblLook w:firstColumn="1" w:firstRow="1" w:lastColumn="0" w:lastRow="0" w:noHBand="0" w:noVBand="1" w:val="04A0"/>
        <w:tblW w:w="9360" w:type="dxa"/>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2200"/>
        <w:gridCol w:w="7160"/>
      </w:tblGrid>
      <w:tr>
        <w:trPr>
          <w:tblHeader w:val="true"/>
        </w:trPr>
        <w:tc>
          <w:tcPr>
            <w:tcW w:type="dxa" w:w="2200"/>
            <w:shd w:fill="17365D"/>
            <w:tcMar>
              <w:top w:w="70" w:type="dxa"/>
              <w:start w:w="120" w:type="dxa"/>
              <w:bottom w:w="70" w:type="dxa"/>
              <w:end w:w="120" w:type="dxa"/>
            </w:tcMar>
          </w:tcPr>
          <w:p>
            <w:r>
              <w:rPr>
                <w:b/>
                <w:color w:val="FFFFFF"/>
                <w:sz w:val="18"/>
              </w:rPr>
              <w:t>Element</w:t>
            </w:r>
          </w:p>
        </w:tc>
        <w:tc>
          <w:tcPr>
            <w:tcW w:type="dxa" w:w="7160"/>
            <w:shd w:fill="17365D"/>
            <w:tcMar>
              <w:top w:w="70" w:type="dxa"/>
              <w:start w:w="120" w:type="dxa"/>
              <w:bottom w:w="70" w:type="dxa"/>
              <w:end w:w="120" w:type="dxa"/>
            </w:tcMar>
          </w:tcPr>
          <w:p>
            <w:r>
              <w:rPr>
                <w:b/>
                <w:color w:val="FFFFFF"/>
                <w:sz w:val="18"/>
              </w:rPr>
              <w:t>Pilot design</w:t>
            </w:r>
          </w:p>
        </w:tc>
      </w:tr>
      <w:tr>
        <w:tc>
          <w:tcPr>
            <w:tcW w:type="dxa" w:w="2200"/>
            <w:shd w:fill="FFFFFF"/>
            <w:vAlign w:val="center"/>
            <w:tcMar>
              <w:top w:w="70" w:type="dxa"/>
              <w:start w:w="120" w:type="dxa"/>
              <w:bottom w:w="70" w:type="dxa"/>
              <w:end w:w="120" w:type="dxa"/>
            </w:tcMar>
          </w:tcPr>
          <w:p>
            <w:pPr>
              <w:spacing w:after="20" w:line="240" w:lineRule="auto"/>
            </w:pPr>
            <w:r>
              <w:rPr>
                <w:sz w:val="18"/>
              </w:rPr>
              <w:t>Users</w:t>
            </w:r>
          </w:p>
        </w:tc>
        <w:tc>
          <w:tcPr>
            <w:tcW w:type="dxa" w:w="7160"/>
            <w:shd w:fill="FFFFFF"/>
            <w:vAlign w:val="center"/>
            <w:tcMar>
              <w:top w:w="70" w:type="dxa"/>
              <w:start w:w="120" w:type="dxa"/>
              <w:bottom w:w="70" w:type="dxa"/>
              <w:end w:w="120" w:type="dxa"/>
            </w:tcMar>
          </w:tcPr>
          <w:p>
            <w:pPr>
              <w:spacing w:after="20" w:line="240" w:lineRule="auto"/>
            </w:pPr>
            <w:r>
              <w:rPr>
                <w:sz w:val="18"/>
              </w:rPr>
              <w:t>40 sales users</w:t>
            </w:r>
          </w:p>
        </w:tc>
      </w:tr>
      <w:tr>
        <w:tc>
          <w:tcPr>
            <w:tcW w:type="dxa" w:w="2200"/>
            <w:shd w:fill="F2F4F7"/>
            <w:vAlign w:val="center"/>
            <w:tcMar>
              <w:top w:w="70" w:type="dxa"/>
              <w:start w:w="120" w:type="dxa"/>
              <w:bottom w:w="70" w:type="dxa"/>
              <w:end w:w="120" w:type="dxa"/>
            </w:tcMar>
          </w:tcPr>
          <w:p>
            <w:pPr>
              <w:spacing w:after="20" w:line="240" w:lineRule="auto"/>
            </w:pPr>
            <w:r>
              <w:rPr>
                <w:sz w:val="18"/>
              </w:rPr>
              <w:t>Duration</w:t>
            </w:r>
          </w:p>
        </w:tc>
        <w:tc>
          <w:tcPr>
            <w:tcW w:type="dxa" w:w="7160"/>
            <w:shd w:fill="F2F4F7"/>
            <w:vAlign w:val="center"/>
            <w:tcMar>
              <w:top w:w="70" w:type="dxa"/>
              <w:start w:w="120" w:type="dxa"/>
              <w:bottom w:w="70" w:type="dxa"/>
              <w:end w:w="120" w:type="dxa"/>
            </w:tcMar>
          </w:tcPr>
          <w:p>
            <w:pPr>
              <w:spacing w:after="20" w:line="240" w:lineRule="auto"/>
            </w:pPr>
            <w:r>
              <w:rPr>
                <w:sz w:val="18"/>
              </w:rPr>
              <w:t>12 weeks</w:t>
            </w:r>
          </w:p>
        </w:tc>
      </w:tr>
      <w:tr>
        <w:tc>
          <w:tcPr>
            <w:tcW w:type="dxa" w:w="2200"/>
            <w:shd w:fill="FFFFFF"/>
            <w:vAlign w:val="center"/>
            <w:tcMar>
              <w:top w:w="70" w:type="dxa"/>
              <w:start w:w="120" w:type="dxa"/>
              <w:bottom w:w="70" w:type="dxa"/>
              <w:end w:w="120" w:type="dxa"/>
            </w:tcMar>
          </w:tcPr>
          <w:p>
            <w:pPr>
              <w:spacing w:after="20" w:line="240" w:lineRule="auto"/>
            </w:pPr>
            <w:r>
              <w:rPr>
                <w:sz w:val="18"/>
              </w:rPr>
              <w:t>Business owner</w:t>
            </w:r>
          </w:p>
        </w:tc>
        <w:tc>
          <w:tcPr>
            <w:tcW w:type="dxa" w:w="7160"/>
            <w:shd w:fill="FFFFFF"/>
            <w:vAlign w:val="center"/>
            <w:tcMar>
              <w:top w:w="70" w:type="dxa"/>
              <w:start w:w="120" w:type="dxa"/>
              <w:bottom w:w="70" w:type="dxa"/>
              <w:end w:w="120" w:type="dxa"/>
            </w:tcMar>
          </w:tcPr>
          <w:p>
            <w:pPr>
              <w:spacing w:after="20" w:line="240" w:lineRule="auto"/>
            </w:pPr>
            <w:r>
              <w:rPr>
                <w:sz w:val="18"/>
              </w:rPr>
              <w:t>Head of Sales Transformation</w:t>
            </w:r>
          </w:p>
        </w:tc>
      </w:tr>
      <w:tr>
        <w:tc>
          <w:tcPr>
            <w:tcW w:type="dxa" w:w="2200"/>
            <w:shd w:fill="F2F4F7"/>
            <w:vAlign w:val="center"/>
            <w:tcMar>
              <w:top w:w="70" w:type="dxa"/>
              <w:start w:w="120" w:type="dxa"/>
              <w:bottom w:w="70" w:type="dxa"/>
              <w:end w:w="120" w:type="dxa"/>
            </w:tcMar>
          </w:tcPr>
          <w:p>
            <w:pPr>
              <w:spacing w:after="20" w:line="240" w:lineRule="auto"/>
            </w:pPr>
            <w:r>
              <w:rPr>
                <w:sz w:val="18"/>
              </w:rPr>
              <w:t>Technology support</w:t>
            </w:r>
          </w:p>
        </w:tc>
        <w:tc>
          <w:tcPr>
            <w:tcW w:type="dxa" w:w="7160"/>
            <w:shd w:fill="F2F4F7"/>
            <w:vAlign w:val="center"/>
            <w:tcMar>
              <w:top w:w="70" w:type="dxa"/>
              <w:start w:w="120" w:type="dxa"/>
              <w:bottom w:w="70" w:type="dxa"/>
              <w:end w:w="120" w:type="dxa"/>
            </w:tcMar>
          </w:tcPr>
          <w:p>
            <w:pPr>
              <w:spacing w:after="20" w:line="240" w:lineRule="auto"/>
            </w:pPr>
            <w:r>
              <w:rPr>
                <w:sz w:val="18"/>
              </w:rPr>
              <w:t>Product / IT</w:t>
            </w:r>
          </w:p>
        </w:tc>
      </w:tr>
      <w:tr>
        <w:tc>
          <w:tcPr>
            <w:tcW w:type="dxa" w:w="2200"/>
            <w:shd w:fill="FFFFFF"/>
            <w:vAlign w:val="center"/>
            <w:tcMar>
              <w:top w:w="70" w:type="dxa"/>
              <w:start w:w="120" w:type="dxa"/>
              <w:bottom w:w="70" w:type="dxa"/>
              <w:end w:w="120" w:type="dxa"/>
            </w:tcMar>
          </w:tcPr>
          <w:p>
            <w:pPr>
              <w:spacing w:after="20" w:line="240" w:lineRule="auto"/>
            </w:pPr>
            <w:r>
              <w:rPr>
                <w:sz w:val="18"/>
              </w:rPr>
              <w:t>Capabilities</w:t>
            </w:r>
          </w:p>
        </w:tc>
        <w:tc>
          <w:tcPr>
            <w:tcW w:type="dxa" w:w="7160"/>
            <w:shd w:fill="FFFFFF"/>
            <w:vAlign w:val="center"/>
            <w:tcMar>
              <w:top w:w="70" w:type="dxa"/>
              <w:start w:w="120" w:type="dxa"/>
              <w:bottom w:w="70" w:type="dxa"/>
              <w:end w:w="120" w:type="dxa"/>
            </w:tcMar>
          </w:tcPr>
          <w:p>
            <w:pPr>
              <w:spacing w:after="20" w:line="240" w:lineRule="auto"/>
            </w:pPr>
            <w:r>
              <w:rPr>
                <w:sz w:val="18"/>
              </w:rPr>
              <w:t>Account research; drafting; CRM assistance; next-best-action support</w:t>
            </w:r>
          </w:p>
        </w:tc>
      </w:tr>
      <w:tr>
        <w:tc>
          <w:tcPr>
            <w:tcW w:type="dxa" w:w="2200"/>
            <w:shd w:fill="F2F4F7"/>
            <w:vAlign w:val="center"/>
            <w:tcMar>
              <w:top w:w="70" w:type="dxa"/>
              <w:start w:w="120" w:type="dxa"/>
              <w:bottom w:w="70" w:type="dxa"/>
              <w:end w:w="120" w:type="dxa"/>
            </w:tcMar>
          </w:tcPr>
          <w:p>
            <w:pPr>
              <w:spacing w:after="20" w:line="240" w:lineRule="auto"/>
            </w:pPr>
            <w:r>
              <w:rPr>
                <w:sz w:val="18"/>
              </w:rPr>
              <w:t>External budget</w:t>
            </w:r>
          </w:p>
        </w:tc>
        <w:tc>
          <w:tcPr>
            <w:tcW w:type="dxa" w:w="7160"/>
            <w:shd w:fill="F2F4F7"/>
            <w:vAlign w:val="center"/>
            <w:tcMar>
              <w:top w:w="70" w:type="dxa"/>
              <w:start w:w="120" w:type="dxa"/>
              <w:bottom w:w="70" w:type="dxa"/>
              <w:end w:w="120" w:type="dxa"/>
            </w:tcMar>
          </w:tcPr>
          <w:p>
            <w:pPr>
              <w:spacing w:after="20" w:line="240" w:lineRule="auto"/>
            </w:pPr>
            <w:r>
              <w:rPr>
                <w:sz w:val="18"/>
              </w:rPr>
              <w:t>$120,000</w:t>
            </w:r>
          </w:p>
        </w:tc>
      </w:tr>
    </w:tbl>
    <w:p>
      <w:pPr>
        <w:widowControl/>
        <w:spacing w:after="0"/>
      </w:pPr>
    </w:p>
    <w:p>
      <w:pPr>
        <w:pStyle w:val="Heading1"/>
        <w:widowControl/>
      </w:pPr>
      <w:r>
        <w:t>Scope</w:t>
      </w:r>
    </w:p>
    <w:p>
      <w:pPr>
        <w:pStyle w:val="ListBullet"/>
        <w:widowControl/>
      </w:pPr>
      <w:r>
        <w:t>Configure and deploy the platform for the 40-user cohort.</w:t>
      </w:r>
    </w:p>
    <w:p>
      <w:pPr>
        <w:pStyle w:val="ListBullet"/>
        <w:widowControl/>
      </w:pPr>
      <w:r>
        <w:t>Establish baseline measures for preparation time, customer-facing activity, proposal quality, usage, and pipeline generation.</w:t>
      </w:r>
    </w:p>
    <w:p>
      <w:pPr>
        <w:pStyle w:val="ListBullet"/>
        <w:widowControl/>
      </w:pPr>
      <w:r>
        <w:t>Provide onboarding and operating support through Sales Transformation, Product, and IT.</w:t>
      </w:r>
    </w:p>
    <w:p>
      <w:pPr>
        <w:pStyle w:val="ListBullet"/>
        <w:widowControl/>
      </w:pPr>
      <w:r>
        <w:t>Measure pilot outcomes and prepare a separate scale recommendation for leadership.</w:t>
      </w:r>
    </w:p>
    <w:p>
      <w:pPr>
        <w:widowControl/>
      </w:pPr>
      <w:r>
        <w:br w:type="page"/>
      </w:r>
    </w:p>
    <w:p>
      <w:pPr>
        <w:pStyle w:val="Heading1"/>
        <w:widowControl/>
      </w:pPr>
      <w:r>
        <w:t>Success measures and evaluation</w:t>
      </w:r>
    </w:p>
    <w:p>
      <w:pPr>
        <w:widowControl/>
      </w:pPr>
      <w:r>
        <w:t>The pilot will be considered successful if it demonstrates sustained adoption, measurable productivity improvement, higher customer-facing activity, maintained proposal quality, and observable incremental pipeline generation.</w:t>
      </w:r>
    </w:p>
    <w:tbl>
      <w:tblPr>
        <w:tblW w:type="auto" w:w="0"/>
        <w:jc w:val="center"/>
        <w:tblLayout w:type="fixed"/>
        <w:tblLook w:firstColumn="1" w:firstRow="1" w:lastColumn="0" w:lastRow="0" w:noHBand="0" w:noVBand="1" w:val="04A0"/>
        <w:tblW w:w="9360" w:type="dxa"/>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4300"/>
        <w:gridCol w:w="5060"/>
      </w:tblGrid>
      <w:tr>
        <w:trPr>
          <w:tblHeader w:val="true"/>
        </w:trPr>
        <w:tc>
          <w:tcPr>
            <w:tcW w:type="dxa" w:w="4300"/>
            <w:shd w:fill="17365D"/>
            <w:tcMar>
              <w:top w:w="70" w:type="dxa"/>
              <w:start w:w="120" w:type="dxa"/>
              <w:bottom w:w="70" w:type="dxa"/>
              <w:end w:w="120" w:type="dxa"/>
            </w:tcMar>
          </w:tcPr>
          <w:p>
            <w:r>
              <w:rPr>
                <w:b/>
                <w:color w:val="FFFFFF"/>
                <w:sz w:val="18"/>
              </w:rPr>
              <w:t>Measure</w:t>
            </w:r>
          </w:p>
        </w:tc>
        <w:tc>
          <w:tcPr>
            <w:tcW w:type="dxa" w:w="5060"/>
            <w:shd w:fill="17365D"/>
            <w:tcMar>
              <w:top w:w="70" w:type="dxa"/>
              <w:start w:w="120" w:type="dxa"/>
              <w:bottom w:w="70" w:type="dxa"/>
              <w:end w:w="120" w:type="dxa"/>
            </w:tcMar>
          </w:tcPr>
          <w:p>
            <w:r>
              <w:rPr>
                <w:b/>
                <w:color w:val="FFFFFF"/>
                <w:sz w:val="18"/>
              </w:rPr>
              <w:t>Pilot threshold</w:t>
            </w:r>
          </w:p>
        </w:tc>
      </w:tr>
      <w:tr>
        <w:tc>
          <w:tcPr>
            <w:tcW w:type="dxa" w:w="4300"/>
            <w:shd w:fill="FFFFFF"/>
            <w:vAlign w:val="center"/>
            <w:tcMar>
              <w:top w:w="70" w:type="dxa"/>
              <w:start w:w="120" w:type="dxa"/>
              <w:bottom w:w="70" w:type="dxa"/>
              <w:end w:w="120" w:type="dxa"/>
            </w:tcMar>
          </w:tcPr>
          <w:p>
            <w:pPr>
              <w:spacing w:after="20" w:line="240" w:lineRule="auto"/>
            </w:pPr>
            <w:r>
              <w:rPr>
                <w:sz w:val="18"/>
              </w:rPr>
              <w:t>Weekly active usage</w:t>
            </w:r>
          </w:p>
        </w:tc>
        <w:tc>
          <w:tcPr>
            <w:tcW w:type="dxa" w:w="5060"/>
            <w:shd w:fill="FFFFFF"/>
            <w:vAlign w:val="center"/>
            <w:tcMar>
              <w:top w:w="70" w:type="dxa"/>
              <w:start w:w="120" w:type="dxa"/>
              <w:bottom w:w="70" w:type="dxa"/>
              <w:end w:w="120" w:type="dxa"/>
            </w:tcMar>
          </w:tcPr>
          <w:p>
            <w:pPr>
              <w:spacing w:after="20" w:line="240" w:lineRule="auto"/>
            </w:pPr>
            <w:r>
              <w:rPr>
                <w:sz w:val="18"/>
              </w:rPr>
              <w:t>At least 60%</w:t>
            </w:r>
          </w:p>
        </w:tc>
      </w:tr>
      <w:tr>
        <w:tc>
          <w:tcPr>
            <w:tcW w:type="dxa" w:w="4300"/>
            <w:shd w:fill="F2F4F7"/>
            <w:vAlign w:val="center"/>
            <w:tcMar>
              <w:top w:w="70" w:type="dxa"/>
              <w:start w:w="120" w:type="dxa"/>
              <w:bottom w:w="70" w:type="dxa"/>
              <w:end w:w="120" w:type="dxa"/>
            </w:tcMar>
          </w:tcPr>
          <w:p>
            <w:pPr>
              <w:spacing w:after="20" w:line="240" w:lineRule="auto"/>
            </w:pPr>
            <w:r>
              <w:rPr>
                <w:sz w:val="18"/>
              </w:rPr>
              <w:t>Preparation/admin time</w:t>
            </w:r>
          </w:p>
        </w:tc>
        <w:tc>
          <w:tcPr>
            <w:tcW w:type="dxa" w:w="5060"/>
            <w:shd w:fill="F2F4F7"/>
            <w:vAlign w:val="center"/>
            <w:tcMar>
              <w:top w:w="70" w:type="dxa"/>
              <w:start w:w="120" w:type="dxa"/>
              <w:bottom w:w="70" w:type="dxa"/>
              <w:end w:w="120" w:type="dxa"/>
            </w:tcMar>
          </w:tcPr>
          <w:p>
            <w:pPr>
              <w:spacing w:after="20" w:line="240" w:lineRule="auto"/>
            </w:pPr>
            <w:r>
              <w:rPr>
                <w:sz w:val="18"/>
              </w:rPr>
              <w:t>At least 25% reduction</w:t>
            </w:r>
          </w:p>
        </w:tc>
      </w:tr>
      <w:tr>
        <w:tc>
          <w:tcPr>
            <w:tcW w:type="dxa" w:w="4300"/>
            <w:shd w:fill="FFFFFF"/>
            <w:vAlign w:val="center"/>
            <w:tcMar>
              <w:top w:w="70" w:type="dxa"/>
              <w:start w:w="120" w:type="dxa"/>
              <w:bottom w:w="70" w:type="dxa"/>
              <w:end w:w="120" w:type="dxa"/>
            </w:tcMar>
          </w:tcPr>
          <w:p>
            <w:pPr>
              <w:spacing w:after="20" w:line="240" w:lineRule="auto"/>
            </w:pPr>
            <w:r>
              <w:rPr>
                <w:sz w:val="18"/>
              </w:rPr>
              <w:t>Customer-facing activity</w:t>
            </w:r>
          </w:p>
        </w:tc>
        <w:tc>
          <w:tcPr>
            <w:tcW w:type="dxa" w:w="5060"/>
            <w:shd w:fill="FFFFFF"/>
            <w:vAlign w:val="center"/>
            <w:tcMar>
              <w:top w:w="70" w:type="dxa"/>
              <w:start w:w="120" w:type="dxa"/>
              <w:bottom w:w="70" w:type="dxa"/>
              <w:end w:w="120" w:type="dxa"/>
            </w:tcMar>
          </w:tcPr>
          <w:p>
            <w:pPr>
              <w:spacing w:after="20" w:line="240" w:lineRule="auto"/>
            </w:pPr>
            <w:r>
              <w:rPr>
                <w:sz w:val="18"/>
              </w:rPr>
              <w:t>At least 10% increase</w:t>
            </w:r>
          </w:p>
        </w:tc>
      </w:tr>
      <w:tr>
        <w:tc>
          <w:tcPr>
            <w:tcW w:type="dxa" w:w="4300"/>
            <w:shd w:fill="F2F4F7"/>
            <w:vAlign w:val="center"/>
            <w:tcMar>
              <w:top w:w="70" w:type="dxa"/>
              <w:start w:w="120" w:type="dxa"/>
              <w:bottom w:w="70" w:type="dxa"/>
              <w:end w:w="120" w:type="dxa"/>
            </w:tcMar>
          </w:tcPr>
          <w:p>
            <w:pPr>
              <w:spacing w:after="20" w:line="240" w:lineRule="auto"/>
            </w:pPr>
            <w:r>
              <w:rPr>
                <w:sz w:val="18"/>
              </w:rPr>
              <w:t>Proposal quality</w:t>
            </w:r>
          </w:p>
        </w:tc>
        <w:tc>
          <w:tcPr>
            <w:tcW w:type="dxa" w:w="5060"/>
            <w:shd w:fill="F2F4F7"/>
            <w:vAlign w:val="center"/>
            <w:tcMar>
              <w:top w:w="70" w:type="dxa"/>
              <w:start w:w="120" w:type="dxa"/>
              <w:bottom w:w="70" w:type="dxa"/>
              <w:end w:w="120" w:type="dxa"/>
            </w:tcMar>
          </w:tcPr>
          <w:p>
            <w:pPr>
              <w:spacing w:after="20" w:line="240" w:lineRule="auto"/>
            </w:pPr>
            <w:r>
              <w:rPr>
                <w:sz w:val="18"/>
              </w:rPr>
              <w:t>No material deterioration</w:t>
            </w:r>
          </w:p>
        </w:tc>
      </w:tr>
      <w:tr>
        <w:tc>
          <w:tcPr>
            <w:tcW w:type="dxa" w:w="4300"/>
            <w:shd w:fill="FFFFFF"/>
            <w:vAlign w:val="center"/>
            <w:tcMar>
              <w:top w:w="70" w:type="dxa"/>
              <w:start w:w="120" w:type="dxa"/>
              <w:bottom w:w="70" w:type="dxa"/>
              <w:end w:w="120" w:type="dxa"/>
            </w:tcMar>
          </w:tcPr>
          <w:p>
            <w:pPr>
              <w:spacing w:after="20" w:line="240" w:lineRule="auto"/>
            </w:pPr>
            <w:r>
              <w:rPr>
                <w:sz w:val="18"/>
              </w:rPr>
              <w:t>Commercial signal</w:t>
            </w:r>
          </w:p>
        </w:tc>
        <w:tc>
          <w:tcPr>
            <w:tcW w:type="dxa" w:w="5060"/>
            <w:shd w:fill="FFFFFF"/>
            <w:vAlign w:val="center"/>
            <w:tcMar>
              <w:top w:w="70" w:type="dxa"/>
              <w:start w:w="120" w:type="dxa"/>
              <w:bottom w:w="70" w:type="dxa"/>
              <w:end w:w="120" w:type="dxa"/>
            </w:tcMar>
          </w:tcPr>
          <w:p>
            <w:pPr>
              <w:spacing w:after="20" w:line="240" w:lineRule="auto"/>
            </w:pPr>
            <w:r>
              <w:rPr>
                <w:sz w:val="18"/>
              </w:rPr>
              <w:t>Measurable incremental pipeline generation</w:t>
            </w:r>
          </w:p>
        </w:tc>
      </w:tr>
    </w:tbl>
    <w:p>
      <w:pPr>
        <w:widowControl/>
        <w:spacing w:after="0"/>
      </w:pPr>
    </w:p>
    <w:p>
      <w:pPr>
        <w:pStyle w:val="Heading1"/>
        <w:widowControl/>
      </w:pPr>
      <w:r>
        <w:t>Business case</w:t>
      </w:r>
    </w:p>
    <w:p>
      <w:pPr>
        <w:widowControl/>
      </w:pPr>
      <w:r>
        <w:t>The base financial case uses current administrative effort, an expected 31.25% reduction in preparation time, a loaded salesperson cost of $55 per hour, and 75% effective adoption. It also models two additional customer interactions per user per week, a 5% incremental conversion assumption, and average contribution of $12,000 per incremental deal.</w:t>
      </w:r>
    </w:p>
    <w:tbl>
      <w:tblPr>
        <w:tblW w:type="auto" w:w="0"/>
        <w:jc w:val="center"/>
        <w:tblLayout w:type="fixed"/>
        <w:tblLook w:firstColumn="1" w:firstRow="1" w:lastColumn="0" w:lastRow="0" w:noHBand="0" w:noVBand="1" w:val="04A0"/>
        <w:tblW w:w="9360" w:type="dxa"/>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5200"/>
        <w:gridCol w:w="4160"/>
      </w:tblGrid>
      <w:tr>
        <w:trPr>
          <w:tblHeader w:val="true"/>
        </w:trPr>
        <w:tc>
          <w:tcPr>
            <w:tcW w:type="dxa" w:w="5200"/>
            <w:shd w:fill="17365D"/>
            <w:tcMar>
              <w:top w:w="70" w:type="dxa"/>
              <w:start w:w="120" w:type="dxa"/>
              <w:bottom w:w="70" w:type="dxa"/>
              <w:end w:w="120" w:type="dxa"/>
            </w:tcMar>
          </w:tcPr>
          <w:p>
            <w:r>
              <w:rPr>
                <w:b/>
                <w:color w:val="FFFFFF"/>
                <w:sz w:val="18"/>
              </w:rPr>
              <w:t>Headline metric</w:t>
            </w:r>
          </w:p>
        </w:tc>
        <w:tc>
          <w:tcPr>
            <w:tcW w:type="dxa" w:w="4160"/>
            <w:shd w:fill="17365D"/>
            <w:tcMar>
              <w:top w:w="70" w:type="dxa"/>
              <w:start w:w="120" w:type="dxa"/>
              <w:bottom w:w="70" w:type="dxa"/>
              <w:end w:w="120" w:type="dxa"/>
            </w:tcMar>
          </w:tcPr>
          <w:p>
            <w:r>
              <w:rPr>
                <w:b/>
                <w:color w:val="FFFFFF"/>
                <w:sz w:val="18"/>
              </w:rPr>
              <w:t>Base case</w:t>
            </w:r>
          </w:p>
        </w:tc>
      </w:tr>
      <w:tr>
        <w:tc>
          <w:tcPr>
            <w:tcW w:type="dxa" w:w="5200"/>
            <w:shd w:fill="FFFFFF"/>
            <w:vAlign w:val="center"/>
            <w:tcMar>
              <w:top w:w="70" w:type="dxa"/>
              <w:start w:w="120" w:type="dxa"/>
              <w:bottom w:w="70" w:type="dxa"/>
              <w:end w:w="120" w:type="dxa"/>
            </w:tcMar>
          </w:tcPr>
          <w:p>
            <w:pPr>
              <w:spacing w:after="20" w:line="240" w:lineRule="auto"/>
            </w:pPr>
            <w:r>
              <w:rPr>
                <w:sz w:val="18"/>
              </w:rPr>
              <w:t>Productivity benefit</w:t>
            </w:r>
          </w:p>
        </w:tc>
        <w:tc>
          <w:tcPr>
            <w:tcW w:type="dxa" w:w="4160"/>
            <w:shd w:fill="FFFFFF"/>
            <w:vAlign w:val="center"/>
            <w:tcMar>
              <w:top w:w="70" w:type="dxa"/>
              <w:start w:w="120" w:type="dxa"/>
              <w:bottom w:w="70" w:type="dxa"/>
              <w:end w:w="120" w:type="dxa"/>
            </w:tcMar>
          </w:tcPr>
          <w:p>
            <w:pPr>
              <w:spacing w:after="20" w:line="240" w:lineRule="auto"/>
            </w:pPr>
            <w:r>
              <w:rPr>
                <w:sz w:val="18"/>
              </w:rPr>
              <w:t>Approximately $66,000</w:t>
            </w:r>
          </w:p>
        </w:tc>
      </w:tr>
      <w:tr>
        <w:tc>
          <w:tcPr>
            <w:tcW w:type="dxa" w:w="5200"/>
            <w:shd w:fill="F2F4F7"/>
            <w:vAlign w:val="center"/>
            <w:tcMar>
              <w:top w:w="70" w:type="dxa"/>
              <w:start w:w="120" w:type="dxa"/>
              <w:bottom w:w="70" w:type="dxa"/>
              <w:end w:w="120" w:type="dxa"/>
            </w:tcMar>
          </w:tcPr>
          <w:p>
            <w:pPr>
              <w:spacing w:after="20" w:line="240" w:lineRule="auto"/>
            </w:pPr>
            <w:r>
              <w:rPr>
                <w:sz w:val="18"/>
              </w:rPr>
              <w:t>Incremental commercial benefit</w:t>
            </w:r>
          </w:p>
        </w:tc>
        <w:tc>
          <w:tcPr>
            <w:tcW w:type="dxa" w:w="4160"/>
            <w:shd w:fill="F2F4F7"/>
            <w:vAlign w:val="center"/>
            <w:tcMar>
              <w:top w:w="70" w:type="dxa"/>
              <w:start w:w="120" w:type="dxa"/>
              <w:bottom w:w="70" w:type="dxa"/>
              <w:end w:w="120" w:type="dxa"/>
            </w:tcMar>
          </w:tcPr>
          <w:p>
            <w:pPr>
              <w:spacing w:after="20" w:line="240" w:lineRule="auto"/>
            </w:pPr>
            <w:r>
              <w:rPr>
                <w:sz w:val="18"/>
              </w:rPr>
              <w:t>Approximately $115,200</w:t>
            </w:r>
          </w:p>
        </w:tc>
      </w:tr>
      <w:tr>
        <w:tc>
          <w:tcPr>
            <w:tcW w:type="dxa" w:w="5200"/>
            <w:shd w:fill="FFFFFF"/>
            <w:vAlign w:val="center"/>
            <w:tcMar>
              <w:top w:w="70" w:type="dxa"/>
              <w:start w:w="120" w:type="dxa"/>
              <w:bottom w:w="70" w:type="dxa"/>
              <w:end w:w="120" w:type="dxa"/>
            </w:tcMar>
          </w:tcPr>
          <w:p>
            <w:pPr>
              <w:spacing w:after="20" w:line="240" w:lineRule="auto"/>
            </w:pPr>
            <w:r>
              <w:rPr>
                <w:sz w:val="18"/>
              </w:rPr>
              <w:t>Total quantified benefit</w:t>
            </w:r>
          </w:p>
        </w:tc>
        <w:tc>
          <w:tcPr>
            <w:tcW w:type="dxa" w:w="4160"/>
            <w:shd w:fill="FFFFFF"/>
            <w:vAlign w:val="center"/>
            <w:tcMar>
              <w:top w:w="70" w:type="dxa"/>
              <w:start w:w="120" w:type="dxa"/>
              <w:bottom w:w="70" w:type="dxa"/>
              <w:end w:w="120" w:type="dxa"/>
            </w:tcMar>
          </w:tcPr>
          <w:p>
            <w:pPr>
              <w:spacing w:after="20" w:line="240" w:lineRule="auto"/>
            </w:pPr>
            <w:r>
              <w:rPr>
                <w:sz w:val="18"/>
              </w:rPr>
              <w:t>Approximately $181,200</w:t>
            </w:r>
          </w:p>
        </w:tc>
      </w:tr>
      <w:tr>
        <w:tc>
          <w:tcPr>
            <w:tcW w:type="dxa" w:w="5200"/>
            <w:shd w:fill="F2F4F7"/>
            <w:vAlign w:val="center"/>
            <w:tcMar>
              <w:top w:w="70" w:type="dxa"/>
              <w:start w:w="120" w:type="dxa"/>
              <w:bottom w:w="70" w:type="dxa"/>
              <w:end w:w="120" w:type="dxa"/>
            </w:tcMar>
          </w:tcPr>
          <w:p>
            <w:pPr>
              <w:spacing w:after="20" w:line="240" w:lineRule="auto"/>
            </w:pPr>
            <w:r>
              <w:rPr>
                <w:sz w:val="18"/>
              </w:rPr>
              <w:t>External pilot cost</w:t>
            </w:r>
          </w:p>
        </w:tc>
        <w:tc>
          <w:tcPr>
            <w:tcW w:type="dxa" w:w="4160"/>
            <w:shd w:fill="F2F4F7"/>
            <w:vAlign w:val="center"/>
            <w:tcMar>
              <w:top w:w="70" w:type="dxa"/>
              <w:start w:w="120" w:type="dxa"/>
              <w:bottom w:w="70" w:type="dxa"/>
              <w:end w:w="120" w:type="dxa"/>
            </w:tcMar>
          </w:tcPr>
          <w:p>
            <w:pPr>
              <w:spacing w:after="20" w:line="240" w:lineRule="auto"/>
            </w:pPr>
            <w:r>
              <w:rPr>
                <w:sz w:val="18"/>
              </w:rPr>
              <w:t>$120,000</w:t>
            </w:r>
          </w:p>
        </w:tc>
      </w:tr>
      <w:tr>
        <w:tc>
          <w:tcPr>
            <w:tcW w:type="dxa" w:w="5200"/>
            <w:shd w:fill="FFFFFF"/>
            <w:vAlign w:val="center"/>
            <w:tcMar>
              <w:top w:w="70" w:type="dxa"/>
              <w:start w:w="120" w:type="dxa"/>
              <w:bottom w:w="70" w:type="dxa"/>
              <w:end w:w="120" w:type="dxa"/>
            </w:tcMar>
          </w:tcPr>
          <w:p>
            <w:pPr>
              <w:spacing w:after="20" w:line="240" w:lineRule="auto"/>
            </w:pPr>
            <w:r>
              <w:rPr>
                <w:sz w:val="18"/>
              </w:rPr>
              <w:t>Net quantified benefit</w:t>
            </w:r>
          </w:p>
        </w:tc>
        <w:tc>
          <w:tcPr>
            <w:tcW w:type="dxa" w:w="4160"/>
            <w:shd w:fill="FFFFFF"/>
            <w:vAlign w:val="center"/>
            <w:tcMar>
              <w:top w:w="70" w:type="dxa"/>
              <w:start w:w="120" w:type="dxa"/>
              <w:bottom w:w="70" w:type="dxa"/>
              <w:end w:w="120" w:type="dxa"/>
            </w:tcMar>
          </w:tcPr>
          <w:p>
            <w:pPr>
              <w:spacing w:after="20" w:line="240" w:lineRule="auto"/>
            </w:pPr>
            <w:r>
              <w:rPr>
                <w:sz w:val="18"/>
              </w:rPr>
              <w:t>Approximately $61,200</w:t>
            </w:r>
          </w:p>
        </w:tc>
      </w:tr>
      <w:tr>
        <w:tc>
          <w:tcPr>
            <w:tcW w:type="dxa" w:w="5200"/>
            <w:shd w:fill="F2F4F7"/>
            <w:vAlign w:val="center"/>
            <w:tcMar>
              <w:top w:w="70" w:type="dxa"/>
              <w:start w:w="120" w:type="dxa"/>
              <w:bottom w:w="70" w:type="dxa"/>
              <w:end w:w="120" w:type="dxa"/>
            </w:tcMar>
          </w:tcPr>
          <w:p>
            <w:pPr>
              <w:spacing w:after="20" w:line="240" w:lineRule="auto"/>
            </w:pPr>
            <w:r>
              <w:rPr>
                <w:sz w:val="18"/>
              </w:rPr>
              <w:t>ROI</w:t>
            </w:r>
          </w:p>
        </w:tc>
        <w:tc>
          <w:tcPr>
            <w:tcW w:type="dxa" w:w="4160"/>
            <w:shd w:fill="F2F4F7"/>
            <w:vAlign w:val="center"/>
            <w:tcMar>
              <w:top w:w="70" w:type="dxa"/>
              <w:start w:w="120" w:type="dxa"/>
              <w:bottom w:w="70" w:type="dxa"/>
              <w:end w:w="120" w:type="dxa"/>
            </w:tcMar>
          </w:tcPr>
          <w:p>
            <w:pPr>
              <w:spacing w:after="20" w:line="240" w:lineRule="auto"/>
            </w:pPr>
            <w:r>
              <w:rPr>
                <w:sz w:val="18"/>
              </w:rPr>
              <w:t>Approximately 51%</w:t>
            </w:r>
          </w:p>
        </w:tc>
      </w:tr>
      <w:tr>
        <w:tc>
          <w:tcPr>
            <w:tcW w:type="dxa" w:w="5200"/>
            <w:shd w:fill="FFFFFF"/>
            <w:vAlign w:val="center"/>
            <w:tcMar>
              <w:top w:w="70" w:type="dxa"/>
              <w:start w:w="120" w:type="dxa"/>
              <w:bottom w:w="70" w:type="dxa"/>
              <w:end w:w="120" w:type="dxa"/>
            </w:tcMar>
          </w:tcPr>
          <w:p>
            <w:pPr>
              <w:spacing w:after="20" w:line="240" w:lineRule="auto"/>
            </w:pPr>
            <w:r>
              <w:rPr>
                <w:sz w:val="18"/>
              </w:rPr>
              <w:t>Stated payback</w:t>
            </w:r>
          </w:p>
        </w:tc>
        <w:tc>
          <w:tcPr>
            <w:tcW w:type="dxa" w:w="4160"/>
            <w:shd w:fill="FFFFFF"/>
            <w:vAlign w:val="center"/>
            <w:tcMar>
              <w:top w:w="70" w:type="dxa"/>
              <w:start w:w="120" w:type="dxa"/>
              <w:bottom w:w="70" w:type="dxa"/>
              <w:end w:w="120" w:type="dxa"/>
            </w:tcMar>
          </w:tcPr>
          <w:p>
            <w:pPr>
              <w:spacing w:after="20" w:line="240" w:lineRule="auto"/>
            </w:pPr>
            <w:r>
              <w:rPr>
                <w:sz w:val="18"/>
              </w:rPr>
              <w:t>8 months</w:t>
            </w:r>
          </w:p>
        </w:tc>
      </w:tr>
    </w:tbl>
    <w:p>
      <w:pPr>
        <w:widowControl/>
        <w:spacing w:after="0"/>
      </w:pPr>
    </w:p>
    <w:p>
      <w:pPr>
        <w:widowControl/>
      </w:pPr>
      <w:r>
        <w:t>The quantified case is intended to support a bounded pilot decision and will be refreshed using observed adoption, time reduction, activity, and conversion performance. Sales enablement and internal IT support will be delivered through existing team capacity and are treated as business-as-usual support outside the external pilot budget.</w:t>
      </w:r>
    </w:p>
    <w:p>
      <w:pPr>
        <w:pStyle w:val="Heading1"/>
        <w:widowControl/>
      </w:pPr>
      <w:r>
        <w:t>Key assumptions</w:t>
      </w:r>
    </w:p>
    <w:p>
      <w:pPr>
        <w:pStyle w:val="ListBullet"/>
        <w:widowControl/>
      </w:pPr>
      <w:r>
        <w:t>Current administrative and preparation workload averages approximately eight hours per user per week.</w:t>
      </w:r>
    </w:p>
    <w:p>
      <w:pPr>
        <w:pStyle w:val="ListBullet"/>
        <w:widowControl/>
      </w:pPr>
      <w:r>
        <w:t>AI assistance reduces that workload by 31.25%, or 2.5 hours per user per week.</w:t>
      </w:r>
    </w:p>
    <w:p>
      <w:pPr>
        <w:pStyle w:val="ListBullet"/>
        <w:widowControl/>
      </w:pPr>
      <w:r>
        <w:t>Effective adoption in the financial base case is 75%.</w:t>
      </w:r>
    </w:p>
    <w:p>
      <w:pPr>
        <w:pStyle w:val="ListBullet"/>
        <w:widowControl/>
      </w:pPr>
      <w:r>
        <w:t>Recovered capacity supports two additional customer interactions per user per week.</w:t>
      </w:r>
    </w:p>
    <w:p>
      <w:pPr>
        <w:pStyle w:val="ListBullet"/>
        <w:widowControl/>
      </w:pPr>
      <w:r>
        <w:t>Incremental conversion is modeled at 5%, with average contribution of $12,000 per incremental deal.</w:t>
      </w:r>
    </w:p>
    <w:p>
      <w:pPr>
        <w:pStyle w:val="ListBullet"/>
        <w:widowControl/>
      </w:pPr>
      <w:r>
        <w:t>Existing Sales Enablement and Product / IT capacity can support the pilot as part of BAU activity.</w:t>
      </w:r>
    </w:p>
    <w:p>
      <w:pPr>
        <w:pStyle w:val="Heading1"/>
        <w:widowControl/>
      </w:pPr>
      <w:r>
        <w:t>Dependencies</w:t>
      </w:r>
    </w:p>
    <w:p>
      <w:pPr>
        <w:pStyle w:val="ListBullet"/>
        <w:widowControl/>
      </w:pPr>
      <w:r>
        <w:t>Timely platform configuration and user access for the selected cohort.</w:t>
      </w:r>
    </w:p>
    <w:p>
      <w:pPr>
        <w:pStyle w:val="ListBullet"/>
        <w:widowControl/>
      </w:pPr>
      <w:r>
        <w:t>Product / IT support for integration, access, and operating issues.</w:t>
      </w:r>
    </w:p>
    <w:p>
      <w:pPr>
        <w:pStyle w:val="ListBullet"/>
        <w:widowControl/>
      </w:pPr>
      <w:r>
        <w:t>Sales manager sponsorship and participation by selected users.</w:t>
      </w:r>
    </w:p>
    <w:p>
      <w:pPr>
        <w:pStyle w:val="ListBullet"/>
        <w:widowControl/>
      </w:pPr>
      <w:r>
        <w:t>Reliable baseline and pilot-period measurement across activity, time, quality, and pipeline indicators.</w:t>
      </w:r>
    </w:p>
    <w:p>
      <w:pPr>
        <w:widowControl/>
      </w:pPr>
      <w:r>
        <w:br w:type="page"/>
      </w:r>
    </w:p>
    <w:p>
      <w:pPr>
        <w:pStyle w:val="Heading1"/>
        <w:widowControl/>
      </w:pPr>
      <w:r>
        <w:t>Risks and management approach</w:t>
      </w:r>
    </w:p>
    <w:tbl>
      <w:tblPr>
        <w:tblW w:type="auto" w:w="0"/>
        <w:jc w:val="center"/>
        <w:tblLayout w:type="fixed"/>
        <w:tblLook w:firstColumn="1" w:firstRow="1" w:lastColumn="0" w:lastRow="0" w:noHBand="0" w:noVBand="1" w:val="04A0"/>
        <w:tblW w:w="9360" w:type="dxa"/>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3000"/>
        <w:gridCol w:w="6360"/>
      </w:tblGrid>
      <w:tr>
        <w:trPr>
          <w:tblHeader w:val="true"/>
        </w:trPr>
        <w:tc>
          <w:tcPr>
            <w:tcW w:type="dxa" w:w="3000"/>
            <w:shd w:fill="17365D"/>
            <w:tcMar>
              <w:top w:w="70" w:type="dxa"/>
              <w:start w:w="120" w:type="dxa"/>
              <w:bottom w:w="70" w:type="dxa"/>
              <w:end w:w="120" w:type="dxa"/>
            </w:tcMar>
          </w:tcPr>
          <w:p>
            <w:r>
              <w:rPr>
                <w:b/>
                <w:color w:val="FFFFFF"/>
                <w:sz w:val="17"/>
              </w:rPr>
              <w:t>Risk</w:t>
            </w:r>
          </w:p>
        </w:tc>
        <w:tc>
          <w:tcPr>
            <w:tcW w:type="dxa" w:w="6360"/>
            <w:shd w:fill="17365D"/>
            <w:tcMar>
              <w:top w:w="70" w:type="dxa"/>
              <w:start w:w="120" w:type="dxa"/>
              <w:bottom w:w="70" w:type="dxa"/>
              <w:end w:w="120" w:type="dxa"/>
            </w:tcMar>
          </w:tcPr>
          <w:p>
            <w:r>
              <w:rPr>
                <w:b/>
                <w:color w:val="FFFFFF"/>
                <w:sz w:val="17"/>
              </w:rPr>
              <w:t>Management approach</w:t>
            </w:r>
          </w:p>
        </w:tc>
      </w:tr>
      <w:tr>
        <w:tc>
          <w:tcPr>
            <w:tcW w:type="dxa" w:w="3000"/>
            <w:shd w:fill="FFFFFF"/>
            <w:vAlign w:val="center"/>
            <w:tcMar>
              <w:top w:w="70" w:type="dxa"/>
              <w:start w:w="120" w:type="dxa"/>
              <w:bottom w:w="70" w:type="dxa"/>
              <w:end w:w="120" w:type="dxa"/>
            </w:tcMar>
          </w:tcPr>
          <w:p>
            <w:pPr>
              <w:spacing w:after="20" w:line="240" w:lineRule="auto"/>
            </w:pPr>
            <w:r>
              <w:rPr>
                <w:sz w:val="17"/>
              </w:rPr>
              <w:t>Adoption varies across the cohort</w:t>
            </w:r>
          </w:p>
        </w:tc>
        <w:tc>
          <w:tcPr>
            <w:tcW w:type="dxa" w:w="6360"/>
            <w:shd w:fill="FFFFFF"/>
            <w:vAlign w:val="center"/>
            <w:tcMar>
              <w:top w:w="70" w:type="dxa"/>
              <w:start w:w="120" w:type="dxa"/>
              <w:bottom w:w="70" w:type="dxa"/>
              <w:end w:w="120" w:type="dxa"/>
            </w:tcMar>
          </w:tcPr>
          <w:p>
            <w:pPr>
              <w:spacing w:after="20" w:line="240" w:lineRule="auto"/>
            </w:pPr>
            <w:r>
              <w:rPr>
                <w:sz w:val="17"/>
              </w:rPr>
              <w:t>Track weekly active usage and manager-level engagement; use targeted support during the pilot.</w:t>
            </w:r>
          </w:p>
        </w:tc>
      </w:tr>
      <w:tr>
        <w:tc>
          <w:tcPr>
            <w:tcW w:type="dxa" w:w="3000"/>
            <w:shd w:fill="F2F4F7"/>
            <w:vAlign w:val="center"/>
            <w:tcMar>
              <w:top w:w="70" w:type="dxa"/>
              <w:start w:w="120" w:type="dxa"/>
              <w:bottom w:w="70" w:type="dxa"/>
              <w:end w:w="120" w:type="dxa"/>
            </w:tcMar>
          </w:tcPr>
          <w:p>
            <w:pPr>
              <w:spacing w:after="20" w:line="240" w:lineRule="auto"/>
            </w:pPr>
            <w:r>
              <w:rPr>
                <w:sz w:val="17"/>
              </w:rPr>
              <w:t>Time savings do not translate into customer activity</w:t>
            </w:r>
          </w:p>
        </w:tc>
        <w:tc>
          <w:tcPr>
            <w:tcW w:type="dxa" w:w="6360"/>
            <w:shd w:fill="F2F4F7"/>
            <w:vAlign w:val="center"/>
            <w:tcMar>
              <w:top w:w="70" w:type="dxa"/>
              <w:start w:w="120" w:type="dxa"/>
              <w:bottom w:w="70" w:type="dxa"/>
              <w:end w:w="120" w:type="dxa"/>
            </w:tcMar>
          </w:tcPr>
          <w:p>
            <w:pPr>
              <w:spacing w:after="20" w:line="240" w:lineRule="auto"/>
            </w:pPr>
            <w:r>
              <w:rPr>
                <w:sz w:val="17"/>
              </w:rPr>
              <w:t>Measure both administrative time and customer-facing activity rather than relying on self-reported productivity alone.</w:t>
            </w:r>
          </w:p>
        </w:tc>
      </w:tr>
      <w:tr>
        <w:tc>
          <w:tcPr>
            <w:tcW w:type="dxa" w:w="3000"/>
            <w:shd w:fill="FFFFFF"/>
            <w:vAlign w:val="center"/>
            <w:tcMar>
              <w:top w:w="70" w:type="dxa"/>
              <w:start w:w="120" w:type="dxa"/>
              <w:bottom w:w="70" w:type="dxa"/>
              <w:end w:w="120" w:type="dxa"/>
            </w:tcMar>
          </w:tcPr>
          <w:p>
            <w:pPr>
              <w:spacing w:after="20" w:line="240" w:lineRule="auto"/>
            </w:pPr>
            <w:r>
              <w:rPr>
                <w:sz w:val="17"/>
              </w:rPr>
              <w:t>Proposal quality deteriorates</w:t>
            </w:r>
          </w:p>
        </w:tc>
        <w:tc>
          <w:tcPr>
            <w:tcW w:type="dxa" w:w="6360"/>
            <w:shd w:fill="FFFFFF"/>
            <w:vAlign w:val="center"/>
            <w:tcMar>
              <w:top w:w="70" w:type="dxa"/>
              <w:start w:w="120" w:type="dxa"/>
              <w:bottom w:w="70" w:type="dxa"/>
              <w:end w:w="120" w:type="dxa"/>
            </w:tcMar>
          </w:tcPr>
          <w:p>
            <w:pPr>
              <w:spacing w:after="20" w:line="240" w:lineRule="auto"/>
            </w:pPr>
            <w:r>
              <w:rPr>
                <w:sz w:val="17"/>
              </w:rPr>
              <w:t>Apply existing review practices and monitor for material change in quality.</w:t>
            </w:r>
          </w:p>
        </w:tc>
      </w:tr>
      <w:tr>
        <w:tc>
          <w:tcPr>
            <w:tcW w:type="dxa" w:w="3000"/>
            <w:shd w:fill="F2F4F7"/>
            <w:vAlign w:val="center"/>
            <w:tcMar>
              <w:top w:w="70" w:type="dxa"/>
              <w:start w:w="120" w:type="dxa"/>
              <w:bottom w:w="70" w:type="dxa"/>
              <w:end w:w="120" w:type="dxa"/>
            </w:tcMar>
          </w:tcPr>
          <w:p>
            <w:pPr>
              <w:spacing w:after="20" w:line="240" w:lineRule="auto"/>
            </w:pPr>
            <w:r>
              <w:rPr>
                <w:sz w:val="17"/>
              </w:rPr>
              <w:t>Commercial outcomes are not observable within 12 weeks</w:t>
            </w:r>
          </w:p>
        </w:tc>
        <w:tc>
          <w:tcPr>
            <w:tcW w:type="dxa" w:w="6360"/>
            <w:shd w:fill="F2F4F7"/>
            <w:vAlign w:val="center"/>
            <w:tcMar>
              <w:top w:w="70" w:type="dxa"/>
              <w:start w:w="120" w:type="dxa"/>
              <w:bottom w:w="70" w:type="dxa"/>
              <w:end w:w="120" w:type="dxa"/>
            </w:tcMar>
          </w:tcPr>
          <w:p>
            <w:pPr>
              <w:spacing w:after="20" w:line="240" w:lineRule="auto"/>
            </w:pPr>
            <w:r>
              <w:rPr>
                <w:sz w:val="17"/>
              </w:rPr>
              <w:t>Track incremental pipeline signals and leading activity indicators alongside contribution outcomes.</w:t>
            </w:r>
          </w:p>
        </w:tc>
      </w:tr>
      <w:tr>
        <w:tc>
          <w:tcPr>
            <w:tcW w:type="dxa" w:w="3000"/>
            <w:shd w:fill="FFFFFF"/>
            <w:vAlign w:val="center"/>
            <w:tcMar>
              <w:top w:w="70" w:type="dxa"/>
              <w:start w:w="120" w:type="dxa"/>
              <w:bottom w:w="70" w:type="dxa"/>
              <w:end w:w="120" w:type="dxa"/>
            </w:tcMar>
          </w:tcPr>
          <w:p>
            <w:pPr>
              <w:spacing w:after="20" w:line="240" w:lineRule="auto"/>
            </w:pPr>
            <w:r>
              <w:rPr>
                <w:sz w:val="17"/>
              </w:rPr>
              <w:t>Technology or workflow friction reduces use</w:t>
            </w:r>
          </w:p>
        </w:tc>
        <w:tc>
          <w:tcPr>
            <w:tcW w:type="dxa" w:w="6360"/>
            <w:shd w:fill="FFFFFF"/>
            <w:vAlign w:val="center"/>
            <w:tcMar>
              <w:top w:w="70" w:type="dxa"/>
              <w:start w:w="120" w:type="dxa"/>
              <w:bottom w:w="70" w:type="dxa"/>
              <w:end w:w="120" w:type="dxa"/>
            </w:tcMar>
          </w:tcPr>
          <w:p>
            <w:pPr>
              <w:spacing w:after="20" w:line="240" w:lineRule="auto"/>
            </w:pPr>
            <w:r>
              <w:rPr>
                <w:sz w:val="17"/>
              </w:rPr>
              <w:t>Use Product / IT support to resolve access, configuration, and workflow issues during the pilot.</w:t>
            </w:r>
          </w:p>
        </w:tc>
      </w:tr>
    </w:tbl>
    <w:p>
      <w:pPr>
        <w:widowControl/>
        <w:spacing w:after="0"/>
      </w:pPr>
    </w:p>
    <w:p>
      <w:pPr>
        <w:pStyle w:val="Heading1"/>
        <w:widowControl/>
      </w:pPr>
      <w:r>
        <w:t>Operating governance and ownership</w:t>
      </w:r>
    </w:p>
    <w:p>
      <w:pPr>
        <w:widowControl/>
      </w:pPr>
      <w:r>
        <w:t>The Head of Sales Transformation is accountable for pilot delivery, adoption, measurement, and the final recommendation. Product / IT will provide technology support. Sales managers will reinforce usage expectations and help interpret operational outcomes. Progress will be reviewed through a concise pilot scorecard covering usage, time reduction, customer activity, proposal quality, pipeline generation, cost, and material operating issues.</w:t>
      </w:r>
    </w:p>
    <w:p>
      <w:pPr>
        <w:pStyle w:val="Heading1"/>
        <w:widowControl/>
      </w:pPr>
      <w:r>
        <w:t>Scale / stop logic</w:t>
      </w:r>
    </w:p>
    <w:p>
      <w:pPr>
        <w:widowControl/>
      </w:pPr>
      <w:r>
        <w:t>At the end of the 12-week pilot, the team will compare actual results with the success thresholds and the financial model. Leadership will receive a separate recommendation on whether to scale, extend, redesign, or stop the initiative.</w:t>
      </w:r>
    </w:p>
    <w:tbl>
      <w:tblPr>
        <w:tblW w:type="auto" w:w="0"/>
        <w:jc w:val="center"/>
        <w:tblLayout w:type="fixed"/>
        <w:tblLook w:firstColumn="1" w:firstRow="1" w:lastColumn="0" w:lastRow="0" w:noHBand="0" w:noVBand="1" w:val="04A0"/>
        <w:tblW w:w="9360" w:type="dxa"/>
        <w:tblInd w:w="120" w:type="dxa"/>
        <w:tblBorders>
          <w:top w:val="single" w:sz="4" w:color="C9D2DC"/>
          <w:left w:val="single" w:sz="4" w:color="C9D2DC"/>
          <w:bottom w:val="single" w:sz="4" w:color="C9D2DC"/>
          <w:right w:val="single" w:sz="4" w:color="C9D2DC"/>
          <w:insideH w:val="single" w:sz="4" w:color="C9D2DC"/>
          <w:insideV w:val="single" w:sz="4" w:color="C9D2DC"/>
        </w:tblBorders>
      </w:tblPr>
      <w:tblGrid>
        <w:gridCol w:w="2200"/>
        <w:gridCol w:w="7160"/>
      </w:tblGrid>
      <w:tr>
        <w:trPr>
          <w:tblHeader w:val="true"/>
        </w:trPr>
        <w:tc>
          <w:tcPr>
            <w:tcW w:type="dxa" w:w="2200"/>
            <w:shd w:fill="17365D"/>
            <w:tcMar>
              <w:top w:w="70" w:type="dxa"/>
              <w:start w:w="120" w:type="dxa"/>
              <w:bottom w:w="70" w:type="dxa"/>
              <w:end w:w="120" w:type="dxa"/>
            </w:tcMar>
          </w:tcPr>
          <w:p>
            <w:r>
              <w:rPr>
                <w:b/>
                <w:color w:val="FFFFFF"/>
                <w:sz w:val="18"/>
              </w:rPr>
              <w:t>Outcome</w:t>
            </w:r>
          </w:p>
        </w:tc>
        <w:tc>
          <w:tcPr>
            <w:tcW w:type="dxa" w:w="7160"/>
            <w:shd w:fill="17365D"/>
            <w:tcMar>
              <w:top w:w="70" w:type="dxa"/>
              <w:start w:w="120" w:type="dxa"/>
              <w:bottom w:w="70" w:type="dxa"/>
              <w:end w:w="120" w:type="dxa"/>
            </w:tcMar>
          </w:tcPr>
          <w:p>
            <w:r>
              <w:rPr>
                <w:b/>
                <w:color w:val="FFFFFF"/>
                <w:sz w:val="18"/>
              </w:rPr>
              <w:t>Response</w:t>
            </w:r>
          </w:p>
        </w:tc>
      </w:tr>
      <w:tr>
        <w:tc>
          <w:tcPr>
            <w:tcW w:type="dxa" w:w="2200"/>
            <w:shd w:fill="FFFFFF"/>
            <w:vAlign w:val="center"/>
            <w:tcMar>
              <w:top w:w="70" w:type="dxa"/>
              <w:start w:w="120" w:type="dxa"/>
              <w:bottom w:w="70" w:type="dxa"/>
              <w:end w:w="120" w:type="dxa"/>
            </w:tcMar>
          </w:tcPr>
          <w:p>
            <w:pPr>
              <w:spacing w:after="20" w:line="240" w:lineRule="auto"/>
            </w:pPr>
            <w:r>
              <w:rPr>
                <w:sz w:val="18"/>
              </w:rPr>
              <w:t>Scale case</w:t>
            </w:r>
          </w:p>
        </w:tc>
        <w:tc>
          <w:tcPr>
            <w:tcW w:type="dxa" w:w="7160"/>
            <w:shd w:fill="FFFFFF"/>
            <w:vAlign w:val="center"/>
            <w:tcMar>
              <w:top w:w="70" w:type="dxa"/>
              <w:start w:w="120" w:type="dxa"/>
              <w:bottom w:w="70" w:type="dxa"/>
              <w:end w:w="120" w:type="dxa"/>
            </w:tcMar>
          </w:tcPr>
          <w:p>
            <w:pPr>
              <w:spacing w:after="20" w:line="240" w:lineRule="auto"/>
            </w:pPr>
            <w:r>
              <w:rPr>
                <w:sz w:val="18"/>
              </w:rPr>
              <w:t>Adoption and productivity thresholds are met; proposal quality is maintained; customer-facing activity increases; and pipeline evidence supports a credible larger-rollout case.</w:t>
            </w:r>
          </w:p>
        </w:tc>
      </w:tr>
      <w:tr>
        <w:tc>
          <w:tcPr>
            <w:tcW w:type="dxa" w:w="2200"/>
            <w:shd w:fill="F2F4F7"/>
            <w:vAlign w:val="center"/>
            <w:tcMar>
              <w:top w:w="70" w:type="dxa"/>
              <w:start w:w="120" w:type="dxa"/>
              <w:bottom w:w="70" w:type="dxa"/>
              <w:end w:w="120" w:type="dxa"/>
            </w:tcMar>
          </w:tcPr>
          <w:p>
            <w:pPr>
              <w:spacing w:after="20" w:line="240" w:lineRule="auto"/>
            </w:pPr>
            <w:r>
              <w:rPr>
                <w:sz w:val="18"/>
              </w:rPr>
              <w:t>Extend or redesign</w:t>
            </w:r>
          </w:p>
        </w:tc>
        <w:tc>
          <w:tcPr>
            <w:tcW w:type="dxa" w:w="7160"/>
            <w:shd w:fill="F2F4F7"/>
            <w:vAlign w:val="center"/>
            <w:tcMar>
              <w:top w:w="70" w:type="dxa"/>
              <w:start w:w="120" w:type="dxa"/>
              <w:bottom w:w="70" w:type="dxa"/>
              <w:end w:w="120" w:type="dxa"/>
            </w:tcMar>
          </w:tcPr>
          <w:p>
            <w:pPr>
              <w:spacing w:after="20" w:line="240" w:lineRule="auto"/>
            </w:pPr>
            <w:r>
              <w:rPr>
                <w:sz w:val="18"/>
              </w:rPr>
              <w:t>Results show useful productivity or adoption signals but commercial evidence, workflow fit, or measurement requires further validation.</w:t>
            </w:r>
          </w:p>
        </w:tc>
      </w:tr>
      <w:tr>
        <w:tc>
          <w:tcPr>
            <w:tcW w:type="dxa" w:w="2200"/>
            <w:shd w:fill="FFFFFF"/>
            <w:vAlign w:val="center"/>
            <w:tcMar>
              <w:top w:w="70" w:type="dxa"/>
              <w:start w:w="120" w:type="dxa"/>
              <w:bottom w:w="70" w:type="dxa"/>
              <w:end w:w="120" w:type="dxa"/>
            </w:tcMar>
          </w:tcPr>
          <w:p>
            <w:pPr>
              <w:spacing w:after="20" w:line="240" w:lineRule="auto"/>
            </w:pPr>
            <w:r>
              <w:rPr>
                <w:sz w:val="18"/>
              </w:rPr>
              <w:t>Stop</w:t>
            </w:r>
          </w:p>
        </w:tc>
        <w:tc>
          <w:tcPr>
            <w:tcW w:type="dxa" w:w="7160"/>
            <w:shd w:fill="FFFFFF"/>
            <w:vAlign w:val="center"/>
            <w:tcMar>
              <w:top w:w="70" w:type="dxa"/>
              <w:start w:w="120" w:type="dxa"/>
              <w:bottom w:w="70" w:type="dxa"/>
              <w:end w:w="120" w:type="dxa"/>
            </w:tcMar>
          </w:tcPr>
          <w:p>
            <w:pPr>
              <w:spacing w:after="20" w:line="240" w:lineRule="auto"/>
            </w:pPr>
            <w:r>
              <w:rPr>
                <w:sz w:val="18"/>
              </w:rPr>
              <w:t>Usage, time reduction, activity, quality, or commercial evidence is materially below threshold and does not support further investment.</w:t>
            </w:r>
          </w:p>
        </w:tc>
      </w:tr>
    </w:tbl>
    <w:p>
      <w:pPr>
        <w:widowControl/>
        <w:spacing w:after="0"/>
      </w:pPr>
    </w:p>
    <w:p>
      <w:pPr>
        <w:pStyle w:val="Heading1"/>
        <w:widowControl/>
      </w:pPr>
      <w:r>
        <w:t>Approval and next steps</w:t>
      </w:r>
    </w:p>
    <w:p>
      <w:pPr>
        <w:widowControl/>
      </w:pPr>
      <w:r>
        <w:t>Approval authorizes the Head of Sales Transformation to initiate the 40-user, 12-week pilot within the $120,000 external budget, supported by Product / IT and existing enablement capacity. It does not authorize deployment beyond the pilot cohort. Any rollout to approximately 250 users will return to leadership as a separate decision supported by measured pilot results and an updated financial case.</w:t>
      </w:r>
    </w:p>
    <w:p>
      <w:pPr>
        <w:pStyle w:val="Callout"/>
        <w:shd w:fill="EAF1F8"/>
        <w:widowControl/>
        <w:pBdr>
          <w:left w:val="single" w:sz="18" w:space="8" w:color="2E74B5"/>
        </w:pBdr>
      </w:pPr>
      <w:r>
        <w:rPr>
          <w:b/>
          <w:color w:val="2E74B5"/>
        </w:rPr>
        <w:t xml:space="preserve">Requested action  </w:t>
      </w:r>
      <w:r>
        <w:t>Approve the AI-Assisted Sales Productivity Pilot as described, with pilot findings and a separate scale recommendation to be presented after the 12-week evaluation period.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AI-Assisted Sales Productivity Pilot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66666"/>
        <w:sz w:val="16"/>
      </w:rPr>
      <w:t>LEADERSHIP REVIEW  |  SALES TRANSFORMATION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720" w:hanging="3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30" w:right="144"/>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Sales Productivity Pilot</dc:title>
  <dc:subject>Leadership review proposal</dc:subject>
  <dc:creator>Head of Sales Transformation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